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theme/themeOverride9.xml" ContentType="application/vnd.openxmlformats-officedocument.themeOverride+xml"/>
  <Override PartName="/word/charts/chart10.xml" ContentType="application/vnd.openxmlformats-officedocument.drawingml.chart+xml"/>
  <Override PartName="/word/theme/themeOverride10.xml" ContentType="application/vnd.openxmlformats-officedocument.themeOverride+xml"/>
  <Override PartName="/word/charts/chart11.xml" ContentType="application/vnd.openxmlformats-officedocument.drawingml.chart+xml"/>
  <Override PartName="/word/theme/themeOverride11.xml" ContentType="application/vnd.openxmlformats-officedocument.themeOverride+xml"/>
  <Override PartName="/word/charts/chart12.xml" ContentType="application/vnd.openxmlformats-officedocument.drawingml.chart+xml"/>
  <Override PartName="/word/theme/themeOverride12.xml" ContentType="application/vnd.openxmlformats-officedocument.themeOverride+xml"/>
  <Override PartName="/word/charts/chart13.xml" ContentType="application/vnd.openxmlformats-officedocument.drawingml.chart+xml"/>
  <Override PartName="/word/theme/themeOverride13.xml" ContentType="application/vnd.openxmlformats-officedocument.themeOverride+xml"/>
  <Override PartName="/word/charts/chart14.xml" ContentType="application/vnd.openxmlformats-officedocument.drawingml.chart+xml"/>
  <Override PartName="/word/theme/themeOverride14.xml" ContentType="application/vnd.openxmlformats-officedocument.themeOverride+xml"/>
  <Override PartName="/word/charts/chart15.xml" ContentType="application/vnd.openxmlformats-officedocument.drawingml.chart+xml"/>
  <Override PartName="/word/theme/themeOverride15.xml" ContentType="application/vnd.openxmlformats-officedocument.themeOverride+xml"/>
  <Override PartName="/word/charts/chart16.xml" ContentType="application/vnd.openxmlformats-officedocument.drawingml.chart+xml"/>
  <Override PartName="/word/theme/themeOverride16.xml" ContentType="application/vnd.openxmlformats-officedocument.themeOverride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word/charts/chart30.xml" ContentType="application/vnd.openxmlformats-officedocument.drawingml.chart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charts/chart33.xml" ContentType="application/vnd.openxmlformats-officedocument.drawingml.chart+xml"/>
  <Override PartName="/word/charts/chart34.xml" ContentType="application/vnd.openxmlformats-officedocument.drawingml.chart+xml"/>
  <Override PartName="/word/charts/chart35.xml" ContentType="application/vnd.openxmlformats-officedocument.drawingml.chart+xml"/>
  <Override PartName="/word/charts/chart36.xml" ContentType="application/vnd.openxmlformats-officedocument.drawingml.chart+xml"/>
  <Override PartName="/word/charts/chart37.xml" ContentType="application/vnd.openxmlformats-officedocument.drawingml.chart+xml"/>
  <Override PartName="/word/charts/chart38.xml" ContentType="application/vnd.openxmlformats-officedocument.drawingml.chart+xml"/>
  <Override PartName="/word/charts/chart39.xml" ContentType="application/vnd.openxmlformats-officedocument.drawingml.chart+xml"/>
  <Override PartName="/word/charts/chart40.xml" ContentType="application/vnd.openxmlformats-officedocument.drawingml.chart+xml"/>
  <Override PartName="/word/charts/chart41.xml" ContentType="application/vnd.openxmlformats-officedocument.drawingml.chart+xml"/>
  <Override PartName="/word/charts/chart42.xml" ContentType="application/vnd.openxmlformats-officedocument.drawingml.chart+xml"/>
  <Override PartName="/word/charts/chart43.xml" ContentType="application/vnd.openxmlformats-officedocument.drawingml.chart+xml"/>
  <Override PartName="/word/charts/chart44.xml" ContentType="application/vnd.openxmlformats-officedocument.drawingml.chart+xml"/>
  <Override PartName="/word/charts/chart45.xml" ContentType="application/vnd.openxmlformats-officedocument.drawingml.chart+xml"/>
  <Override PartName="/word/charts/chart46.xml" ContentType="application/vnd.openxmlformats-officedocument.drawingml.chart+xml"/>
  <Override PartName="/word/charts/chart47.xml" ContentType="application/vnd.openxmlformats-officedocument.drawingml.chart+xml"/>
  <Override PartName="/word/charts/chart48.xml" ContentType="application/vnd.openxmlformats-officedocument.drawingml.chart+xml"/>
  <Override PartName="/word/charts/chart49.xml" ContentType="application/vnd.openxmlformats-officedocument.drawingml.chart+xml"/>
  <Override PartName="/word/charts/chart50.xml" ContentType="application/vnd.openxmlformats-officedocument.drawingml.chart+xml"/>
  <Override PartName="/word/charts/chart51.xml" ContentType="application/vnd.openxmlformats-officedocument.drawingml.chart+xml"/>
  <Override PartName="/word/charts/chart52.xml" ContentType="application/vnd.openxmlformats-officedocument.drawingml.chart+xml"/>
  <Override PartName="/word/charts/chart53.xml" ContentType="application/vnd.openxmlformats-officedocument.drawingml.chart+xml"/>
  <Override PartName="/word/charts/chart54.xml" ContentType="application/vnd.openxmlformats-officedocument.drawingml.chart+xml"/>
  <Override PartName="/word/charts/chart55.xml" ContentType="application/vnd.openxmlformats-officedocument.drawingml.chart+xml"/>
  <Override PartName="/word/charts/chart56.xml" ContentType="application/vnd.openxmlformats-officedocument.drawingml.chart+xml"/>
  <Override PartName="/word/charts/chart57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51A5" w:rsidRPr="00BC4524" w:rsidRDefault="00A151A5" w:rsidP="00A151A5">
      <w:pPr>
        <w:jc w:val="center"/>
      </w:pPr>
      <w:r>
        <w:t>Úrad vlády Slovenskej republiky</w:t>
      </w:r>
    </w:p>
    <w:p w:rsidR="00A151A5" w:rsidRPr="00BC4524" w:rsidRDefault="00A151A5" w:rsidP="00A151A5">
      <w:pPr>
        <w:rPr>
          <w:noProof/>
          <w:lang w:eastAsia="sk-SK"/>
        </w:rPr>
      </w:pPr>
      <w:r>
        <w:rPr>
          <w:noProof/>
          <w:lang w:eastAsia="sk-SK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2497455</wp:posOffset>
            </wp:positionH>
            <wp:positionV relativeFrom="paragraph">
              <wp:posOffset>429260</wp:posOffset>
            </wp:positionV>
            <wp:extent cx="1062990" cy="795020"/>
            <wp:effectExtent l="0" t="0" r="3810" b="5080"/>
            <wp:wrapTight wrapText="bothSides">
              <wp:wrapPolygon edited="0">
                <wp:start x="0" y="0"/>
                <wp:lineTo x="0" y="21220"/>
                <wp:lineTo x="21290" y="21220"/>
                <wp:lineTo x="21290" y="0"/>
                <wp:lineTo x="0" y="0"/>
              </wp:wrapPolygon>
            </wp:wrapTight>
            <wp:docPr id="46" name="Obrázo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79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740410</wp:posOffset>
            </wp:positionH>
            <wp:positionV relativeFrom="paragraph">
              <wp:posOffset>428625</wp:posOffset>
            </wp:positionV>
            <wp:extent cx="636905" cy="796290"/>
            <wp:effectExtent l="0" t="0" r="0" b="3810"/>
            <wp:wrapTight wrapText="bothSides">
              <wp:wrapPolygon edited="0">
                <wp:start x="0" y="0"/>
                <wp:lineTo x="0" y="13952"/>
                <wp:lineTo x="1292" y="16536"/>
                <wp:lineTo x="7107" y="21187"/>
                <wp:lineTo x="7753" y="21187"/>
                <wp:lineTo x="12921" y="21187"/>
                <wp:lineTo x="13567" y="21187"/>
                <wp:lineTo x="19382" y="16536"/>
                <wp:lineTo x="20674" y="13952"/>
                <wp:lineTo x="20674" y="0"/>
                <wp:lineTo x="0" y="0"/>
              </wp:wrapPolygon>
            </wp:wrapTight>
            <wp:docPr id="45" name="Obrázo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905" cy="79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4521200</wp:posOffset>
            </wp:positionH>
            <wp:positionV relativeFrom="paragraph">
              <wp:posOffset>363855</wp:posOffset>
            </wp:positionV>
            <wp:extent cx="942975" cy="926465"/>
            <wp:effectExtent l="0" t="0" r="9525" b="6985"/>
            <wp:wrapTight wrapText="bothSides">
              <wp:wrapPolygon edited="0">
                <wp:start x="0" y="0"/>
                <wp:lineTo x="0" y="21319"/>
                <wp:lineTo x="21382" y="21319"/>
                <wp:lineTo x="21382" y="0"/>
                <wp:lineTo x="0" y="0"/>
              </wp:wrapPolygon>
            </wp:wrapTight>
            <wp:docPr id="44" name="Obrázo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151A5" w:rsidRPr="00BC4524" w:rsidRDefault="00A151A5" w:rsidP="00A151A5">
      <w:pPr>
        <w:rPr>
          <w:noProof/>
          <w:lang w:eastAsia="sk-SK"/>
        </w:rPr>
      </w:pPr>
    </w:p>
    <w:p w:rsidR="00A151A5" w:rsidRPr="00BC4524" w:rsidRDefault="00A151A5" w:rsidP="00A151A5">
      <w:pPr>
        <w:pStyle w:val="Bezriadkovania"/>
      </w:pPr>
    </w:p>
    <w:p w:rsidR="00A151A5" w:rsidRDefault="00A151A5" w:rsidP="00A151A5"/>
    <w:p w:rsidR="00A151A5" w:rsidRPr="00BC4524" w:rsidRDefault="00A151A5" w:rsidP="00A151A5"/>
    <w:p w:rsidR="00A151A5" w:rsidRDefault="00A151A5" w:rsidP="00A151A5">
      <w:pPr>
        <w:pStyle w:val="Nzov"/>
        <w:spacing w:line="360" w:lineRule="auto"/>
        <w:rPr>
          <w:smallCaps/>
          <w:sz w:val="40"/>
          <w:szCs w:val="40"/>
        </w:rPr>
      </w:pPr>
    </w:p>
    <w:p w:rsidR="007C3A2A" w:rsidRPr="007C3A2A" w:rsidRDefault="007C3A2A" w:rsidP="007C3A2A"/>
    <w:p w:rsidR="00A151A5" w:rsidRPr="00991517" w:rsidRDefault="00A151A5" w:rsidP="007C3A2A">
      <w:pPr>
        <w:pStyle w:val="Nzov"/>
        <w:pBdr>
          <w:top w:val="single" w:sz="18" w:space="1" w:color="auto"/>
          <w:left w:val="single" w:sz="18" w:space="1" w:color="auto"/>
          <w:bottom w:val="single" w:sz="18" w:space="1" w:color="auto"/>
          <w:right w:val="single" w:sz="18" w:space="1" w:color="auto"/>
        </w:pBdr>
        <w:spacing w:line="276" w:lineRule="auto"/>
        <w:rPr>
          <w:b/>
        </w:rPr>
      </w:pPr>
      <w:r w:rsidRPr="007C3A2A">
        <w:rPr>
          <w:b/>
          <w:smallCaps/>
          <w:sz w:val="44"/>
          <w:szCs w:val="40"/>
          <w:lang w:val="sk-SK"/>
        </w:rPr>
        <w:t xml:space="preserve">Prieskum úrovne povedomia verejnosti  </w:t>
      </w:r>
      <w:r w:rsidRPr="007C3A2A">
        <w:rPr>
          <w:b/>
          <w:smallCaps/>
          <w:sz w:val="44"/>
          <w:szCs w:val="40"/>
          <w:lang w:val="sk-SK"/>
        </w:rPr>
        <w:br/>
        <w:t xml:space="preserve">o politike súdržnosti Európskej únie </w:t>
      </w:r>
      <w:r w:rsidRPr="007C3A2A">
        <w:rPr>
          <w:b/>
          <w:smallCaps/>
          <w:sz w:val="44"/>
          <w:szCs w:val="40"/>
          <w:lang w:val="sk-SK"/>
        </w:rPr>
        <w:br/>
        <w:t xml:space="preserve">na Slovensku na konci programového </w:t>
      </w:r>
      <w:r w:rsidRPr="007C3A2A">
        <w:rPr>
          <w:b/>
          <w:smallCaps/>
          <w:sz w:val="44"/>
          <w:szCs w:val="40"/>
          <w:lang w:val="sk-SK"/>
        </w:rPr>
        <w:br/>
        <w:t>obdobia 2007 – 2013</w:t>
      </w:r>
    </w:p>
    <w:p w:rsidR="00A151A5" w:rsidRPr="00A151A5" w:rsidRDefault="00A151A5" w:rsidP="00A151A5">
      <w:pPr>
        <w:pStyle w:val="Bezriadkovania"/>
        <w:pBdr>
          <w:top w:val="single" w:sz="18" w:space="1" w:color="auto"/>
          <w:left w:val="single" w:sz="18" w:space="1" w:color="auto"/>
          <w:bottom w:val="single" w:sz="18" w:space="1" w:color="auto"/>
          <w:right w:val="single" w:sz="18" w:space="1" w:color="auto"/>
        </w:pBdr>
        <w:jc w:val="center"/>
        <w:rPr>
          <w:rFonts w:cs="Arial"/>
          <w:b/>
          <w:sz w:val="28"/>
          <w:u w:val="single"/>
        </w:rPr>
      </w:pPr>
      <w:r w:rsidRPr="00A151A5">
        <w:rPr>
          <w:rFonts w:cs="Arial"/>
          <w:b/>
          <w:sz w:val="28"/>
          <w:u w:val="single"/>
        </w:rPr>
        <w:t>Záverečná správa – Verejnosť</w:t>
      </w:r>
    </w:p>
    <w:p w:rsidR="00A151A5" w:rsidRPr="00423E9C" w:rsidRDefault="00A151A5" w:rsidP="00A151A5">
      <w:pPr>
        <w:pStyle w:val="Bezriadkovania"/>
        <w:pBdr>
          <w:top w:val="single" w:sz="18" w:space="1" w:color="auto"/>
          <w:left w:val="single" w:sz="18" w:space="1" w:color="auto"/>
          <w:bottom w:val="single" w:sz="18" w:space="1" w:color="auto"/>
          <w:right w:val="single" w:sz="18" w:space="1" w:color="auto"/>
        </w:pBdr>
        <w:rPr>
          <w:b/>
          <w:sz w:val="28"/>
          <w:u w:val="single"/>
        </w:rPr>
      </w:pPr>
    </w:p>
    <w:p w:rsidR="00A151A5" w:rsidRDefault="00A151A5" w:rsidP="00A151A5"/>
    <w:p w:rsidR="00A151A5" w:rsidRDefault="00A151A5" w:rsidP="00A151A5">
      <w:pPr>
        <w:jc w:val="center"/>
      </w:pPr>
      <w:r>
        <w:t>Dodávateľ: GfK Slovakia, s.r.o.</w:t>
      </w:r>
    </w:p>
    <w:p w:rsidR="00A151A5" w:rsidRPr="004F4C0A" w:rsidRDefault="00A151A5" w:rsidP="00A151A5">
      <w:pPr>
        <w:jc w:val="center"/>
        <w:rPr>
          <w:sz w:val="20"/>
        </w:rPr>
      </w:pPr>
      <w:r w:rsidRPr="004F4C0A">
        <w:rPr>
          <w:sz w:val="20"/>
        </w:rPr>
        <w:t xml:space="preserve">Projektový tím dodávateľa: Zuzana </w:t>
      </w:r>
      <w:proofErr w:type="spellStart"/>
      <w:r w:rsidRPr="004F4C0A">
        <w:rPr>
          <w:sz w:val="20"/>
        </w:rPr>
        <w:t>Smékalová</w:t>
      </w:r>
      <w:proofErr w:type="spellEnd"/>
      <w:r w:rsidRPr="004F4C0A">
        <w:rPr>
          <w:sz w:val="20"/>
        </w:rPr>
        <w:t xml:space="preserve"> (vedúci tímu), Natália Hricová, Margita Benková</w:t>
      </w:r>
    </w:p>
    <w:p w:rsidR="00A151A5" w:rsidRDefault="00A151A5" w:rsidP="00A151A5">
      <w:pPr>
        <w:pStyle w:val="Bezriadkovania"/>
        <w:jc w:val="center"/>
      </w:pPr>
      <w:r w:rsidRPr="00BC4524">
        <w:t xml:space="preserve">Bratislava, </w:t>
      </w:r>
      <w:r w:rsidR="0003447F">
        <w:t>január 2015</w:t>
      </w:r>
    </w:p>
    <w:p w:rsidR="004F4C0A" w:rsidRDefault="004F4C0A" w:rsidP="00A151A5">
      <w:pPr>
        <w:pStyle w:val="Bezriadkovania"/>
        <w:jc w:val="center"/>
      </w:pPr>
    </w:p>
    <w:p w:rsidR="004F4C0A" w:rsidRPr="00BC4524" w:rsidRDefault="004F4C0A" w:rsidP="00A151A5">
      <w:pPr>
        <w:pStyle w:val="Bezriadkovania"/>
        <w:jc w:val="center"/>
      </w:pPr>
    </w:p>
    <w:p w:rsidR="00A151A5" w:rsidRDefault="00A151A5" w:rsidP="00A151A5"/>
    <w:p w:rsidR="00A151A5" w:rsidRPr="00BC4524" w:rsidRDefault="00A151A5" w:rsidP="00A151A5">
      <w:r>
        <w:rPr>
          <w:noProof/>
          <w:lang w:eastAsia="sk-SK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2404110</wp:posOffset>
            </wp:positionH>
            <wp:positionV relativeFrom="paragraph">
              <wp:posOffset>180975</wp:posOffset>
            </wp:positionV>
            <wp:extent cx="1162685" cy="838200"/>
            <wp:effectExtent l="0" t="0" r="0" b="0"/>
            <wp:wrapNone/>
            <wp:docPr id="47" name="Obrázo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68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4200525</wp:posOffset>
            </wp:positionH>
            <wp:positionV relativeFrom="paragraph">
              <wp:posOffset>279400</wp:posOffset>
            </wp:positionV>
            <wp:extent cx="1428115" cy="662305"/>
            <wp:effectExtent l="0" t="0" r="635" b="4445"/>
            <wp:wrapNone/>
            <wp:docPr id="20" name="Obrázo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115" cy="66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530225</wp:posOffset>
            </wp:positionH>
            <wp:positionV relativeFrom="paragraph">
              <wp:posOffset>182245</wp:posOffset>
            </wp:positionV>
            <wp:extent cx="947420" cy="856615"/>
            <wp:effectExtent l="0" t="0" r="5080" b="635"/>
            <wp:wrapTight wrapText="bothSides">
              <wp:wrapPolygon edited="0">
                <wp:start x="0" y="0"/>
                <wp:lineTo x="0" y="21136"/>
                <wp:lineTo x="21282" y="21136"/>
                <wp:lineTo x="21282" y="0"/>
                <wp:lineTo x="0" y="0"/>
              </wp:wrapPolygon>
            </wp:wrapTight>
            <wp:docPr id="19" name="Obrázo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420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151A5" w:rsidRDefault="00A151A5" w:rsidP="00A151A5">
      <w:pPr>
        <w:pStyle w:val="Bezriadkovania"/>
      </w:pPr>
    </w:p>
    <w:p w:rsidR="00A151A5" w:rsidRDefault="00A151A5" w:rsidP="00A151A5">
      <w:pPr>
        <w:pStyle w:val="Bezriadkovania"/>
      </w:pPr>
    </w:p>
    <w:p w:rsidR="00A151A5" w:rsidRDefault="00A151A5" w:rsidP="00A151A5">
      <w:pPr>
        <w:pStyle w:val="Bezriadkovania"/>
      </w:pPr>
    </w:p>
    <w:p w:rsidR="00A151A5" w:rsidRDefault="00A151A5" w:rsidP="00A151A5">
      <w:pPr>
        <w:pStyle w:val="Bezriadkovania"/>
      </w:pPr>
    </w:p>
    <w:p w:rsidR="00A151A5" w:rsidRDefault="00A151A5" w:rsidP="00A151A5">
      <w:pPr>
        <w:pStyle w:val="Bezriadkovania"/>
      </w:pPr>
    </w:p>
    <w:p w:rsidR="00A151A5" w:rsidRDefault="00A151A5" w:rsidP="00A151A5">
      <w:pPr>
        <w:pStyle w:val="Bezriadkovania"/>
      </w:pPr>
    </w:p>
    <w:p w:rsidR="00A151A5" w:rsidRDefault="00A151A5" w:rsidP="00A151A5">
      <w:pPr>
        <w:pStyle w:val="Bezriadkovania"/>
      </w:pPr>
    </w:p>
    <w:p w:rsidR="00A151A5" w:rsidRDefault="00A151A5" w:rsidP="00A151A5">
      <w:pPr>
        <w:pStyle w:val="Bezriadkovania"/>
      </w:pPr>
    </w:p>
    <w:p w:rsidR="00A151A5" w:rsidRDefault="00A151A5" w:rsidP="00A151A5">
      <w:pPr>
        <w:pStyle w:val="Bezriadkovania"/>
      </w:pPr>
    </w:p>
    <w:p w:rsidR="00A151A5" w:rsidRDefault="00A151A5" w:rsidP="00A151A5">
      <w:pPr>
        <w:pStyle w:val="Bezriadkovania"/>
        <w:jc w:val="center"/>
      </w:pPr>
      <w:r>
        <w:t>ERDF, Investícia do Vašej budúcnosti</w:t>
      </w:r>
    </w:p>
    <w:p w:rsidR="00A151A5" w:rsidRDefault="000F55A8" w:rsidP="00A151A5">
      <w:pPr>
        <w:pStyle w:val="Bezriadkovania"/>
        <w:jc w:val="center"/>
      </w:pPr>
      <w:hyperlink r:id="rId15" w:history="1">
        <w:r w:rsidR="00A151A5" w:rsidRPr="00270D10">
          <w:rPr>
            <w:rStyle w:val="Hypertextovprepojenie"/>
            <w:sz w:val="22"/>
          </w:rPr>
          <w:t>www.nsrr.sk</w:t>
        </w:r>
      </w:hyperlink>
    </w:p>
    <w:p w:rsidR="00A151A5" w:rsidRPr="00BC4524" w:rsidRDefault="000F55A8" w:rsidP="00A151A5">
      <w:pPr>
        <w:pStyle w:val="Bezriadkovania"/>
        <w:jc w:val="center"/>
      </w:pPr>
      <w:hyperlink r:id="rId16" w:history="1">
        <w:r w:rsidR="00A151A5" w:rsidRPr="00270D10">
          <w:rPr>
            <w:rStyle w:val="Hypertextovprepojenie"/>
            <w:sz w:val="22"/>
          </w:rPr>
          <w:t>www.vlada.gov.sk</w:t>
        </w:r>
      </w:hyperlink>
    </w:p>
    <w:p w:rsidR="00A151A5" w:rsidRPr="00BC4524" w:rsidRDefault="00A151A5" w:rsidP="00A151A5">
      <w:pPr>
        <w:pStyle w:val="Bezriadkovania"/>
      </w:pPr>
    </w:p>
    <w:p w:rsidR="00A151A5" w:rsidRPr="00C503B9" w:rsidRDefault="00A151A5" w:rsidP="00A151A5">
      <w:pPr>
        <w:rPr>
          <w:b/>
          <w:sz w:val="28"/>
        </w:rPr>
      </w:pPr>
      <w:r w:rsidRPr="00C503B9">
        <w:rPr>
          <w:b/>
          <w:sz w:val="28"/>
        </w:rPr>
        <w:lastRenderedPageBreak/>
        <w:t>OBSAH</w:t>
      </w:r>
    </w:p>
    <w:p w:rsidR="00A151A5" w:rsidRPr="00BC4524" w:rsidRDefault="00A151A5" w:rsidP="00A151A5"/>
    <w:p w:rsidR="0099122D" w:rsidRDefault="00647D11">
      <w:pPr>
        <w:pStyle w:val="Obsah1"/>
        <w:rPr>
          <w:rFonts w:asciiTheme="minorHAnsi" w:eastAsiaTheme="minorEastAsia" w:hAnsiTheme="minorHAnsi" w:cstheme="minorBidi"/>
          <w:lang w:eastAsia="sk-SK"/>
        </w:rPr>
      </w:pPr>
      <w:r w:rsidRPr="00BC4524">
        <w:fldChar w:fldCharType="begin"/>
      </w:r>
      <w:r w:rsidR="00A151A5" w:rsidRPr="00BC4524">
        <w:instrText xml:space="preserve"> TOC \o "1-3" \h \z \u </w:instrText>
      </w:r>
      <w:r w:rsidRPr="00BC4524">
        <w:fldChar w:fldCharType="separate"/>
      </w:r>
      <w:hyperlink w:anchor="_Toc410051281" w:history="1">
        <w:r w:rsidR="0099122D" w:rsidRPr="00FE1455">
          <w:rPr>
            <w:rStyle w:val="Hypertextovprepojenie"/>
          </w:rPr>
          <w:t>1.</w:t>
        </w:r>
        <w:r w:rsidR="0099122D">
          <w:rPr>
            <w:rFonts w:asciiTheme="minorHAnsi" w:eastAsiaTheme="minorEastAsia" w:hAnsiTheme="minorHAnsi" w:cstheme="minorBidi"/>
            <w:lang w:eastAsia="sk-SK"/>
          </w:rPr>
          <w:tab/>
        </w:r>
        <w:r w:rsidR="0099122D" w:rsidRPr="00FE1455">
          <w:rPr>
            <w:rStyle w:val="Hypertextovprepojenie"/>
          </w:rPr>
          <w:t>Charakteristika cieľovej skupiny – Obyvateľstvo na Slovensku</w:t>
        </w:r>
        <w:r w:rsidR="0099122D">
          <w:rPr>
            <w:webHidden/>
          </w:rPr>
          <w:tab/>
        </w:r>
        <w:r w:rsidR="0099122D">
          <w:rPr>
            <w:webHidden/>
          </w:rPr>
          <w:fldChar w:fldCharType="begin"/>
        </w:r>
        <w:r w:rsidR="0099122D">
          <w:rPr>
            <w:webHidden/>
          </w:rPr>
          <w:instrText xml:space="preserve"> PAGEREF _Toc410051281 \h </w:instrText>
        </w:r>
        <w:r w:rsidR="0099122D">
          <w:rPr>
            <w:webHidden/>
          </w:rPr>
        </w:r>
        <w:r w:rsidR="0099122D">
          <w:rPr>
            <w:webHidden/>
          </w:rPr>
          <w:fldChar w:fldCharType="separate"/>
        </w:r>
        <w:r w:rsidR="0099122D">
          <w:rPr>
            <w:webHidden/>
          </w:rPr>
          <w:t>3</w:t>
        </w:r>
        <w:r w:rsidR="0099122D">
          <w:rPr>
            <w:webHidden/>
          </w:rPr>
          <w:fldChar w:fldCharType="end"/>
        </w:r>
      </w:hyperlink>
    </w:p>
    <w:p w:rsidR="0099122D" w:rsidRDefault="000F55A8">
      <w:pPr>
        <w:pStyle w:val="Obsah2"/>
        <w:rPr>
          <w:rFonts w:asciiTheme="minorHAnsi" w:eastAsiaTheme="minorEastAsia" w:hAnsiTheme="minorHAnsi" w:cstheme="minorBidi"/>
          <w:sz w:val="22"/>
        </w:rPr>
      </w:pPr>
      <w:hyperlink w:anchor="_Toc410051282" w:history="1">
        <w:r w:rsidR="0099122D" w:rsidRPr="00FE1455">
          <w:rPr>
            <w:rStyle w:val="Hypertextovprepojenie"/>
          </w:rPr>
          <w:t>1.1.</w:t>
        </w:r>
        <w:r w:rsidR="0099122D">
          <w:rPr>
            <w:rFonts w:asciiTheme="minorHAnsi" w:eastAsiaTheme="minorEastAsia" w:hAnsiTheme="minorHAnsi" w:cstheme="minorBidi"/>
            <w:sz w:val="22"/>
          </w:rPr>
          <w:tab/>
        </w:r>
        <w:r w:rsidR="0099122D" w:rsidRPr="00FE1455">
          <w:rPr>
            <w:rStyle w:val="Hypertextovprepojenie"/>
          </w:rPr>
          <w:t>Počet obyvateľov a pohyb obyvateľstva</w:t>
        </w:r>
        <w:r w:rsidR="0099122D">
          <w:rPr>
            <w:webHidden/>
          </w:rPr>
          <w:tab/>
        </w:r>
        <w:r w:rsidR="0099122D">
          <w:rPr>
            <w:webHidden/>
          </w:rPr>
          <w:fldChar w:fldCharType="begin"/>
        </w:r>
        <w:r w:rsidR="0099122D">
          <w:rPr>
            <w:webHidden/>
          </w:rPr>
          <w:instrText xml:space="preserve"> PAGEREF _Toc410051282 \h </w:instrText>
        </w:r>
        <w:r w:rsidR="0099122D">
          <w:rPr>
            <w:webHidden/>
          </w:rPr>
        </w:r>
        <w:r w:rsidR="0099122D">
          <w:rPr>
            <w:webHidden/>
          </w:rPr>
          <w:fldChar w:fldCharType="separate"/>
        </w:r>
        <w:r w:rsidR="0099122D">
          <w:rPr>
            <w:webHidden/>
          </w:rPr>
          <w:t>3</w:t>
        </w:r>
        <w:r w:rsidR="0099122D">
          <w:rPr>
            <w:webHidden/>
          </w:rPr>
          <w:fldChar w:fldCharType="end"/>
        </w:r>
      </w:hyperlink>
    </w:p>
    <w:p w:rsidR="0099122D" w:rsidRDefault="000F55A8">
      <w:pPr>
        <w:pStyle w:val="Obsah2"/>
        <w:rPr>
          <w:rFonts w:asciiTheme="minorHAnsi" w:eastAsiaTheme="minorEastAsia" w:hAnsiTheme="minorHAnsi" w:cstheme="minorBidi"/>
          <w:sz w:val="22"/>
        </w:rPr>
      </w:pPr>
      <w:hyperlink w:anchor="_Toc410051283" w:history="1">
        <w:r w:rsidR="0099122D" w:rsidRPr="00FE1455">
          <w:rPr>
            <w:rStyle w:val="Hypertextovprepojenie"/>
          </w:rPr>
          <w:t>1.2.</w:t>
        </w:r>
        <w:r w:rsidR="0099122D">
          <w:rPr>
            <w:rFonts w:asciiTheme="minorHAnsi" w:eastAsiaTheme="minorEastAsia" w:hAnsiTheme="minorHAnsi" w:cstheme="minorBidi"/>
            <w:sz w:val="22"/>
          </w:rPr>
          <w:tab/>
        </w:r>
        <w:r w:rsidR="0099122D" w:rsidRPr="00FE1455">
          <w:rPr>
            <w:rStyle w:val="Hypertextovprepojenie"/>
          </w:rPr>
          <w:t>Národnostná štruktúra</w:t>
        </w:r>
        <w:r w:rsidR="0099122D">
          <w:rPr>
            <w:webHidden/>
          </w:rPr>
          <w:tab/>
        </w:r>
        <w:r w:rsidR="0099122D">
          <w:rPr>
            <w:webHidden/>
          </w:rPr>
          <w:fldChar w:fldCharType="begin"/>
        </w:r>
        <w:r w:rsidR="0099122D">
          <w:rPr>
            <w:webHidden/>
          </w:rPr>
          <w:instrText xml:space="preserve"> PAGEREF _Toc410051283 \h </w:instrText>
        </w:r>
        <w:r w:rsidR="0099122D">
          <w:rPr>
            <w:webHidden/>
          </w:rPr>
        </w:r>
        <w:r w:rsidR="0099122D">
          <w:rPr>
            <w:webHidden/>
          </w:rPr>
          <w:fldChar w:fldCharType="separate"/>
        </w:r>
        <w:r w:rsidR="0099122D">
          <w:rPr>
            <w:webHidden/>
          </w:rPr>
          <w:t>7</w:t>
        </w:r>
        <w:r w:rsidR="0099122D">
          <w:rPr>
            <w:webHidden/>
          </w:rPr>
          <w:fldChar w:fldCharType="end"/>
        </w:r>
      </w:hyperlink>
    </w:p>
    <w:p w:rsidR="0099122D" w:rsidRDefault="000F55A8">
      <w:pPr>
        <w:pStyle w:val="Obsah2"/>
        <w:rPr>
          <w:rFonts w:asciiTheme="minorHAnsi" w:eastAsiaTheme="minorEastAsia" w:hAnsiTheme="minorHAnsi" w:cstheme="minorBidi"/>
          <w:sz w:val="22"/>
        </w:rPr>
      </w:pPr>
      <w:hyperlink w:anchor="_Toc410051284" w:history="1">
        <w:r w:rsidR="0099122D" w:rsidRPr="00FE1455">
          <w:rPr>
            <w:rStyle w:val="Hypertextovprepojenie"/>
          </w:rPr>
          <w:t>1.3.</w:t>
        </w:r>
        <w:r w:rsidR="0099122D">
          <w:rPr>
            <w:rFonts w:asciiTheme="minorHAnsi" w:eastAsiaTheme="minorEastAsia" w:hAnsiTheme="minorHAnsi" w:cstheme="minorBidi"/>
            <w:sz w:val="22"/>
          </w:rPr>
          <w:tab/>
        </w:r>
        <w:r w:rsidR="0099122D" w:rsidRPr="00FE1455">
          <w:rPr>
            <w:rStyle w:val="Hypertextovprepojenie"/>
          </w:rPr>
          <w:t>Veková štruktúra</w:t>
        </w:r>
        <w:r w:rsidR="0099122D">
          <w:rPr>
            <w:webHidden/>
          </w:rPr>
          <w:tab/>
        </w:r>
        <w:r w:rsidR="0099122D">
          <w:rPr>
            <w:webHidden/>
          </w:rPr>
          <w:fldChar w:fldCharType="begin"/>
        </w:r>
        <w:r w:rsidR="0099122D">
          <w:rPr>
            <w:webHidden/>
          </w:rPr>
          <w:instrText xml:space="preserve"> PAGEREF _Toc410051284 \h </w:instrText>
        </w:r>
        <w:r w:rsidR="0099122D">
          <w:rPr>
            <w:webHidden/>
          </w:rPr>
        </w:r>
        <w:r w:rsidR="0099122D">
          <w:rPr>
            <w:webHidden/>
          </w:rPr>
          <w:fldChar w:fldCharType="separate"/>
        </w:r>
        <w:r w:rsidR="0099122D">
          <w:rPr>
            <w:webHidden/>
          </w:rPr>
          <w:t>8</w:t>
        </w:r>
        <w:r w:rsidR="0099122D">
          <w:rPr>
            <w:webHidden/>
          </w:rPr>
          <w:fldChar w:fldCharType="end"/>
        </w:r>
      </w:hyperlink>
    </w:p>
    <w:p w:rsidR="0099122D" w:rsidRDefault="000F55A8">
      <w:pPr>
        <w:pStyle w:val="Obsah2"/>
        <w:rPr>
          <w:rFonts w:asciiTheme="minorHAnsi" w:eastAsiaTheme="minorEastAsia" w:hAnsiTheme="minorHAnsi" w:cstheme="minorBidi"/>
          <w:sz w:val="22"/>
        </w:rPr>
      </w:pPr>
      <w:hyperlink w:anchor="_Toc410051285" w:history="1">
        <w:r w:rsidR="0099122D" w:rsidRPr="00FE1455">
          <w:rPr>
            <w:rStyle w:val="Hypertextovprepojenie"/>
          </w:rPr>
          <w:t>1.4.</w:t>
        </w:r>
        <w:r w:rsidR="0099122D">
          <w:rPr>
            <w:rFonts w:asciiTheme="minorHAnsi" w:eastAsiaTheme="minorEastAsia" w:hAnsiTheme="minorHAnsi" w:cstheme="minorBidi"/>
            <w:sz w:val="22"/>
          </w:rPr>
          <w:tab/>
        </w:r>
        <w:r w:rsidR="0099122D" w:rsidRPr="00FE1455">
          <w:rPr>
            <w:rStyle w:val="Hypertextovprepojenie"/>
          </w:rPr>
          <w:t>Vzdelanostná štruktúra</w:t>
        </w:r>
        <w:r w:rsidR="0099122D">
          <w:rPr>
            <w:webHidden/>
          </w:rPr>
          <w:tab/>
        </w:r>
        <w:r w:rsidR="0099122D">
          <w:rPr>
            <w:webHidden/>
          </w:rPr>
          <w:fldChar w:fldCharType="begin"/>
        </w:r>
        <w:r w:rsidR="0099122D">
          <w:rPr>
            <w:webHidden/>
          </w:rPr>
          <w:instrText xml:space="preserve"> PAGEREF _Toc410051285 \h </w:instrText>
        </w:r>
        <w:r w:rsidR="0099122D">
          <w:rPr>
            <w:webHidden/>
          </w:rPr>
        </w:r>
        <w:r w:rsidR="0099122D">
          <w:rPr>
            <w:webHidden/>
          </w:rPr>
          <w:fldChar w:fldCharType="separate"/>
        </w:r>
        <w:r w:rsidR="0099122D">
          <w:rPr>
            <w:webHidden/>
          </w:rPr>
          <w:t>11</w:t>
        </w:r>
        <w:r w:rsidR="0099122D">
          <w:rPr>
            <w:webHidden/>
          </w:rPr>
          <w:fldChar w:fldCharType="end"/>
        </w:r>
      </w:hyperlink>
    </w:p>
    <w:p w:rsidR="0099122D" w:rsidRDefault="000F55A8">
      <w:pPr>
        <w:pStyle w:val="Obsah2"/>
        <w:rPr>
          <w:rFonts w:asciiTheme="minorHAnsi" w:eastAsiaTheme="minorEastAsia" w:hAnsiTheme="minorHAnsi" w:cstheme="minorBidi"/>
          <w:sz w:val="22"/>
        </w:rPr>
      </w:pPr>
      <w:hyperlink w:anchor="_Toc410051286" w:history="1">
        <w:r w:rsidR="0099122D" w:rsidRPr="00FE1455">
          <w:rPr>
            <w:rStyle w:val="Hypertextovprepojenie"/>
          </w:rPr>
          <w:t>1.5.</w:t>
        </w:r>
        <w:r w:rsidR="0099122D">
          <w:rPr>
            <w:rFonts w:asciiTheme="minorHAnsi" w:eastAsiaTheme="minorEastAsia" w:hAnsiTheme="minorHAnsi" w:cstheme="minorBidi"/>
            <w:sz w:val="22"/>
          </w:rPr>
          <w:tab/>
        </w:r>
        <w:r w:rsidR="0099122D" w:rsidRPr="00FE1455">
          <w:rPr>
            <w:rStyle w:val="Hypertextovprepojenie"/>
          </w:rPr>
          <w:t>Štruktúra obyvateľstva podľa rodinného stavu</w:t>
        </w:r>
        <w:r w:rsidR="0099122D">
          <w:rPr>
            <w:webHidden/>
          </w:rPr>
          <w:tab/>
        </w:r>
        <w:r w:rsidR="0099122D">
          <w:rPr>
            <w:webHidden/>
          </w:rPr>
          <w:fldChar w:fldCharType="begin"/>
        </w:r>
        <w:r w:rsidR="0099122D">
          <w:rPr>
            <w:webHidden/>
          </w:rPr>
          <w:instrText xml:space="preserve"> PAGEREF _Toc410051286 \h </w:instrText>
        </w:r>
        <w:r w:rsidR="0099122D">
          <w:rPr>
            <w:webHidden/>
          </w:rPr>
        </w:r>
        <w:r w:rsidR="0099122D">
          <w:rPr>
            <w:webHidden/>
          </w:rPr>
          <w:fldChar w:fldCharType="separate"/>
        </w:r>
        <w:r w:rsidR="0099122D">
          <w:rPr>
            <w:webHidden/>
          </w:rPr>
          <w:t>12</w:t>
        </w:r>
        <w:r w:rsidR="0099122D">
          <w:rPr>
            <w:webHidden/>
          </w:rPr>
          <w:fldChar w:fldCharType="end"/>
        </w:r>
      </w:hyperlink>
    </w:p>
    <w:p w:rsidR="0099122D" w:rsidRDefault="000F55A8">
      <w:pPr>
        <w:pStyle w:val="Obsah2"/>
        <w:rPr>
          <w:rFonts w:asciiTheme="minorHAnsi" w:eastAsiaTheme="minorEastAsia" w:hAnsiTheme="minorHAnsi" w:cstheme="minorBidi"/>
          <w:sz w:val="22"/>
        </w:rPr>
      </w:pPr>
      <w:hyperlink w:anchor="_Toc410051287" w:history="1">
        <w:r w:rsidR="0099122D" w:rsidRPr="00FE1455">
          <w:rPr>
            <w:rStyle w:val="Hypertextovprepojenie"/>
          </w:rPr>
          <w:t>1.6.</w:t>
        </w:r>
        <w:r w:rsidR="0099122D">
          <w:rPr>
            <w:rFonts w:asciiTheme="minorHAnsi" w:eastAsiaTheme="minorEastAsia" w:hAnsiTheme="minorHAnsi" w:cstheme="minorBidi"/>
            <w:sz w:val="22"/>
          </w:rPr>
          <w:tab/>
        </w:r>
        <w:r w:rsidR="0099122D" w:rsidRPr="00FE1455">
          <w:rPr>
            <w:rStyle w:val="Hypertextovprepojenie"/>
          </w:rPr>
          <w:t>Vybrané ekonomické charakteristiky</w:t>
        </w:r>
        <w:r w:rsidR="0099122D">
          <w:rPr>
            <w:webHidden/>
          </w:rPr>
          <w:tab/>
        </w:r>
        <w:r w:rsidR="0099122D">
          <w:rPr>
            <w:webHidden/>
          </w:rPr>
          <w:fldChar w:fldCharType="begin"/>
        </w:r>
        <w:r w:rsidR="0099122D">
          <w:rPr>
            <w:webHidden/>
          </w:rPr>
          <w:instrText xml:space="preserve"> PAGEREF _Toc410051287 \h </w:instrText>
        </w:r>
        <w:r w:rsidR="0099122D">
          <w:rPr>
            <w:webHidden/>
          </w:rPr>
        </w:r>
        <w:r w:rsidR="0099122D">
          <w:rPr>
            <w:webHidden/>
          </w:rPr>
          <w:fldChar w:fldCharType="separate"/>
        </w:r>
        <w:r w:rsidR="0099122D">
          <w:rPr>
            <w:webHidden/>
          </w:rPr>
          <w:t>13</w:t>
        </w:r>
        <w:r w:rsidR="0099122D">
          <w:rPr>
            <w:webHidden/>
          </w:rPr>
          <w:fldChar w:fldCharType="end"/>
        </w:r>
      </w:hyperlink>
    </w:p>
    <w:p w:rsidR="0099122D" w:rsidRDefault="000F55A8">
      <w:pPr>
        <w:pStyle w:val="Obsah2"/>
        <w:rPr>
          <w:rFonts w:asciiTheme="minorHAnsi" w:eastAsiaTheme="minorEastAsia" w:hAnsiTheme="minorHAnsi" w:cstheme="minorBidi"/>
          <w:sz w:val="22"/>
        </w:rPr>
      </w:pPr>
      <w:hyperlink w:anchor="_Toc410051288" w:history="1">
        <w:r w:rsidR="0099122D" w:rsidRPr="00FE1455">
          <w:rPr>
            <w:rStyle w:val="Hypertextovprepojenie"/>
          </w:rPr>
          <w:t>1.7.</w:t>
        </w:r>
        <w:r w:rsidR="0099122D">
          <w:rPr>
            <w:rFonts w:asciiTheme="minorHAnsi" w:eastAsiaTheme="minorEastAsia" w:hAnsiTheme="minorHAnsi" w:cstheme="minorBidi"/>
            <w:sz w:val="22"/>
          </w:rPr>
          <w:tab/>
        </w:r>
        <w:r w:rsidR="0099122D" w:rsidRPr="00FE1455">
          <w:rPr>
            <w:rStyle w:val="Hypertextovprepojenie"/>
          </w:rPr>
          <w:t>Charakteristika domácností</w:t>
        </w:r>
        <w:r w:rsidR="0099122D">
          <w:rPr>
            <w:webHidden/>
          </w:rPr>
          <w:tab/>
        </w:r>
        <w:r w:rsidR="0099122D">
          <w:rPr>
            <w:webHidden/>
          </w:rPr>
          <w:fldChar w:fldCharType="begin"/>
        </w:r>
        <w:r w:rsidR="0099122D">
          <w:rPr>
            <w:webHidden/>
          </w:rPr>
          <w:instrText xml:space="preserve"> PAGEREF _Toc410051288 \h </w:instrText>
        </w:r>
        <w:r w:rsidR="0099122D">
          <w:rPr>
            <w:webHidden/>
          </w:rPr>
        </w:r>
        <w:r w:rsidR="0099122D">
          <w:rPr>
            <w:webHidden/>
          </w:rPr>
          <w:fldChar w:fldCharType="separate"/>
        </w:r>
        <w:r w:rsidR="0099122D">
          <w:rPr>
            <w:webHidden/>
          </w:rPr>
          <w:t>16</w:t>
        </w:r>
        <w:r w:rsidR="0099122D">
          <w:rPr>
            <w:webHidden/>
          </w:rPr>
          <w:fldChar w:fldCharType="end"/>
        </w:r>
      </w:hyperlink>
    </w:p>
    <w:p w:rsidR="0099122D" w:rsidRDefault="000F55A8">
      <w:pPr>
        <w:pStyle w:val="Obsah1"/>
        <w:rPr>
          <w:rFonts w:asciiTheme="minorHAnsi" w:eastAsiaTheme="minorEastAsia" w:hAnsiTheme="minorHAnsi" w:cstheme="minorBidi"/>
          <w:lang w:eastAsia="sk-SK"/>
        </w:rPr>
      </w:pPr>
      <w:hyperlink w:anchor="_Toc410051289" w:history="1">
        <w:r w:rsidR="0099122D" w:rsidRPr="00FE1455">
          <w:rPr>
            <w:rStyle w:val="Hypertextovprepojenie"/>
          </w:rPr>
          <w:t>2.</w:t>
        </w:r>
        <w:r w:rsidR="0099122D">
          <w:rPr>
            <w:rFonts w:asciiTheme="minorHAnsi" w:eastAsiaTheme="minorEastAsia" w:hAnsiTheme="minorHAnsi" w:cstheme="minorBidi"/>
            <w:lang w:eastAsia="sk-SK"/>
          </w:rPr>
          <w:tab/>
        </w:r>
        <w:r w:rsidR="0099122D" w:rsidRPr="00FE1455">
          <w:rPr>
            <w:rStyle w:val="Hypertextovprepojenie"/>
          </w:rPr>
          <w:t>Kvantitatívny prieskum</w:t>
        </w:r>
        <w:r w:rsidR="0099122D">
          <w:rPr>
            <w:webHidden/>
          </w:rPr>
          <w:tab/>
        </w:r>
        <w:r w:rsidR="0099122D">
          <w:rPr>
            <w:webHidden/>
          </w:rPr>
          <w:fldChar w:fldCharType="begin"/>
        </w:r>
        <w:r w:rsidR="0099122D">
          <w:rPr>
            <w:webHidden/>
          </w:rPr>
          <w:instrText xml:space="preserve"> PAGEREF _Toc410051289 \h </w:instrText>
        </w:r>
        <w:r w:rsidR="0099122D">
          <w:rPr>
            <w:webHidden/>
          </w:rPr>
        </w:r>
        <w:r w:rsidR="0099122D">
          <w:rPr>
            <w:webHidden/>
          </w:rPr>
          <w:fldChar w:fldCharType="separate"/>
        </w:r>
        <w:r w:rsidR="0099122D">
          <w:rPr>
            <w:webHidden/>
          </w:rPr>
          <w:t>18</w:t>
        </w:r>
        <w:r w:rsidR="0099122D">
          <w:rPr>
            <w:webHidden/>
          </w:rPr>
          <w:fldChar w:fldCharType="end"/>
        </w:r>
      </w:hyperlink>
    </w:p>
    <w:p w:rsidR="0099122D" w:rsidRDefault="000F55A8">
      <w:pPr>
        <w:pStyle w:val="Obsah2"/>
        <w:rPr>
          <w:rFonts w:asciiTheme="minorHAnsi" w:eastAsiaTheme="minorEastAsia" w:hAnsiTheme="minorHAnsi" w:cstheme="minorBidi"/>
          <w:sz w:val="22"/>
        </w:rPr>
      </w:pPr>
      <w:hyperlink w:anchor="_Toc410051290" w:history="1">
        <w:r w:rsidR="0099122D" w:rsidRPr="00FE1455">
          <w:rPr>
            <w:rStyle w:val="Hypertextovprepojenie"/>
          </w:rPr>
          <w:t>2.1.</w:t>
        </w:r>
        <w:r w:rsidR="0099122D">
          <w:rPr>
            <w:rFonts w:asciiTheme="minorHAnsi" w:eastAsiaTheme="minorEastAsia" w:hAnsiTheme="minorHAnsi" w:cstheme="minorBidi"/>
            <w:sz w:val="22"/>
          </w:rPr>
          <w:tab/>
        </w:r>
        <w:r w:rsidR="0099122D" w:rsidRPr="00FE1455">
          <w:rPr>
            <w:rStyle w:val="Hypertextovprepojenie"/>
          </w:rPr>
          <w:t>Ciele prieskumu</w:t>
        </w:r>
        <w:r w:rsidR="0099122D">
          <w:rPr>
            <w:webHidden/>
          </w:rPr>
          <w:tab/>
        </w:r>
        <w:r w:rsidR="0099122D">
          <w:rPr>
            <w:webHidden/>
          </w:rPr>
          <w:fldChar w:fldCharType="begin"/>
        </w:r>
        <w:r w:rsidR="0099122D">
          <w:rPr>
            <w:webHidden/>
          </w:rPr>
          <w:instrText xml:space="preserve"> PAGEREF _Toc410051290 \h </w:instrText>
        </w:r>
        <w:r w:rsidR="0099122D">
          <w:rPr>
            <w:webHidden/>
          </w:rPr>
        </w:r>
        <w:r w:rsidR="0099122D">
          <w:rPr>
            <w:webHidden/>
          </w:rPr>
          <w:fldChar w:fldCharType="separate"/>
        </w:r>
        <w:r w:rsidR="0099122D">
          <w:rPr>
            <w:webHidden/>
          </w:rPr>
          <w:t>18</w:t>
        </w:r>
        <w:r w:rsidR="0099122D">
          <w:rPr>
            <w:webHidden/>
          </w:rPr>
          <w:fldChar w:fldCharType="end"/>
        </w:r>
      </w:hyperlink>
    </w:p>
    <w:p w:rsidR="0099122D" w:rsidRDefault="000F55A8">
      <w:pPr>
        <w:pStyle w:val="Obsah2"/>
        <w:rPr>
          <w:rFonts w:asciiTheme="minorHAnsi" w:eastAsiaTheme="minorEastAsia" w:hAnsiTheme="minorHAnsi" w:cstheme="minorBidi"/>
          <w:sz w:val="22"/>
        </w:rPr>
      </w:pPr>
      <w:hyperlink w:anchor="_Toc410051291" w:history="1">
        <w:r w:rsidR="0099122D" w:rsidRPr="00FE1455">
          <w:rPr>
            <w:rStyle w:val="Hypertextovprepojenie"/>
          </w:rPr>
          <w:t>2.2.</w:t>
        </w:r>
        <w:r w:rsidR="0099122D">
          <w:rPr>
            <w:rFonts w:asciiTheme="minorHAnsi" w:eastAsiaTheme="minorEastAsia" w:hAnsiTheme="minorHAnsi" w:cstheme="minorBidi"/>
            <w:sz w:val="22"/>
          </w:rPr>
          <w:tab/>
        </w:r>
        <w:r w:rsidR="0099122D" w:rsidRPr="00FE1455">
          <w:rPr>
            <w:rStyle w:val="Hypertextovprepojenie"/>
          </w:rPr>
          <w:t>Metodika prieskumu</w:t>
        </w:r>
        <w:r w:rsidR="0099122D">
          <w:rPr>
            <w:webHidden/>
          </w:rPr>
          <w:tab/>
        </w:r>
        <w:r w:rsidR="0099122D">
          <w:rPr>
            <w:webHidden/>
          </w:rPr>
          <w:fldChar w:fldCharType="begin"/>
        </w:r>
        <w:r w:rsidR="0099122D">
          <w:rPr>
            <w:webHidden/>
          </w:rPr>
          <w:instrText xml:space="preserve"> PAGEREF _Toc410051291 \h </w:instrText>
        </w:r>
        <w:r w:rsidR="0099122D">
          <w:rPr>
            <w:webHidden/>
          </w:rPr>
        </w:r>
        <w:r w:rsidR="0099122D">
          <w:rPr>
            <w:webHidden/>
          </w:rPr>
          <w:fldChar w:fldCharType="separate"/>
        </w:r>
        <w:r w:rsidR="0099122D">
          <w:rPr>
            <w:webHidden/>
          </w:rPr>
          <w:t>19</w:t>
        </w:r>
        <w:r w:rsidR="0099122D">
          <w:rPr>
            <w:webHidden/>
          </w:rPr>
          <w:fldChar w:fldCharType="end"/>
        </w:r>
      </w:hyperlink>
    </w:p>
    <w:p w:rsidR="0099122D" w:rsidRDefault="000F55A8">
      <w:pPr>
        <w:pStyle w:val="Obsah2"/>
        <w:rPr>
          <w:rFonts w:asciiTheme="minorHAnsi" w:eastAsiaTheme="minorEastAsia" w:hAnsiTheme="minorHAnsi" w:cstheme="minorBidi"/>
          <w:sz w:val="22"/>
        </w:rPr>
      </w:pPr>
      <w:hyperlink w:anchor="_Toc410051292" w:history="1">
        <w:r w:rsidR="0099122D" w:rsidRPr="00FE1455">
          <w:rPr>
            <w:rStyle w:val="Hypertextovprepojenie"/>
          </w:rPr>
          <w:t>2.3.</w:t>
        </w:r>
        <w:r w:rsidR="0099122D">
          <w:rPr>
            <w:rFonts w:asciiTheme="minorHAnsi" w:eastAsiaTheme="minorEastAsia" w:hAnsiTheme="minorHAnsi" w:cstheme="minorBidi"/>
            <w:sz w:val="22"/>
          </w:rPr>
          <w:tab/>
        </w:r>
        <w:r w:rsidR="0099122D" w:rsidRPr="00FE1455">
          <w:rPr>
            <w:rStyle w:val="Hypertextovprepojenie"/>
          </w:rPr>
          <w:t>Charakteristika výberovej vzorky</w:t>
        </w:r>
        <w:r w:rsidR="0099122D">
          <w:rPr>
            <w:webHidden/>
          </w:rPr>
          <w:tab/>
        </w:r>
        <w:r w:rsidR="0099122D">
          <w:rPr>
            <w:webHidden/>
          </w:rPr>
          <w:fldChar w:fldCharType="begin"/>
        </w:r>
        <w:r w:rsidR="0099122D">
          <w:rPr>
            <w:webHidden/>
          </w:rPr>
          <w:instrText xml:space="preserve"> PAGEREF _Toc410051292 \h </w:instrText>
        </w:r>
        <w:r w:rsidR="0099122D">
          <w:rPr>
            <w:webHidden/>
          </w:rPr>
        </w:r>
        <w:r w:rsidR="0099122D">
          <w:rPr>
            <w:webHidden/>
          </w:rPr>
          <w:fldChar w:fldCharType="separate"/>
        </w:r>
        <w:r w:rsidR="0099122D">
          <w:rPr>
            <w:webHidden/>
          </w:rPr>
          <w:t>20</w:t>
        </w:r>
        <w:r w:rsidR="0099122D">
          <w:rPr>
            <w:webHidden/>
          </w:rPr>
          <w:fldChar w:fldCharType="end"/>
        </w:r>
      </w:hyperlink>
    </w:p>
    <w:p w:rsidR="0099122D" w:rsidRDefault="000F55A8">
      <w:pPr>
        <w:pStyle w:val="Obsah2"/>
        <w:rPr>
          <w:rFonts w:asciiTheme="minorHAnsi" w:eastAsiaTheme="minorEastAsia" w:hAnsiTheme="minorHAnsi" w:cstheme="minorBidi"/>
          <w:sz w:val="22"/>
        </w:rPr>
      </w:pPr>
      <w:hyperlink w:anchor="_Toc410051293" w:history="1">
        <w:r w:rsidR="0099122D" w:rsidRPr="00FE1455">
          <w:rPr>
            <w:rStyle w:val="Hypertextovprepojenie"/>
          </w:rPr>
          <w:t>2.4.</w:t>
        </w:r>
        <w:r w:rsidR="0099122D">
          <w:rPr>
            <w:rFonts w:asciiTheme="minorHAnsi" w:eastAsiaTheme="minorEastAsia" w:hAnsiTheme="minorHAnsi" w:cstheme="minorBidi"/>
            <w:sz w:val="22"/>
          </w:rPr>
          <w:tab/>
        </w:r>
        <w:r w:rsidR="0099122D" w:rsidRPr="00FE1455">
          <w:rPr>
            <w:rStyle w:val="Hypertextovprepojenie"/>
          </w:rPr>
          <w:t>Vyhodnotenie výsledkov prieskumu</w:t>
        </w:r>
        <w:r w:rsidR="0099122D">
          <w:rPr>
            <w:webHidden/>
          </w:rPr>
          <w:tab/>
        </w:r>
        <w:r w:rsidR="0099122D">
          <w:rPr>
            <w:webHidden/>
          </w:rPr>
          <w:fldChar w:fldCharType="begin"/>
        </w:r>
        <w:r w:rsidR="0099122D">
          <w:rPr>
            <w:webHidden/>
          </w:rPr>
          <w:instrText xml:space="preserve"> PAGEREF _Toc410051293 \h </w:instrText>
        </w:r>
        <w:r w:rsidR="0099122D">
          <w:rPr>
            <w:webHidden/>
          </w:rPr>
        </w:r>
        <w:r w:rsidR="0099122D">
          <w:rPr>
            <w:webHidden/>
          </w:rPr>
          <w:fldChar w:fldCharType="separate"/>
        </w:r>
        <w:r w:rsidR="0099122D">
          <w:rPr>
            <w:webHidden/>
          </w:rPr>
          <w:t>23</w:t>
        </w:r>
        <w:r w:rsidR="0099122D">
          <w:rPr>
            <w:webHidden/>
          </w:rPr>
          <w:fldChar w:fldCharType="end"/>
        </w:r>
      </w:hyperlink>
    </w:p>
    <w:p w:rsidR="0099122D" w:rsidRDefault="000F55A8">
      <w:pPr>
        <w:pStyle w:val="Obsah3"/>
        <w:rPr>
          <w:rFonts w:asciiTheme="minorHAnsi" w:eastAsiaTheme="minorEastAsia" w:hAnsiTheme="minorHAnsi"/>
          <w:noProof/>
          <w:sz w:val="22"/>
          <w:lang w:eastAsia="sk-SK"/>
        </w:rPr>
      </w:pPr>
      <w:hyperlink w:anchor="_Toc410051294" w:history="1">
        <w:r w:rsidR="0099122D" w:rsidRPr="00FE1455">
          <w:rPr>
            <w:rStyle w:val="Hypertextovprepojenie"/>
            <w:noProof/>
          </w:rPr>
          <w:t>2.4.1.</w:t>
        </w:r>
        <w:r w:rsidR="0099122D">
          <w:rPr>
            <w:rFonts w:asciiTheme="minorHAnsi" w:eastAsiaTheme="minorEastAsia" w:hAnsiTheme="minorHAnsi"/>
            <w:noProof/>
            <w:sz w:val="22"/>
            <w:lang w:eastAsia="sk-SK"/>
          </w:rPr>
          <w:tab/>
        </w:r>
        <w:r w:rsidR="0099122D" w:rsidRPr="00FE1455">
          <w:rPr>
            <w:rStyle w:val="Hypertextovprepojenie"/>
            <w:noProof/>
          </w:rPr>
          <w:t>Povedomie o financovaní EÚ a o štrukturálnych fondoch</w:t>
        </w:r>
        <w:r w:rsidR="0099122D">
          <w:rPr>
            <w:noProof/>
            <w:webHidden/>
          </w:rPr>
          <w:tab/>
        </w:r>
        <w:r w:rsidR="0099122D">
          <w:rPr>
            <w:noProof/>
            <w:webHidden/>
          </w:rPr>
          <w:fldChar w:fldCharType="begin"/>
        </w:r>
        <w:r w:rsidR="0099122D">
          <w:rPr>
            <w:noProof/>
            <w:webHidden/>
          </w:rPr>
          <w:instrText xml:space="preserve"> PAGEREF _Toc410051294 \h </w:instrText>
        </w:r>
        <w:r w:rsidR="0099122D">
          <w:rPr>
            <w:noProof/>
            <w:webHidden/>
          </w:rPr>
        </w:r>
        <w:r w:rsidR="0099122D">
          <w:rPr>
            <w:noProof/>
            <w:webHidden/>
          </w:rPr>
          <w:fldChar w:fldCharType="separate"/>
        </w:r>
        <w:r w:rsidR="0099122D">
          <w:rPr>
            <w:noProof/>
            <w:webHidden/>
          </w:rPr>
          <w:t>23</w:t>
        </w:r>
        <w:r w:rsidR="0099122D">
          <w:rPr>
            <w:noProof/>
            <w:webHidden/>
          </w:rPr>
          <w:fldChar w:fldCharType="end"/>
        </w:r>
      </w:hyperlink>
    </w:p>
    <w:p w:rsidR="0099122D" w:rsidRDefault="000F55A8">
      <w:pPr>
        <w:pStyle w:val="Obsah3"/>
        <w:rPr>
          <w:rFonts w:asciiTheme="minorHAnsi" w:eastAsiaTheme="minorEastAsia" w:hAnsiTheme="minorHAnsi"/>
          <w:noProof/>
          <w:sz w:val="22"/>
          <w:lang w:eastAsia="sk-SK"/>
        </w:rPr>
      </w:pPr>
      <w:hyperlink w:anchor="_Toc410051295" w:history="1">
        <w:r w:rsidR="0099122D" w:rsidRPr="00FE1455">
          <w:rPr>
            <w:rStyle w:val="Hypertextovprepojenie"/>
            <w:noProof/>
          </w:rPr>
          <w:t>2.4.2.</w:t>
        </w:r>
        <w:r w:rsidR="0099122D">
          <w:rPr>
            <w:rFonts w:asciiTheme="minorHAnsi" w:eastAsiaTheme="minorEastAsia" w:hAnsiTheme="minorHAnsi"/>
            <w:noProof/>
            <w:sz w:val="22"/>
            <w:lang w:eastAsia="sk-SK"/>
          </w:rPr>
          <w:tab/>
        </w:r>
        <w:r w:rsidR="0099122D" w:rsidRPr="00FE1455">
          <w:rPr>
            <w:rStyle w:val="Hypertextovprepojenie"/>
            <w:noProof/>
          </w:rPr>
          <w:t>Povedomie o národnom strategickom referenčnom rámci SR a o jeho operačných programoch</w:t>
        </w:r>
        <w:r w:rsidR="0099122D">
          <w:rPr>
            <w:noProof/>
            <w:webHidden/>
          </w:rPr>
          <w:tab/>
        </w:r>
        <w:r w:rsidR="0099122D">
          <w:rPr>
            <w:noProof/>
            <w:webHidden/>
          </w:rPr>
          <w:fldChar w:fldCharType="begin"/>
        </w:r>
        <w:r w:rsidR="0099122D">
          <w:rPr>
            <w:noProof/>
            <w:webHidden/>
          </w:rPr>
          <w:instrText xml:space="preserve"> PAGEREF _Toc410051295 \h </w:instrText>
        </w:r>
        <w:r w:rsidR="0099122D">
          <w:rPr>
            <w:noProof/>
            <w:webHidden/>
          </w:rPr>
        </w:r>
        <w:r w:rsidR="0099122D">
          <w:rPr>
            <w:noProof/>
            <w:webHidden/>
          </w:rPr>
          <w:fldChar w:fldCharType="separate"/>
        </w:r>
        <w:r w:rsidR="0099122D">
          <w:rPr>
            <w:noProof/>
            <w:webHidden/>
          </w:rPr>
          <w:t>31</w:t>
        </w:r>
        <w:r w:rsidR="0099122D">
          <w:rPr>
            <w:noProof/>
            <w:webHidden/>
          </w:rPr>
          <w:fldChar w:fldCharType="end"/>
        </w:r>
      </w:hyperlink>
    </w:p>
    <w:p w:rsidR="0099122D" w:rsidRDefault="000F55A8">
      <w:pPr>
        <w:pStyle w:val="Obsah3"/>
        <w:rPr>
          <w:rFonts w:asciiTheme="minorHAnsi" w:eastAsiaTheme="minorEastAsia" w:hAnsiTheme="minorHAnsi"/>
          <w:noProof/>
          <w:sz w:val="22"/>
          <w:lang w:eastAsia="sk-SK"/>
        </w:rPr>
      </w:pPr>
      <w:hyperlink w:anchor="_Toc410051296" w:history="1">
        <w:r w:rsidR="0099122D" w:rsidRPr="00FE1455">
          <w:rPr>
            <w:rStyle w:val="Hypertextovprepojenie"/>
            <w:noProof/>
          </w:rPr>
          <w:t>2.4.3.</w:t>
        </w:r>
        <w:r w:rsidR="0099122D">
          <w:rPr>
            <w:rFonts w:asciiTheme="minorHAnsi" w:eastAsiaTheme="minorEastAsia" w:hAnsiTheme="minorHAnsi"/>
            <w:noProof/>
            <w:sz w:val="22"/>
            <w:lang w:eastAsia="sk-SK"/>
          </w:rPr>
          <w:tab/>
        </w:r>
        <w:r w:rsidR="0099122D" w:rsidRPr="00FE1455">
          <w:rPr>
            <w:rStyle w:val="Hypertextovprepojenie"/>
            <w:noProof/>
          </w:rPr>
          <w:t>Zdroje informácií o finančnej pomoci EÚ na Slovensku</w:t>
        </w:r>
        <w:r w:rsidR="0099122D">
          <w:rPr>
            <w:noProof/>
            <w:webHidden/>
          </w:rPr>
          <w:tab/>
        </w:r>
        <w:r w:rsidR="0099122D">
          <w:rPr>
            <w:noProof/>
            <w:webHidden/>
          </w:rPr>
          <w:fldChar w:fldCharType="begin"/>
        </w:r>
        <w:r w:rsidR="0099122D">
          <w:rPr>
            <w:noProof/>
            <w:webHidden/>
          </w:rPr>
          <w:instrText xml:space="preserve"> PAGEREF _Toc410051296 \h </w:instrText>
        </w:r>
        <w:r w:rsidR="0099122D">
          <w:rPr>
            <w:noProof/>
            <w:webHidden/>
          </w:rPr>
        </w:r>
        <w:r w:rsidR="0099122D">
          <w:rPr>
            <w:noProof/>
            <w:webHidden/>
          </w:rPr>
          <w:fldChar w:fldCharType="separate"/>
        </w:r>
        <w:r w:rsidR="0099122D">
          <w:rPr>
            <w:noProof/>
            <w:webHidden/>
          </w:rPr>
          <w:t>35</w:t>
        </w:r>
        <w:r w:rsidR="0099122D">
          <w:rPr>
            <w:noProof/>
            <w:webHidden/>
          </w:rPr>
          <w:fldChar w:fldCharType="end"/>
        </w:r>
      </w:hyperlink>
    </w:p>
    <w:p w:rsidR="0099122D" w:rsidRDefault="000F55A8">
      <w:pPr>
        <w:pStyle w:val="Obsah3"/>
        <w:rPr>
          <w:rFonts w:asciiTheme="minorHAnsi" w:eastAsiaTheme="minorEastAsia" w:hAnsiTheme="minorHAnsi"/>
          <w:noProof/>
          <w:sz w:val="22"/>
          <w:lang w:eastAsia="sk-SK"/>
        </w:rPr>
      </w:pPr>
      <w:hyperlink w:anchor="_Toc410051297" w:history="1">
        <w:r w:rsidR="0099122D" w:rsidRPr="00FE1455">
          <w:rPr>
            <w:rStyle w:val="Hypertextovprepojenie"/>
            <w:noProof/>
          </w:rPr>
          <w:t>2.4.4.</w:t>
        </w:r>
        <w:r w:rsidR="0099122D">
          <w:rPr>
            <w:rFonts w:asciiTheme="minorHAnsi" w:eastAsiaTheme="minorEastAsia" w:hAnsiTheme="minorHAnsi"/>
            <w:noProof/>
            <w:sz w:val="22"/>
            <w:lang w:eastAsia="sk-SK"/>
          </w:rPr>
          <w:tab/>
        </w:r>
        <w:r w:rsidR="0099122D" w:rsidRPr="00FE1455">
          <w:rPr>
            <w:rStyle w:val="Hypertextovprepojenie"/>
            <w:noProof/>
          </w:rPr>
          <w:t>Informačný portál o štrukturálnych fondoch EÚ</w:t>
        </w:r>
        <w:r w:rsidR="0099122D">
          <w:rPr>
            <w:noProof/>
            <w:webHidden/>
          </w:rPr>
          <w:tab/>
        </w:r>
        <w:r w:rsidR="0099122D">
          <w:rPr>
            <w:noProof/>
            <w:webHidden/>
          </w:rPr>
          <w:fldChar w:fldCharType="begin"/>
        </w:r>
        <w:r w:rsidR="0099122D">
          <w:rPr>
            <w:noProof/>
            <w:webHidden/>
          </w:rPr>
          <w:instrText xml:space="preserve"> PAGEREF _Toc410051297 \h </w:instrText>
        </w:r>
        <w:r w:rsidR="0099122D">
          <w:rPr>
            <w:noProof/>
            <w:webHidden/>
          </w:rPr>
        </w:r>
        <w:r w:rsidR="0099122D">
          <w:rPr>
            <w:noProof/>
            <w:webHidden/>
          </w:rPr>
          <w:fldChar w:fldCharType="separate"/>
        </w:r>
        <w:r w:rsidR="0099122D">
          <w:rPr>
            <w:noProof/>
            <w:webHidden/>
          </w:rPr>
          <w:t>38</w:t>
        </w:r>
        <w:r w:rsidR="0099122D">
          <w:rPr>
            <w:noProof/>
            <w:webHidden/>
          </w:rPr>
          <w:fldChar w:fldCharType="end"/>
        </w:r>
      </w:hyperlink>
    </w:p>
    <w:p w:rsidR="0099122D" w:rsidRDefault="000F55A8">
      <w:pPr>
        <w:pStyle w:val="Obsah3"/>
        <w:rPr>
          <w:rFonts w:asciiTheme="minorHAnsi" w:eastAsiaTheme="minorEastAsia" w:hAnsiTheme="minorHAnsi"/>
          <w:noProof/>
          <w:sz w:val="22"/>
          <w:lang w:eastAsia="sk-SK"/>
        </w:rPr>
      </w:pPr>
      <w:hyperlink w:anchor="_Toc410051298" w:history="1">
        <w:r w:rsidR="0099122D" w:rsidRPr="00FE1455">
          <w:rPr>
            <w:rStyle w:val="Hypertextovprepojenie"/>
            <w:noProof/>
          </w:rPr>
          <w:t>2.4.5.</w:t>
        </w:r>
        <w:r w:rsidR="0099122D">
          <w:rPr>
            <w:rFonts w:asciiTheme="minorHAnsi" w:eastAsiaTheme="minorEastAsia" w:hAnsiTheme="minorHAnsi"/>
            <w:noProof/>
            <w:sz w:val="22"/>
            <w:lang w:eastAsia="sk-SK"/>
          </w:rPr>
          <w:tab/>
        </w:r>
        <w:r w:rsidR="0099122D" w:rsidRPr="00FE1455">
          <w:rPr>
            <w:rStyle w:val="Hypertextovprepojenie"/>
            <w:noProof/>
          </w:rPr>
          <w:t>Informovanosť o operačných programoch EÚ</w:t>
        </w:r>
        <w:r w:rsidR="0099122D">
          <w:rPr>
            <w:noProof/>
            <w:webHidden/>
          </w:rPr>
          <w:tab/>
        </w:r>
        <w:r w:rsidR="0099122D">
          <w:rPr>
            <w:noProof/>
            <w:webHidden/>
          </w:rPr>
          <w:fldChar w:fldCharType="begin"/>
        </w:r>
        <w:r w:rsidR="0099122D">
          <w:rPr>
            <w:noProof/>
            <w:webHidden/>
          </w:rPr>
          <w:instrText xml:space="preserve"> PAGEREF _Toc410051298 \h </w:instrText>
        </w:r>
        <w:r w:rsidR="0099122D">
          <w:rPr>
            <w:noProof/>
            <w:webHidden/>
          </w:rPr>
        </w:r>
        <w:r w:rsidR="0099122D">
          <w:rPr>
            <w:noProof/>
            <w:webHidden/>
          </w:rPr>
          <w:fldChar w:fldCharType="separate"/>
        </w:r>
        <w:r w:rsidR="0099122D">
          <w:rPr>
            <w:noProof/>
            <w:webHidden/>
          </w:rPr>
          <w:t>42</w:t>
        </w:r>
        <w:r w:rsidR="0099122D">
          <w:rPr>
            <w:noProof/>
            <w:webHidden/>
          </w:rPr>
          <w:fldChar w:fldCharType="end"/>
        </w:r>
      </w:hyperlink>
    </w:p>
    <w:p w:rsidR="0099122D" w:rsidRDefault="000F55A8">
      <w:pPr>
        <w:pStyle w:val="Obsah3"/>
        <w:rPr>
          <w:rFonts w:asciiTheme="minorHAnsi" w:eastAsiaTheme="minorEastAsia" w:hAnsiTheme="minorHAnsi"/>
          <w:noProof/>
          <w:sz w:val="22"/>
          <w:lang w:eastAsia="sk-SK"/>
        </w:rPr>
      </w:pPr>
      <w:hyperlink w:anchor="_Toc410051299" w:history="1">
        <w:r w:rsidR="0099122D" w:rsidRPr="00FE1455">
          <w:rPr>
            <w:rStyle w:val="Hypertextovprepojenie"/>
            <w:noProof/>
          </w:rPr>
          <w:t>2.4.6.</w:t>
        </w:r>
        <w:r w:rsidR="0099122D">
          <w:rPr>
            <w:rFonts w:asciiTheme="minorHAnsi" w:eastAsiaTheme="minorEastAsia" w:hAnsiTheme="minorHAnsi"/>
            <w:noProof/>
            <w:sz w:val="22"/>
            <w:lang w:eastAsia="sk-SK"/>
          </w:rPr>
          <w:tab/>
        </w:r>
        <w:r w:rsidR="0099122D" w:rsidRPr="00FE1455">
          <w:rPr>
            <w:rStyle w:val="Hypertextovprepojenie"/>
            <w:noProof/>
          </w:rPr>
          <w:t>Subjektívne hodnotenie informácií o operačných programoch</w:t>
        </w:r>
        <w:r w:rsidR="0099122D">
          <w:rPr>
            <w:noProof/>
            <w:webHidden/>
          </w:rPr>
          <w:tab/>
        </w:r>
        <w:r w:rsidR="0099122D">
          <w:rPr>
            <w:noProof/>
            <w:webHidden/>
          </w:rPr>
          <w:fldChar w:fldCharType="begin"/>
        </w:r>
        <w:r w:rsidR="0099122D">
          <w:rPr>
            <w:noProof/>
            <w:webHidden/>
          </w:rPr>
          <w:instrText xml:space="preserve"> PAGEREF _Toc410051299 \h </w:instrText>
        </w:r>
        <w:r w:rsidR="0099122D">
          <w:rPr>
            <w:noProof/>
            <w:webHidden/>
          </w:rPr>
        </w:r>
        <w:r w:rsidR="0099122D">
          <w:rPr>
            <w:noProof/>
            <w:webHidden/>
          </w:rPr>
          <w:fldChar w:fldCharType="separate"/>
        </w:r>
        <w:r w:rsidR="0099122D">
          <w:rPr>
            <w:noProof/>
            <w:webHidden/>
          </w:rPr>
          <w:t>44</w:t>
        </w:r>
        <w:r w:rsidR="0099122D">
          <w:rPr>
            <w:noProof/>
            <w:webHidden/>
          </w:rPr>
          <w:fldChar w:fldCharType="end"/>
        </w:r>
      </w:hyperlink>
    </w:p>
    <w:p w:rsidR="0099122D" w:rsidRDefault="000F55A8">
      <w:pPr>
        <w:pStyle w:val="Obsah3"/>
        <w:rPr>
          <w:rFonts w:asciiTheme="minorHAnsi" w:eastAsiaTheme="minorEastAsia" w:hAnsiTheme="minorHAnsi"/>
          <w:noProof/>
          <w:sz w:val="22"/>
          <w:lang w:eastAsia="sk-SK"/>
        </w:rPr>
      </w:pPr>
      <w:hyperlink w:anchor="_Toc410051300" w:history="1">
        <w:r w:rsidR="0099122D" w:rsidRPr="00FE1455">
          <w:rPr>
            <w:rStyle w:val="Hypertextovprepojenie"/>
            <w:noProof/>
          </w:rPr>
          <w:t>2.4.7.</w:t>
        </w:r>
        <w:r w:rsidR="0099122D">
          <w:rPr>
            <w:rFonts w:asciiTheme="minorHAnsi" w:eastAsiaTheme="minorEastAsia" w:hAnsiTheme="minorHAnsi"/>
            <w:noProof/>
            <w:sz w:val="22"/>
            <w:lang w:eastAsia="sk-SK"/>
          </w:rPr>
          <w:tab/>
        </w:r>
        <w:r w:rsidR="0099122D" w:rsidRPr="00FE1455">
          <w:rPr>
            <w:rStyle w:val="Hypertextovprepojenie"/>
            <w:noProof/>
          </w:rPr>
          <w:t>Postoj voči činnosti fondov v rámci Európskej únie</w:t>
        </w:r>
        <w:r w:rsidR="0099122D">
          <w:rPr>
            <w:noProof/>
            <w:webHidden/>
          </w:rPr>
          <w:tab/>
        </w:r>
        <w:r w:rsidR="0099122D">
          <w:rPr>
            <w:noProof/>
            <w:webHidden/>
          </w:rPr>
          <w:fldChar w:fldCharType="begin"/>
        </w:r>
        <w:r w:rsidR="0099122D">
          <w:rPr>
            <w:noProof/>
            <w:webHidden/>
          </w:rPr>
          <w:instrText xml:space="preserve"> PAGEREF _Toc410051300 \h </w:instrText>
        </w:r>
        <w:r w:rsidR="0099122D">
          <w:rPr>
            <w:noProof/>
            <w:webHidden/>
          </w:rPr>
        </w:r>
        <w:r w:rsidR="0099122D">
          <w:rPr>
            <w:noProof/>
            <w:webHidden/>
          </w:rPr>
          <w:fldChar w:fldCharType="separate"/>
        </w:r>
        <w:r w:rsidR="0099122D">
          <w:rPr>
            <w:noProof/>
            <w:webHidden/>
          </w:rPr>
          <w:t>49</w:t>
        </w:r>
        <w:r w:rsidR="0099122D">
          <w:rPr>
            <w:noProof/>
            <w:webHidden/>
          </w:rPr>
          <w:fldChar w:fldCharType="end"/>
        </w:r>
      </w:hyperlink>
    </w:p>
    <w:p w:rsidR="0099122D" w:rsidRDefault="000F55A8">
      <w:pPr>
        <w:pStyle w:val="Obsah2"/>
        <w:rPr>
          <w:rFonts w:asciiTheme="minorHAnsi" w:eastAsiaTheme="minorEastAsia" w:hAnsiTheme="minorHAnsi" w:cstheme="minorBidi"/>
          <w:sz w:val="22"/>
        </w:rPr>
      </w:pPr>
      <w:hyperlink w:anchor="_Toc410051301" w:history="1">
        <w:r w:rsidR="0099122D" w:rsidRPr="00FE1455">
          <w:rPr>
            <w:rStyle w:val="Hypertextovprepojenie"/>
          </w:rPr>
          <w:t>2.5.</w:t>
        </w:r>
        <w:r w:rsidR="0099122D">
          <w:rPr>
            <w:rFonts w:asciiTheme="minorHAnsi" w:eastAsiaTheme="minorEastAsia" w:hAnsiTheme="minorHAnsi" w:cstheme="minorBidi"/>
            <w:sz w:val="22"/>
          </w:rPr>
          <w:tab/>
        </w:r>
        <w:r w:rsidR="0099122D" w:rsidRPr="00FE1455">
          <w:rPr>
            <w:rStyle w:val="Hypertextovprepojenie"/>
          </w:rPr>
          <w:t>Zhrnutie hlavných výsledkov</w:t>
        </w:r>
        <w:r w:rsidR="0099122D">
          <w:rPr>
            <w:webHidden/>
          </w:rPr>
          <w:tab/>
        </w:r>
        <w:r w:rsidR="0099122D">
          <w:rPr>
            <w:webHidden/>
          </w:rPr>
          <w:fldChar w:fldCharType="begin"/>
        </w:r>
        <w:r w:rsidR="0099122D">
          <w:rPr>
            <w:webHidden/>
          </w:rPr>
          <w:instrText xml:space="preserve"> PAGEREF _Toc410051301 \h </w:instrText>
        </w:r>
        <w:r w:rsidR="0099122D">
          <w:rPr>
            <w:webHidden/>
          </w:rPr>
        </w:r>
        <w:r w:rsidR="0099122D">
          <w:rPr>
            <w:webHidden/>
          </w:rPr>
          <w:fldChar w:fldCharType="separate"/>
        </w:r>
        <w:r w:rsidR="0099122D">
          <w:rPr>
            <w:webHidden/>
          </w:rPr>
          <w:t>56</w:t>
        </w:r>
        <w:r w:rsidR="0099122D">
          <w:rPr>
            <w:webHidden/>
          </w:rPr>
          <w:fldChar w:fldCharType="end"/>
        </w:r>
      </w:hyperlink>
    </w:p>
    <w:p w:rsidR="00A151A5" w:rsidRPr="00BC4524" w:rsidRDefault="00647D11" w:rsidP="00A151A5">
      <w:r w:rsidRPr="00BC4524">
        <w:fldChar w:fldCharType="end"/>
      </w:r>
    </w:p>
    <w:p w:rsidR="00A151A5" w:rsidRPr="00BC4524" w:rsidRDefault="00A151A5" w:rsidP="00A151A5"/>
    <w:p w:rsidR="00A151A5" w:rsidRPr="00BC4524" w:rsidRDefault="00A151A5" w:rsidP="00A151A5"/>
    <w:p w:rsidR="00A151A5" w:rsidRDefault="00A151A5" w:rsidP="00A151A5"/>
    <w:p w:rsidR="00A151A5" w:rsidRDefault="00A151A5" w:rsidP="00A151A5"/>
    <w:p w:rsidR="00A151A5" w:rsidRDefault="00A151A5" w:rsidP="00A151A5"/>
    <w:p w:rsidR="00A151A5" w:rsidRPr="00BC4524" w:rsidRDefault="00A151A5" w:rsidP="00A151A5"/>
    <w:p w:rsidR="0033631D" w:rsidRPr="00BC4524" w:rsidRDefault="00A151A5" w:rsidP="00BB27BD">
      <w:pPr>
        <w:pStyle w:val="Nadpis1"/>
        <w:rPr>
          <w:lang w:val="sk-SK"/>
        </w:rPr>
      </w:pPr>
      <w:r>
        <w:rPr>
          <w:lang w:val="sk-SK"/>
        </w:rPr>
        <w:br w:type="page"/>
      </w:r>
      <w:bookmarkStart w:id="0" w:name="_Toc410051281"/>
      <w:r w:rsidR="0008107A">
        <w:rPr>
          <w:lang w:val="sk-SK"/>
        </w:rPr>
        <w:lastRenderedPageBreak/>
        <w:t xml:space="preserve">Charakteristika cieľovej skupiny – </w:t>
      </w:r>
      <w:r w:rsidR="0033631D">
        <w:rPr>
          <w:lang w:val="sk-SK"/>
        </w:rPr>
        <w:t>Obyvateľstvo</w:t>
      </w:r>
      <w:r w:rsidR="0008107A">
        <w:rPr>
          <w:lang w:val="sk-SK"/>
        </w:rPr>
        <w:t xml:space="preserve"> </w:t>
      </w:r>
      <w:r w:rsidR="0033631D">
        <w:rPr>
          <w:lang w:val="sk-SK"/>
        </w:rPr>
        <w:t>na Slovensku</w:t>
      </w:r>
      <w:bookmarkEnd w:id="0"/>
    </w:p>
    <w:p w:rsidR="0033631D" w:rsidRDefault="0033631D" w:rsidP="00BB27BD">
      <w:r w:rsidRPr="000A2140">
        <w:t>Údaje uvedené v tejto kapitole sú čerpané zo Štatistického úradu SR</w:t>
      </w:r>
      <w:r>
        <w:t>,</w:t>
      </w:r>
      <w:r w:rsidRPr="000A2140">
        <w:t xml:space="preserve"> z jeho portálov </w:t>
      </w:r>
      <w:proofErr w:type="spellStart"/>
      <w:r w:rsidRPr="000A2140">
        <w:t>Slovstat</w:t>
      </w:r>
      <w:proofErr w:type="spellEnd"/>
      <w:r w:rsidRPr="000A2140">
        <w:t xml:space="preserve"> a</w:t>
      </w:r>
      <w:r>
        <w:t> </w:t>
      </w:r>
      <w:proofErr w:type="spellStart"/>
      <w:r w:rsidRPr="000A2140">
        <w:t>Regdat</w:t>
      </w:r>
      <w:proofErr w:type="spellEnd"/>
      <w:r>
        <w:t xml:space="preserve">. Najaktuálnejšie údaje, ktoré má ŠÚ SR v týchto databázach uvedené, sú údaje ku koncu roka 2013 (s výnimkou počtu domácností, kde sú uvedené dáta za rok 2012). </w:t>
      </w:r>
    </w:p>
    <w:p w:rsidR="0033631D" w:rsidRPr="00DB3125" w:rsidRDefault="0033631D" w:rsidP="00BB27BD">
      <w:pPr>
        <w:rPr>
          <w:rFonts w:ascii="Tahoma" w:hAnsi="Tahoma" w:cs="Tahoma"/>
          <w:highlight w:val="yellow"/>
        </w:rPr>
      </w:pPr>
    </w:p>
    <w:p w:rsidR="0033631D" w:rsidRPr="001D4A3B" w:rsidRDefault="0033631D" w:rsidP="00BB27BD">
      <w:pPr>
        <w:pStyle w:val="Nadpis2"/>
      </w:pPr>
      <w:bookmarkStart w:id="1" w:name="_Toc286650716"/>
      <w:bookmarkStart w:id="2" w:name="_Toc410051282"/>
      <w:r w:rsidRPr="001D4A3B">
        <w:t>Počet obyvateľov a pohyb obyvateľstva</w:t>
      </w:r>
      <w:bookmarkEnd w:id="1"/>
      <w:bookmarkEnd w:id="2"/>
    </w:p>
    <w:p w:rsidR="0033631D" w:rsidRPr="00BA3BEF" w:rsidRDefault="0033631D" w:rsidP="00BB27BD">
      <w:pPr>
        <w:rPr>
          <w:rStyle w:val="Zkladntext3Char"/>
          <w:rFonts w:eastAsiaTheme="minorHAnsi"/>
        </w:rPr>
      </w:pPr>
      <w:r w:rsidRPr="00BA3BEF">
        <w:rPr>
          <w:rStyle w:val="Zkladntext3Char"/>
          <w:rFonts w:eastAsiaTheme="minorHAnsi"/>
        </w:rPr>
        <w:t xml:space="preserve">K 31. decembru 2013 žilo v Slovenskej republike 5 415 949 obyvateľov, z toho ženy predstavovali 51,3 % a muži 48,7 %. </w:t>
      </w:r>
      <w:r>
        <w:rPr>
          <w:rStyle w:val="Zkladntext3Char"/>
          <w:rFonts w:eastAsiaTheme="minorHAnsi"/>
        </w:rPr>
        <w:t>Po poklese v roku 2011 celkový počet obyvateľov znova mierne rastie.</w:t>
      </w:r>
    </w:p>
    <w:p w:rsidR="0033631D" w:rsidRDefault="0033631D" w:rsidP="00BB27BD">
      <w:pPr>
        <w:rPr>
          <w:rStyle w:val="Zkladntext3Char"/>
          <w:rFonts w:eastAsiaTheme="minorHAnsi"/>
          <w:highlight w:val="yellow"/>
        </w:rPr>
      </w:pPr>
    </w:p>
    <w:p w:rsidR="0033631D" w:rsidRPr="00BC4524" w:rsidRDefault="0033631D" w:rsidP="00BB27BD">
      <w:pPr>
        <w:pStyle w:val="popis2"/>
      </w:pPr>
      <w:r w:rsidRPr="00BC4524">
        <w:t xml:space="preserve">Graf č. </w:t>
      </w:r>
      <w:r w:rsidR="000F55A8">
        <w:fldChar w:fldCharType="begin"/>
      </w:r>
      <w:r w:rsidR="000F55A8">
        <w:instrText xml:space="preserve"> SEQ Graf \* ARABIC </w:instrText>
      </w:r>
      <w:r w:rsidR="000F55A8">
        <w:fldChar w:fldCharType="separate"/>
      </w:r>
      <w:r w:rsidR="008B1877">
        <w:rPr>
          <w:noProof/>
        </w:rPr>
        <w:t>1</w:t>
      </w:r>
      <w:r w:rsidR="000F55A8">
        <w:rPr>
          <w:noProof/>
        </w:rPr>
        <w:fldChar w:fldCharType="end"/>
      </w:r>
      <w:r w:rsidRPr="00BC4524">
        <w:t xml:space="preserve">: </w:t>
      </w:r>
      <w:r>
        <w:t xml:space="preserve">Vývoj celkového počtu obyvateľov v SR a podielu žien v populácii </w:t>
      </w:r>
    </w:p>
    <w:p w:rsidR="0033631D" w:rsidRDefault="0033631D" w:rsidP="00BB27BD">
      <w:pPr>
        <w:rPr>
          <w:rStyle w:val="Zkladntext3Char"/>
          <w:rFonts w:eastAsiaTheme="minorHAnsi"/>
          <w:highlight w:val="yellow"/>
        </w:rPr>
      </w:pPr>
      <w:r>
        <w:rPr>
          <w:noProof/>
          <w:lang w:eastAsia="sk-SK"/>
        </w:rPr>
        <w:drawing>
          <wp:inline distT="0" distB="0" distL="0" distR="0" wp14:anchorId="58612A68" wp14:editId="22A4C33B">
            <wp:extent cx="5991225" cy="2247900"/>
            <wp:effectExtent l="0" t="0" r="9525" b="19050"/>
            <wp:docPr id="80" name="Graf 8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33631D" w:rsidRDefault="0033631D" w:rsidP="00BB27BD">
      <w:pPr>
        <w:rPr>
          <w:rStyle w:val="Zkladntext3Char"/>
          <w:rFonts w:eastAsiaTheme="minorHAnsi"/>
          <w:highlight w:val="yellow"/>
        </w:rPr>
      </w:pPr>
    </w:p>
    <w:p w:rsidR="0033631D" w:rsidRPr="00806295" w:rsidRDefault="0033631D" w:rsidP="00BB27BD">
      <w:pPr>
        <w:rPr>
          <w:rStyle w:val="Zkladntext3Char"/>
          <w:rFonts w:eastAsiaTheme="minorHAnsi"/>
        </w:rPr>
      </w:pPr>
      <w:r w:rsidRPr="00806295">
        <w:rPr>
          <w:rStyle w:val="Zkladntext3Char"/>
          <w:rFonts w:eastAsiaTheme="minorHAnsi"/>
        </w:rPr>
        <w:t xml:space="preserve">V roku 2013 sa narodilo 54 823 detí a zomrelo 52 089 ľudí. Prirodzený prírastok bol 2 734 obyvateľov. </w:t>
      </w:r>
      <w:r>
        <w:rPr>
          <w:rStyle w:val="Zkladntext3Char"/>
          <w:rFonts w:eastAsiaTheme="minorHAnsi"/>
        </w:rPr>
        <w:t>C</w:t>
      </w:r>
      <w:r w:rsidRPr="00806295">
        <w:rPr>
          <w:rStyle w:val="Zkladntext3Char"/>
          <w:rFonts w:eastAsiaTheme="minorHAnsi"/>
        </w:rPr>
        <w:t xml:space="preserve">elkový prírastok obyvateľstva </w:t>
      </w:r>
      <w:r>
        <w:rPr>
          <w:rStyle w:val="Zkladntext3Char"/>
          <w:rFonts w:eastAsiaTheme="minorHAnsi"/>
        </w:rPr>
        <w:t xml:space="preserve">je </w:t>
      </w:r>
      <w:r w:rsidRPr="00806295">
        <w:rPr>
          <w:rStyle w:val="Zkladntext3Char"/>
          <w:rFonts w:eastAsiaTheme="minorHAnsi"/>
        </w:rPr>
        <w:t>5</w:t>
      </w:r>
      <w:r>
        <w:rPr>
          <w:rStyle w:val="Zkladntext3Char"/>
          <w:rFonts w:eastAsiaTheme="minorHAnsi"/>
        </w:rPr>
        <w:t xml:space="preserve"> 113 osôb, so započítaním prírastku/úbytku </w:t>
      </w:r>
      <w:r w:rsidRPr="00806295">
        <w:rPr>
          <w:rStyle w:val="Zkladntext3Char"/>
          <w:rFonts w:eastAsiaTheme="minorHAnsi"/>
        </w:rPr>
        <w:t xml:space="preserve">sťahovaním. V uvedenom roku </w:t>
      </w:r>
      <w:r>
        <w:rPr>
          <w:rStyle w:val="Zkladntext3Char"/>
          <w:rFonts w:eastAsiaTheme="minorHAnsi"/>
        </w:rPr>
        <w:t xml:space="preserve">sa prisťahovalo </w:t>
      </w:r>
      <w:r w:rsidRPr="00806295">
        <w:rPr>
          <w:rStyle w:val="Zkladntext3Char"/>
          <w:rFonts w:eastAsiaTheme="minorHAnsi"/>
        </w:rPr>
        <w:t>5 149 a</w:t>
      </w:r>
      <w:r>
        <w:rPr>
          <w:rStyle w:val="Zkladntext3Char"/>
          <w:rFonts w:eastAsiaTheme="minorHAnsi"/>
        </w:rPr>
        <w:t> </w:t>
      </w:r>
      <w:r w:rsidRPr="00806295">
        <w:rPr>
          <w:rStyle w:val="Zkladntext3Char"/>
          <w:rFonts w:eastAsiaTheme="minorHAnsi"/>
        </w:rPr>
        <w:t>vysťaho</w:t>
      </w:r>
      <w:r>
        <w:rPr>
          <w:rStyle w:val="Zkladntext3Char"/>
          <w:rFonts w:eastAsiaTheme="minorHAnsi"/>
        </w:rPr>
        <w:t xml:space="preserve">valo </w:t>
      </w:r>
      <w:r w:rsidRPr="00806295">
        <w:rPr>
          <w:rStyle w:val="Zkladntext3Char"/>
          <w:rFonts w:eastAsiaTheme="minorHAnsi"/>
        </w:rPr>
        <w:t>2</w:t>
      </w:r>
      <w:r>
        <w:rPr>
          <w:rStyle w:val="Zkladntext3Char"/>
          <w:rFonts w:eastAsiaTheme="minorHAnsi"/>
        </w:rPr>
        <w:t xml:space="preserve"> 770 osôb.</w:t>
      </w:r>
    </w:p>
    <w:p w:rsidR="0033631D" w:rsidRDefault="0033631D" w:rsidP="00BB27BD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33631D" w:rsidRPr="00BC4524" w:rsidRDefault="0033631D" w:rsidP="00BB27BD">
      <w:pPr>
        <w:pStyle w:val="popis2"/>
      </w:pPr>
      <w:r w:rsidRPr="00BC4524">
        <w:lastRenderedPageBreak/>
        <w:t xml:space="preserve">Graf č. </w:t>
      </w:r>
      <w:r w:rsidR="000F55A8">
        <w:fldChar w:fldCharType="begin"/>
      </w:r>
      <w:r w:rsidR="000F55A8">
        <w:instrText xml:space="preserve"> SEQ Graf \* ARABIC </w:instrText>
      </w:r>
      <w:r w:rsidR="000F55A8">
        <w:fldChar w:fldCharType="separate"/>
      </w:r>
      <w:r w:rsidR="008B1877">
        <w:rPr>
          <w:noProof/>
        </w:rPr>
        <w:t>2</w:t>
      </w:r>
      <w:r w:rsidR="000F55A8">
        <w:rPr>
          <w:noProof/>
        </w:rPr>
        <w:fldChar w:fldCharType="end"/>
      </w:r>
      <w:r w:rsidRPr="00BC4524">
        <w:t xml:space="preserve">: </w:t>
      </w:r>
      <w:r>
        <w:t xml:space="preserve">Vývoj prirodzeného a celkového prírastku (úbytku) obyvateľov SR </w:t>
      </w:r>
    </w:p>
    <w:p w:rsidR="0033631D" w:rsidRDefault="0033631D" w:rsidP="00BB27BD">
      <w:pPr>
        <w:rPr>
          <w:rStyle w:val="Zkladntext3Char"/>
          <w:rFonts w:eastAsiaTheme="minorHAnsi"/>
          <w:highlight w:val="yellow"/>
        </w:rPr>
      </w:pPr>
      <w:r>
        <w:rPr>
          <w:noProof/>
          <w:lang w:eastAsia="sk-SK"/>
        </w:rPr>
        <w:drawing>
          <wp:inline distT="0" distB="0" distL="0" distR="0" wp14:anchorId="25E2740B" wp14:editId="7B8A9A04">
            <wp:extent cx="5857875" cy="2028825"/>
            <wp:effectExtent l="0" t="0" r="9525" b="9525"/>
            <wp:docPr id="81" name="Graf 8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33631D" w:rsidRDefault="0033631D" w:rsidP="00BB27BD">
      <w:pPr>
        <w:pStyle w:val="popis2"/>
      </w:pPr>
    </w:p>
    <w:p w:rsidR="0033631D" w:rsidRPr="0033631D" w:rsidRDefault="0033631D" w:rsidP="0033631D"/>
    <w:p w:rsidR="0033631D" w:rsidRDefault="0033631D" w:rsidP="00BB27BD">
      <w:pPr>
        <w:pStyle w:val="popis2"/>
        <w:rPr>
          <w:rStyle w:val="Zkladntext3Char"/>
          <w:rFonts w:eastAsiaTheme="minorHAnsi"/>
          <w:highlight w:val="yellow"/>
        </w:rPr>
      </w:pPr>
      <w:r w:rsidRPr="00BC4524">
        <w:t xml:space="preserve">Graf č. </w:t>
      </w:r>
      <w:r w:rsidR="000F55A8">
        <w:fldChar w:fldCharType="begin"/>
      </w:r>
      <w:r w:rsidR="000F55A8">
        <w:instrText xml:space="preserve"> SEQ Graf \* ARABIC </w:instrText>
      </w:r>
      <w:r w:rsidR="000F55A8">
        <w:fldChar w:fldCharType="separate"/>
      </w:r>
      <w:r w:rsidR="008B1877">
        <w:rPr>
          <w:noProof/>
        </w:rPr>
        <w:t>3</w:t>
      </w:r>
      <w:r w:rsidR="000F55A8">
        <w:rPr>
          <w:noProof/>
        </w:rPr>
        <w:fldChar w:fldCharType="end"/>
      </w:r>
      <w:r w:rsidRPr="00BC4524">
        <w:t xml:space="preserve">: </w:t>
      </w:r>
      <w:r>
        <w:t xml:space="preserve">Vývoj počtu živonarodených detí </w:t>
      </w:r>
    </w:p>
    <w:p w:rsidR="0033631D" w:rsidRDefault="0033631D" w:rsidP="00BB27BD">
      <w:pPr>
        <w:rPr>
          <w:rStyle w:val="Zkladntext3Char"/>
          <w:rFonts w:eastAsiaTheme="minorHAnsi"/>
          <w:highlight w:val="yellow"/>
        </w:rPr>
      </w:pPr>
      <w:r>
        <w:rPr>
          <w:noProof/>
          <w:lang w:eastAsia="sk-SK"/>
        </w:rPr>
        <w:drawing>
          <wp:inline distT="0" distB="0" distL="0" distR="0" wp14:anchorId="0F438B5C" wp14:editId="2D45FE4C">
            <wp:extent cx="5915025" cy="1676400"/>
            <wp:effectExtent l="0" t="0" r="9525" b="19050"/>
            <wp:docPr id="82" name="Graf 8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33631D" w:rsidRDefault="0033631D" w:rsidP="00BB27BD">
      <w:pPr>
        <w:rPr>
          <w:rFonts w:cs="Arial"/>
          <w:highlight w:val="yellow"/>
        </w:rPr>
      </w:pPr>
    </w:p>
    <w:p w:rsidR="0033631D" w:rsidRPr="00932E59" w:rsidRDefault="0033631D" w:rsidP="00BB27BD">
      <w:pPr>
        <w:rPr>
          <w:rFonts w:cs="Arial"/>
        </w:rPr>
      </w:pPr>
      <w:r w:rsidRPr="00932E59">
        <w:rPr>
          <w:rFonts w:cs="Arial"/>
        </w:rPr>
        <w:t xml:space="preserve">Slovenská republika je rozdelená na 8 samosprávnych krajov, pričom najľudnatejším je Prešovský kraj (818 916 obyvateľov – 15,1 % z celej SR) a najmenej ľudnatým je Trnavský kraj (557 608 obyvateľov – 10,3% z celej SR). </w:t>
      </w:r>
    </w:p>
    <w:p w:rsidR="0033631D" w:rsidRDefault="0033631D" w:rsidP="00BB27BD">
      <w:pPr>
        <w:pStyle w:val="popis2"/>
      </w:pPr>
    </w:p>
    <w:p w:rsidR="0033631D" w:rsidRDefault="0033631D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33631D" w:rsidRDefault="0033631D" w:rsidP="00BB27BD">
      <w:pPr>
        <w:pStyle w:val="popis2"/>
        <w:rPr>
          <w:rStyle w:val="Zkladntext3Char"/>
          <w:rFonts w:eastAsiaTheme="minorHAnsi"/>
          <w:highlight w:val="yellow"/>
        </w:rPr>
      </w:pPr>
      <w:r w:rsidRPr="00BC4524">
        <w:lastRenderedPageBreak/>
        <w:t xml:space="preserve">Graf č. </w:t>
      </w:r>
      <w:r w:rsidR="000F55A8">
        <w:fldChar w:fldCharType="begin"/>
      </w:r>
      <w:r w:rsidR="000F55A8">
        <w:instrText xml:space="preserve"> SEQ Graf \* ARABIC </w:instrText>
      </w:r>
      <w:r w:rsidR="000F55A8">
        <w:fldChar w:fldCharType="separate"/>
      </w:r>
      <w:r w:rsidR="008B1877">
        <w:rPr>
          <w:noProof/>
        </w:rPr>
        <w:t>4</w:t>
      </w:r>
      <w:r w:rsidR="000F55A8">
        <w:rPr>
          <w:noProof/>
        </w:rPr>
        <w:fldChar w:fldCharType="end"/>
      </w:r>
      <w:r w:rsidRPr="00BC4524">
        <w:t xml:space="preserve">: </w:t>
      </w:r>
      <w:r>
        <w:t xml:space="preserve">Počet obyvateľov </w:t>
      </w:r>
      <w:r w:rsidR="005E6F9F">
        <w:t>v jednotlivých krajoch</w:t>
      </w:r>
      <w:r>
        <w:t xml:space="preserve"> k 31.12.2013</w:t>
      </w:r>
    </w:p>
    <w:p w:rsidR="0033631D" w:rsidRPr="00DB3125" w:rsidRDefault="0033631D" w:rsidP="00BB27BD">
      <w:pPr>
        <w:rPr>
          <w:rFonts w:cs="Arial"/>
          <w:highlight w:val="yellow"/>
        </w:rPr>
      </w:pPr>
    </w:p>
    <w:p w:rsidR="0033631D" w:rsidRPr="00DB3125" w:rsidRDefault="0033631D" w:rsidP="00BB27BD">
      <w:pPr>
        <w:rPr>
          <w:highlight w:val="yellow"/>
        </w:rPr>
      </w:pPr>
      <w:r>
        <w:rPr>
          <w:noProof/>
          <w:lang w:eastAsia="sk-SK"/>
        </w:rPr>
        <w:drawing>
          <wp:inline distT="0" distB="0" distL="0" distR="0" wp14:anchorId="71397416" wp14:editId="44275EF6">
            <wp:extent cx="5760720" cy="2778081"/>
            <wp:effectExtent l="0" t="0" r="11430" b="22860"/>
            <wp:docPr id="83" name="Graf 8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33631D" w:rsidRDefault="0033631D" w:rsidP="00BB27BD">
      <w:pPr>
        <w:rPr>
          <w:rStyle w:val="Zkladntext3Char"/>
          <w:rFonts w:eastAsiaTheme="minorHAnsi"/>
          <w:highlight w:val="yellow"/>
        </w:rPr>
      </w:pPr>
    </w:p>
    <w:p w:rsidR="0033631D" w:rsidRPr="00293AE1" w:rsidRDefault="0033631D" w:rsidP="00BB27BD">
      <w:pPr>
        <w:pStyle w:val="popis2"/>
      </w:pPr>
      <w:r w:rsidRPr="00293AE1">
        <w:t xml:space="preserve">Tabuľka č. </w:t>
      </w:r>
      <w:r w:rsidR="000F55A8">
        <w:fldChar w:fldCharType="begin"/>
      </w:r>
      <w:r w:rsidR="000F55A8">
        <w:instrText xml:space="preserve"> SEQ Tabuľka \* ARABIC </w:instrText>
      </w:r>
      <w:r w:rsidR="000F55A8">
        <w:fldChar w:fldCharType="separate"/>
      </w:r>
      <w:r w:rsidR="008B1877">
        <w:rPr>
          <w:noProof/>
        </w:rPr>
        <w:t>1</w:t>
      </w:r>
      <w:r w:rsidR="000F55A8">
        <w:rPr>
          <w:noProof/>
        </w:rPr>
        <w:fldChar w:fldCharType="end"/>
      </w:r>
      <w:r w:rsidRPr="00293AE1">
        <w:t xml:space="preserve">: </w:t>
      </w:r>
      <w:r w:rsidRPr="00850DD6">
        <w:t>Medziročný nárast / pokles počtu obyvateľov podľa krajov</w:t>
      </w:r>
    </w:p>
    <w:tbl>
      <w:tblPr>
        <w:tblW w:w="9888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41"/>
        <w:gridCol w:w="842"/>
        <w:gridCol w:w="851"/>
        <w:gridCol w:w="850"/>
        <w:gridCol w:w="993"/>
        <w:gridCol w:w="850"/>
        <w:gridCol w:w="851"/>
        <w:gridCol w:w="850"/>
        <w:gridCol w:w="851"/>
        <w:gridCol w:w="708"/>
        <w:gridCol w:w="801"/>
      </w:tblGrid>
      <w:tr w:rsidR="0033631D" w:rsidRPr="001D7C97" w:rsidTr="00105A19">
        <w:trPr>
          <w:trHeight w:val="285"/>
        </w:trPr>
        <w:tc>
          <w:tcPr>
            <w:tcW w:w="14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BC4524">
              <w:t xml:space="preserve"> </w:t>
            </w: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> 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1D7C97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2004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1D7C97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2005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1D7C97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2006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1D7C97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2007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1D7C97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2008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1D7C97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2009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1D7C97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1D7C97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2011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1D7C97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2012</w:t>
            </w:r>
          </w:p>
        </w:tc>
        <w:tc>
          <w:tcPr>
            <w:tcW w:w="8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1D7C97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2013</w:t>
            </w:r>
          </w:p>
        </w:tc>
      </w:tr>
      <w:tr w:rsidR="0033631D" w:rsidRPr="001D7C97" w:rsidTr="00105A19">
        <w:trPr>
          <w:trHeight w:val="285"/>
        </w:trPr>
        <w:tc>
          <w:tcPr>
            <w:tcW w:w="1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>Bratislavský kraj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1 345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2 567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3 054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4 097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5 728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6 128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5 980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-22 149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6 145 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5 698 </w:t>
            </w:r>
          </w:p>
        </w:tc>
      </w:tr>
      <w:tr w:rsidR="0033631D" w:rsidRPr="001D7C97" w:rsidTr="00105A19">
        <w:trPr>
          <w:trHeight w:val="285"/>
        </w:trPr>
        <w:tc>
          <w:tcPr>
            <w:tcW w:w="1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>Trnavský kraj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1 184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974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903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2 076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2 783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1 591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1 556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-7 572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1 068 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1 031 </w:t>
            </w:r>
          </w:p>
        </w:tc>
      </w:tr>
      <w:tr w:rsidR="0033631D" w:rsidRPr="001D7C97" w:rsidTr="00105A19">
        <w:trPr>
          <w:trHeight w:val="285"/>
        </w:trPr>
        <w:tc>
          <w:tcPr>
            <w:tcW w:w="1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>Trenčiansk</w:t>
            </w:r>
            <w:r>
              <w:rPr>
                <w:rFonts w:eastAsia="Times New Roman" w:cs="Arial"/>
                <w:color w:val="000000"/>
                <w:sz w:val="18"/>
                <w:lang w:eastAsia="sk-SK"/>
              </w:rPr>
              <w:t>y</w:t>
            </w: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 kraj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-774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-1 006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-539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-16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28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-645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-395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-4 633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-1 027 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-765 </w:t>
            </w:r>
          </w:p>
        </w:tc>
      </w:tr>
      <w:tr w:rsidR="0033631D" w:rsidRPr="001D7C97" w:rsidTr="00105A19">
        <w:trPr>
          <w:trHeight w:val="285"/>
        </w:trPr>
        <w:tc>
          <w:tcPr>
            <w:tcW w:w="1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>Nitriansk</w:t>
            </w:r>
            <w:r>
              <w:rPr>
                <w:rFonts w:eastAsia="Times New Roman" w:cs="Arial"/>
                <w:color w:val="000000"/>
                <w:sz w:val="18"/>
                <w:lang w:eastAsia="sk-SK"/>
              </w:rPr>
              <w:t>y</w:t>
            </w: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 kraj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-402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-852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-1 193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-547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-383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-714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-909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-15 188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-1 164 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-1 738 </w:t>
            </w:r>
          </w:p>
        </w:tc>
      </w:tr>
      <w:tr w:rsidR="0033631D" w:rsidRPr="001D7C97" w:rsidTr="00105A19">
        <w:trPr>
          <w:trHeight w:val="285"/>
        </w:trPr>
        <w:tc>
          <w:tcPr>
            <w:tcW w:w="1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>Žilinský kraj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630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634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563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372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649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1 155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772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-8 673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520 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299 </w:t>
            </w:r>
          </w:p>
        </w:tc>
      </w:tr>
      <w:tr w:rsidR="0033631D" w:rsidRPr="001D7C97" w:rsidTr="00105A19">
        <w:trPr>
          <w:trHeight w:val="570"/>
        </w:trPr>
        <w:tc>
          <w:tcPr>
            <w:tcW w:w="1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>Banskobystrický kraj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-585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-1 249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-1 357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-1 094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-971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-511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-968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7 910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-1 638 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FF0000"/>
                <w:sz w:val="18"/>
                <w:lang w:eastAsia="sk-SK"/>
              </w:rPr>
              <w:t xml:space="preserve">-1 677 </w:t>
            </w:r>
          </w:p>
        </w:tc>
      </w:tr>
      <w:tr w:rsidR="0033631D" w:rsidRPr="001D7C97" w:rsidTr="00105A19">
        <w:trPr>
          <w:trHeight w:val="285"/>
        </w:trPr>
        <w:tc>
          <w:tcPr>
            <w:tcW w:w="1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>Prešovský kraj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1 931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1 851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1 887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1 456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2 016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3 056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2 432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6 363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1 576 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1 534 </w:t>
            </w:r>
          </w:p>
        </w:tc>
      </w:tr>
      <w:tr w:rsidR="0033631D" w:rsidRPr="001D7C97" w:rsidTr="00105A19">
        <w:trPr>
          <w:trHeight w:val="285"/>
        </w:trPr>
        <w:tc>
          <w:tcPr>
            <w:tcW w:w="1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>Košický kraj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1 440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1 439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1 139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1 017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1 406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2 611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1 880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12 991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1 034 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color w:val="000000"/>
                <w:sz w:val="18"/>
                <w:lang w:eastAsia="sk-SK"/>
              </w:rPr>
              <w:t xml:space="preserve">731 </w:t>
            </w:r>
          </w:p>
        </w:tc>
      </w:tr>
      <w:tr w:rsidR="0033631D" w:rsidRPr="001D7C97" w:rsidTr="00105A19">
        <w:trPr>
          <w:trHeight w:val="285"/>
        </w:trPr>
        <w:tc>
          <w:tcPr>
            <w:tcW w:w="1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left"/>
              <w:rPr>
                <w:rFonts w:eastAsia="Times New Roman" w:cs="Arial"/>
                <w:b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b/>
                <w:color w:val="000000"/>
                <w:sz w:val="18"/>
                <w:lang w:eastAsia="sk-SK"/>
              </w:rPr>
              <w:t>spolu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b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b/>
                <w:color w:val="000000"/>
                <w:sz w:val="18"/>
                <w:lang w:eastAsia="sk-SK"/>
              </w:rPr>
              <w:t xml:space="preserve">4 769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b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b/>
                <w:color w:val="000000"/>
                <w:sz w:val="18"/>
                <w:lang w:eastAsia="sk-SK"/>
              </w:rPr>
              <w:t xml:space="preserve">4 358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b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b/>
                <w:color w:val="000000"/>
                <w:sz w:val="18"/>
                <w:lang w:eastAsia="sk-SK"/>
              </w:rPr>
              <w:t xml:space="preserve">4 457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b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b/>
                <w:color w:val="000000"/>
                <w:sz w:val="18"/>
                <w:lang w:eastAsia="sk-SK"/>
              </w:rPr>
              <w:t xml:space="preserve">7 361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b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b/>
                <w:color w:val="000000"/>
                <w:sz w:val="18"/>
                <w:lang w:eastAsia="sk-SK"/>
              </w:rPr>
              <w:t xml:space="preserve">11 256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b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b/>
                <w:color w:val="000000"/>
                <w:sz w:val="18"/>
                <w:lang w:eastAsia="sk-SK"/>
              </w:rPr>
              <w:t xml:space="preserve">12 671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b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b/>
                <w:color w:val="000000"/>
                <w:sz w:val="18"/>
                <w:lang w:eastAsia="sk-SK"/>
              </w:rPr>
              <w:t xml:space="preserve">10 348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b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b/>
                <w:color w:val="FF0000"/>
                <w:sz w:val="18"/>
                <w:lang w:eastAsia="sk-SK"/>
              </w:rPr>
              <w:t xml:space="preserve">-30 951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b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b/>
                <w:color w:val="000000"/>
                <w:sz w:val="18"/>
                <w:lang w:eastAsia="sk-SK"/>
              </w:rPr>
              <w:t xml:space="preserve">6 514 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1D7C97" w:rsidRDefault="0033631D" w:rsidP="00105A19">
            <w:pPr>
              <w:spacing w:line="240" w:lineRule="auto"/>
              <w:jc w:val="right"/>
              <w:rPr>
                <w:rFonts w:eastAsia="Times New Roman" w:cs="Arial"/>
                <w:b/>
                <w:color w:val="000000"/>
                <w:sz w:val="18"/>
                <w:lang w:eastAsia="sk-SK"/>
              </w:rPr>
            </w:pPr>
            <w:r w:rsidRPr="001D7C97">
              <w:rPr>
                <w:rFonts w:eastAsia="Times New Roman" w:cs="Arial"/>
                <w:b/>
                <w:color w:val="000000"/>
                <w:sz w:val="18"/>
                <w:lang w:eastAsia="sk-SK"/>
              </w:rPr>
              <w:t xml:space="preserve">5 113 </w:t>
            </w:r>
          </w:p>
        </w:tc>
      </w:tr>
    </w:tbl>
    <w:p w:rsidR="0033631D" w:rsidRPr="00DB3125" w:rsidRDefault="0033631D" w:rsidP="00BB27BD">
      <w:pPr>
        <w:rPr>
          <w:rStyle w:val="Zkladntext3Char"/>
          <w:rFonts w:eastAsiaTheme="minorHAnsi"/>
          <w:highlight w:val="yellow"/>
        </w:rPr>
      </w:pPr>
    </w:p>
    <w:p w:rsidR="0033631D" w:rsidRPr="009E2F4B" w:rsidRDefault="0033631D" w:rsidP="00BB27BD">
      <w:pPr>
        <w:rPr>
          <w:rStyle w:val="Zkladntext3Char"/>
          <w:rFonts w:eastAsiaTheme="minorHAnsi"/>
        </w:rPr>
      </w:pPr>
      <w:r w:rsidRPr="009E2F4B">
        <w:rPr>
          <w:rStyle w:val="Zkladntext3Char"/>
          <w:rFonts w:eastAsiaTheme="minorHAnsi"/>
        </w:rPr>
        <w:t>V troch krajoch</w:t>
      </w:r>
      <w:r>
        <w:rPr>
          <w:rStyle w:val="Zkladntext3Char"/>
          <w:rFonts w:eastAsiaTheme="minorHAnsi"/>
        </w:rPr>
        <w:t xml:space="preserve"> </w:t>
      </w:r>
      <w:r w:rsidRPr="009E2F4B">
        <w:rPr>
          <w:rStyle w:val="Zkladntext3Char"/>
          <w:rFonts w:eastAsiaTheme="minorHAnsi"/>
        </w:rPr>
        <w:t xml:space="preserve">– Trenčianskom, Nitrianskom a Banskobystrickom kraji - dochádza  od roku 2004 (okrem </w:t>
      </w:r>
      <w:r>
        <w:rPr>
          <w:rStyle w:val="Zkladntext3Char"/>
          <w:rFonts w:eastAsiaTheme="minorHAnsi"/>
        </w:rPr>
        <w:t xml:space="preserve">niekoľkých </w:t>
      </w:r>
      <w:r w:rsidRPr="009E2F4B">
        <w:rPr>
          <w:rStyle w:val="Zkladntext3Char"/>
          <w:rFonts w:eastAsiaTheme="minorHAnsi"/>
        </w:rPr>
        <w:t>výnimiek) k medziročnému poklesu obyvateľstva.</w:t>
      </w:r>
    </w:p>
    <w:p w:rsidR="0033631D" w:rsidRDefault="0033631D" w:rsidP="00BB27BD">
      <w:r>
        <w:br/>
      </w:r>
      <w:r w:rsidRPr="00561B1D">
        <w:rPr>
          <w:rStyle w:val="Zkladntext3Char"/>
          <w:rFonts w:eastAsiaTheme="minorHAnsi"/>
        </w:rPr>
        <w:t>Necelá tretina obyvateľov žije v obciach od 1000 do 5000 obyvateľov, necelá polovica (45,5%) žije v sídlach do 5 tisíc obyvateľov</w:t>
      </w:r>
      <w:r w:rsidRPr="00FF1C84">
        <w:rPr>
          <w:rStyle w:val="Zkladntext3Char"/>
          <w:rFonts w:eastAsiaTheme="minorHAnsi"/>
        </w:rPr>
        <w:t>. V sídlach nad 20 tisíc obyvateľov žije 38,1 % slovenskej populácie.</w:t>
      </w:r>
    </w:p>
    <w:p w:rsidR="0033631D" w:rsidRDefault="0033631D" w:rsidP="00BB27BD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33631D" w:rsidRDefault="0033631D" w:rsidP="00BB27BD">
      <w:pPr>
        <w:pStyle w:val="popis2"/>
        <w:rPr>
          <w:rStyle w:val="Zkladntext3Char"/>
          <w:rFonts w:eastAsiaTheme="minorHAnsi"/>
          <w:highlight w:val="yellow"/>
        </w:rPr>
      </w:pPr>
      <w:r w:rsidRPr="00BC4524">
        <w:lastRenderedPageBreak/>
        <w:t xml:space="preserve">Graf č. </w:t>
      </w:r>
      <w:r w:rsidR="000F55A8">
        <w:fldChar w:fldCharType="begin"/>
      </w:r>
      <w:r w:rsidR="000F55A8">
        <w:instrText xml:space="preserve"> SEQ Graf \* ARABIC </w:instrText>
      </w:r>
      <w:r w:rsidR="000F55A8">
        <w:fldChar w:fldCharType="separate"/>
      </w:r>
      <w:r w:rsidR="008B1877">
        <w:rPr>
          <w:noProof/>
        </w:rPr>
        <w:t>5</w:t>
      </w:r>
      <w:r w:rsidR="000F55A8">
        <w:rPr>
          <w:noProof/>
        </w:rPr>
        <w:fldChar w:fldCharType="end"/>
      </w:r>
      <w:r w:rsidRPr="00BC4524">
        <w:t xml:space="preserve">: </w:t>
      </w:r>
      <w:r>
        <w:t xml:space="preserve">Počet obyvateľov k 31.12.2013 podľa veľkostnej kategórie obcí </w:t>
      </w:r>
    </w:p>
    <w:p w:rsidR="0033631D" w:rsidRDefault="0033631D" w:rsidP="00BB27BD">
      <w:pPr>
        <w:rPr>
          <w:rStyle w:val="Zkladntext3Char"/>
          <w:rFonts w:eastAsiaTheme="minorHAnsi"/>
          <w:highlight w:val="yellow"/>
        </w:rPr>
      </w:pPr>
      <w:r>
        <w:rPr>
          <w:noProof/>
          <w:lang w:eastAsia="sk-SK"/>
        </w:rPr>
        <w:drawing>
          <wp:inline distT="0" distB="0" distL="0" distR="0" wp14:anchorId="3572DDA8" wp14:editId="12AE4B27">
            <wp:extent cx="5657850" cy="2981325"/>
            <wp:effectExtent l="0" t="0" r="19050" b="9525"/>
            <wp:docPr id="84" name="Graf 8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33631D" w:rsidRDefault="0033631D" w:rsidP="00BB27BD">
      <w:pPr>
        <w:rPr>
          <w:rStyle w:val="Zkladntext3Char"/>
          <w:rFonts w:eastAsiaTheme="minorHAnsi"/>
          <w:highlight w:val="yellow"/>
        </w:rPr>
      </w:pPr>
    </w:p>
    <w:p w:rsidR="0033631D" w:rsidRPr="003D0AA8" w:rsidRDefault="0033631D" w:rsidP="00BB27BD">
      <w:pPr>
        <w:pStyle w:val="Bezriadkovania"/>
        <w:rPr>
          <w:rFonts w:cs="Arial"/>
          <w:szCs w:val="20"/>
        </w:rPr>
      </w:pPr>
    </w:p>
    <w:p w:rsidR="0033631D" w:rsidRPr="00293AE1" w:rsidRDefault="0033631D" w:rsidP="00BB27BD">
      <w:pPr>
        <w:pStyle w:val="popis2"/>
      </w:pPr>
      <w:r w:rsidRPr="00293AE1">
        <w:t xml:space="preserve">Tabuľka č. </w:t>
      </w:r>
      <w:r w:rsidR="000F55A8">
        <w:fldChar w:fldCharType="begin"/>
      </w:r>
      <w:r w:rsidR="000F55A8">
        <w:instrText xml:space="preserve"> SEQ Tabuľka \* ARABIC </w:instrText>
      </w:r>
      <w:r w:rsidR="000F55A8">
        <w:fldChar w:fldCharType="separate"/>
      </w:r>
      <w:r w:rsidR="008B1877">
        <w:rPr>
          <w:noProof/>
        </w:rPr>
        <w:t>2</w:t>
      </w:r>
      <w:r w:rsidR="000F55A8">
        <w:rPr>
          <w:noProof/>
        </w:rPr>
        <w:fldChar w:fldCharType="end"/>
      </w:r>
      <w:r w:rsidRPr="00293AE1">
        <w:t xml:space="preserve">: </w:t>
      </w:r>
      <w:r>
        <w:t xml:space="preserve">Vývoj podielu obyvateľov v jednotlivých veľkostných kategóriách obcí </w:t>
      </w:r>
    </w:p>
    <w:tbl>
      <w:tblPr>
        <w:tblW w:w="1008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75"/>
        <w:gridCol w:w="751"/>
        <w:gridCol w:w="808"/>
        <w:gridCol w:w="751"/>
        <w:gridCol w:w="751"/>
        <w:gridCol w:w="766"/>
        <w:gridCol w:w="850"/>
        <w:gridCol w:w="851"/>
        <w:gridCol w:w="751"/>
        <w:gridCol w:w="751"/>
        <w:gridCol w:w="751"/>
        <w:gridCol w:w="751"/>
      </w:tblGrid>
      <w:tr w:rsidR="0033631D" w:rsidRPr="00F26D81" w:rsidTr="00105A19">
        <w:trPr>
          <w:trHeight w:val="255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</w:p>
        </w:tc>
        <w:tc>
          <w:tcPr>
            <w:tcW w:w="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2003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2004</w:t>
            </w:r>
          </w:p>
        </w:tc>
        <w:tc>
          <w:tcPr>
            <w:tcW w:w="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2005</w:t>
            </w:r>
          </w:p>
        </w:tc>
        <w:tc>
          <w:tcPr>
            <w:tcW w:w="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2006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2007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2008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2009</w:t>
            </w:r>
          </w:p>
        </w:tc>
        <w:tc>
          <w:tcPr>
            <w:tcW w:w="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2010</w:t>
            </w:r>
          </w:p>
        </w:tc>
        <w:tc>
          <w:tcPr>
            <w:tcW w:w="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2011</w:t>
            </w:r>
          </w:p>
        </w:tc>
        <w:tc>
          <w:tcPr>
            <w:tcW w:w="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2012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b/>
                <w:bCs/>
                <w:color w:val="000000"/>
                <w:sz w:val="18"/>
                <w:szCs w:val="20"/>
                <w:lang w:eastAsia="sk-SK"/>
              </w:rPr>
              <w:t>2013</w:t>
            </w:r>
          </w:p>
        </w:tc>
      </w:tr>
      <w:tr w:rsidR="0033631D" w:rsidRPr="00F26D81" w:rsidTr="00105A19">
        <w:trPr>
          <w:trHeight w:val="870"/>
        </w:trPr>
        <w:tc>
          <w:tcPr>
            <w:tcW w:w="1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do 999 obyvateľov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16,1%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16,1%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16,0%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16,0%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15,7%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15,6%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15,8%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15,8%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15,6%</w:t>
            </w:r>
          </w:p>
        </w:tc>
      </w:tr>
      <w:tr w:rsidR="0033631D" w:rsidRPr="00F26D81" w:rsidTr="00105A19">
        <w:trPr>
          <w:trHeight w:val="585"/>
        </w:trPr>
        <w:tc>
          <w:tcPr>
            <w:tcW w:w="1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1 000 – 4 999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28,4%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28,6%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28,9%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28,8%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29,1%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29,1%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29,3%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29,5%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29,5%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29,7%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29,9%</w:t>
            </w:r>
          </w:p>
        </w:tc>
      </w:tr>
      <w:tr w:rsidR="0033631D" w:rsidRPr="00F26D81" w:rsidTr="00105A19">
        <w:trPr>
          <w:trHeight w:val="585"/>
        </w:trPr>
        <w:tc>
          <w:tcPr>
            <w:tcW w:w="1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5 000 – 19 999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15,6%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15,6%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15,5%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15,7%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15,9%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15,9%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15,9%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16,4%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16,3%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16,4%</w:t>
            </w:r>
          </w:p>
        </w:tc>
      </w:tr>
      <w:tr w:rsidR="0033631D" w:rsidRPr="00F26D81" w:rsidTr="00105A19">
        <w:trPr>
          <w:trHeight w:val="585"/>
        </w:trPr>
        <w:tc>
          <w:tcPr>
            <w:tcW w:w="1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20 000 – 49 999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15,7%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15,6%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15,6%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15,5%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15,4%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15,3%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16,1%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15,8%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15,7%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15,6%</w:t>
            </w:r>
          </w:p>
        </w:tc>
      </w:tr>
      <w:tr w:rsidR="0033631D" w:rsidRPr="00F26D81" w:rsidTr="00105A19">
        <w:trPr>
          <w:trHeight w:val="585"/>
        </w:trPr>
        <w:tc>
          <w:tcPr>
            <w:tcW w:w="1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50 000 – 99 999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11,9%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11,8%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11,8%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11,7%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11,7%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11,6%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11,6%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10,6%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10,4%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10,4%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10,4%</w:t>
            </w:r>
          </w:p>
        </w:tc>
      </w:tr>
      <w:tr w:rsidR="0033631D" w:rsidRPr="00F26D81" w:rsidTr="00105A19">
        <w:trPr>
          <w:trHeight w:val="585"/>
        </w:trPr>
        <w:tc>
          <w:tcPr>
            <w:tcW w:w="1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100 000 a viac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12,3%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12,3%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12,3%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12,2%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12,2%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12,2%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12,3%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12,3%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12,1%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12,1%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12,1%</w:t>
            </w:r>
          </w:p>
        </w:tc>
      </w:tr>
      <w:tr w:rsidR="0033631D" w:rsidRPr="00F26D81" w:rsidTr="00105A19">
        <w:trPr>
          <w:trHeight w:val="255"/>
        </w:trPr>
        <w:tc>
          <w:tcPr>
            <w:tcW w:w="15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left"/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  <w:t>spolu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  <w:t>100,0%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  <w:t>100,0%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  <w:t>100,0%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  <w:t>100,0%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  <w:t>100,0%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  <w:t>100,0%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  <w:t>100,0%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  <w:t>100,0%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  <w:t>100,0%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  <w:t>100,0%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F26D81" w:rsidRDefault="0033631D" w:rsidP="00105A19">
            <w:pPr>
              <w:spacing w:line="240" w:lineRule="auto"/>
              <w:jc w:val="right"/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</w:pPr>
            <w:r w:rsidRPr="00F26D81">
              <w:rPr>
                <w:rFonts w:eastAsia="Times New Roman" w:cs="Arial"/>
                <w:i/>
                <w:iCs/>
                <w:color w:val="000000"/>
                <w:sz w:val="18"/>
                <w:szCs w:val="20"/>
                <w:lang w:eastAsia="sk-SK"/>
              </w:rPr>
              <w:t>100,0%</w:t>
            </w:r>
          </w:p>
        </w:tc>
      </w:tr>
    </w:tbl>
    <w:p w:rsidR="0033631D" w:rsidRPr="00561B1D" w:rsidRDefault="0033631D" w:rsidP="00BB27BD">
      <w:pPr>
        <w:rPr>
          <w:rStyle w:val="Zkladntext3Char"/>
          <w:rFonts w:eastAsiaTheme="minorHAnsi"/>
        </w:rPr>
      </w:pPr>
    </w:p>
    <w:p w:rsidR="0033631D" w:rsidRDefault="0033631D" w:rsidP="00BB27BD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33631D" w:rsidRPr="00293AE1" w:rsidRDefault="0033631D" w:rsidP="00BB27BD">
      <w:pPr>
        <w:pStyle w:val="popis2"/>
      </w:pPr>
      <w:r w:rsidRPr="00293AE1">
        <w:lastRenderedPageBreak/>
        <w:t xml:space="preserve">Tabuľka č. </w:t>
      </w:r>
      <w:r w:rsidR="000F55A8">
        <w:fldChar w:fldCharType="begin"/>
      </w:r>
      <w:r w:rsidR="000F55A8">
        <w:instrText xml:space="preserve"> SEQ Tabuľka \* ARABIC </w:instrText>
      </w:r>
      <w:r w:rsidR="000F55A8">
        <w:fldChar w:fldCharType="separate"/>
      </w:r>
      <w:r w:rsidR="008B1877">
        <w:rPr>
          <w:noProof/>
        </w:rPr>
        <w:t>3</w:t>
      </w:r>
      <w:r w:rsidR="000F55A8">
        <w:rPr>
          <w:noProof/>
        </w:rPr>
        <w:fldChar w:fldCharType="end"/>
      </w:r>
      <w:r w:rsidRPr="00293AE1">
        <w:t xml:space="preserve">: </w:t>
      </w:r>
      <w:r>
        <w:t xml:space="preserve">Mestá nad 50 tis. obyvateľov </w:t>
      </w:r>
    </w:p>
    <w:tbl>
      <w:tblPr>
        <w:tblW w:w="5924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43"/>
        <w:gridCol w:w="2081"/>
      </w:tblGrid>
      <w:tr w:rsidR="0033631D" w:rsidRPr="009A7645" w:rsidTr="00105A19">
        <w:trPr>
          <w:trHeight w:val="323"/>
        </w:trPr>
        <w:tc>
          <w:tcPr>
            <w:tcW w:w="3843" w:type="dxa"/>
            <w:shd w:val="clear" w:color="auto" w:fill="BFBFBF" w:themeFill="background1" w:themeFillShade="BF"/>
            <w:noWrap/>
            <w:vAlign w:val="center"/>
          </w:tcPr>
          <w:p w:rsidR="0033631D" w:rsidRPr="009A7645" w:rsidRDefault="0033631D" w:rsidP="00105A19">
            <w:pPr>
              <w:spacing w:line="240" w:lineRule="auto"/>
              <w:jc w:val="left"/>
              <w:rPr>
                <w:rFonts w:eastAsia="Times New Roman" w:cs="Arial"/>
                <w:b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b/>
                <w:color w:val="000000"/>
                <w:lang w:eastAsia="sk-SK"/>
              </w:rPr>
              <w:t>Mesto</w:t>
            </w:r>
          </w:p>
        </w:tc>
        <w:tc>
          <w:tcPr>
            <w:tcW w:w="2081" w:type="dxa"/>
            <w:shd w:val="clear" w:color="auto" w:fill="BFBFBF" w:themeFill="background1" w:themeFillShade="BF"/>
            <w:noWrap/>
            <w:vAlign w:val="center"/>
          </w:tcPr>
          <w:p w:rsidR="0033631D" w:rsidRPr="009A7645" w:rsidRDefault="0033631D" w:rsidP="00105A19">
            <w:pPr>
              <w:spacing w:line="240" w:lineRule="auto"/>
              <w:jc w:val="right"/>
              <w:rPr>
                <w:rFonts w:eastAsia="Times New Roman" w:cs="Arial"/>
                <w:b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b/>
                <w:color w:val="000000"/>
                <w:lang w:eastAsia="sk-SK"/>
              </w:rPr>
              <w:t xml:space="preserve">Počet obyvateľov </w:t>
            </w:r>
            <w:r>
              <w:rPr>
                <w:rFonts w:eastAsia="Times New Roman" w:cs="Arial"/>
                <w:b/>
                <w:color w:val="000000"/>
                <w:lang w:eastAsia="sk-SK"/>
              </w:rPr>
              <w:br/>
            </w:r>
            <w:r w:rsidRPr="009A7645">
              <w:rPr>
                <w:rFonts w:eastAsia="Times New Roman" w:cs="Arial"/>
                <w:b/>
                <w:color w:val="000000"/>
                <w:lang w:eastAsia="sk-SK"/>
              </w:rPr>
              <w:t>(k 31.12.2013</w:t>
            </w:r>
            <w:r>
              <w:rPr>
                <w:rFonts w:eastAsia="Times New Roman" w:cs="Arial"/>
                <w:b/>
                <w:color w:val="000000"/>
                <w:lang w:eastAsia="sk-SK"/>
              </w:rPr>
              <w:t>)</w:t>
            </w:r>
          </w:p>
        </w:tc>
      </w:tr>
      <w:tr w:rsidR="0033631D" w:rsidRPr="009A7645" w:rsidTr="00105A19">
        <w:trPr>
          <w:trHeight w:val="323"/>
        </w:trPr>
        <w:tc>
          <w:tcPr>
            <w:tcW w:w="3843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Bratislava</w:t>
            </w:r>
          </w:p>
        </w:tc>
        <w:tc>
          <w:tcPr>
            <w:tcW w:w="2081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417 389</w:t>
            </w:r>
          </w:p>
        </w:tc>
      </w:tr>
      <w:tr w:rsidR="0033631D" w:rsidRPr="009A7645" w:rsidTr="00105A19">
        <w:trPr>
          <w:trHeight w:val="323"/>
        </w:trPr>
        <w:tc>
          <w:tcPr>
            <w:tcW w:w="3843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Košice</w:t>
            </w:r>
          </w:p>
        </w:tc>
        <w:tc>
          <w:tcPr>
            <w:tcW w:w="2081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239 797</w:t>
            </w:r>
          </w:p>
        </w:tc>
      </w:tr>
      <w:tr w:rsidR="0033631D" w:rsidRPr="009A7645" w:rsidTr="00105A19">
        <w:trPr>
          <w:trHeight w:val="323"/>
        </w:trPr>
        <w:tc>
          <w:tcPr>
            <w:tcW w:w="3843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Prešov</w:t>
            </w:r>
          </w:p>
        </w:tc>
        <w:tc>
          <w:tcPr>
            <w:tcW w:w="2081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90 923</w:t>
            </w:r>
          </w:p>
        </w:tc>
      </w:tr>
      <w:tr w:rsidR="0033631D" w:rsidRPr="009A7645" w:rsidTr="00105A19">
        <w:trPr>
          <w:trHeight w:val="323"/>
        </w:trPr>
        <w:tc>
          <w:tcPr>
            <w:tcW w:w="3843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Žilina</w:t>
            </w:r>
          </w:p>
        </w:tc>
        <w:tc>
          <w:tcPr>
            <w:tcW w:w="2081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81 273</w:t>
            </w:r>
          </w:p>
        </w:tc>
      </w:tr>
      <w:tr w:rsidR="0033631D" w:rsidRPr="009A7645" w:rsidTr="00105A19">
        <w:trPr>
          <w:trHeight w:val="323"/>
        </w:trPr>
        <w:tc>
          <w:tcPr>
            <w:tcW w:w="3843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Banská Bystrica</w:t>
            </w:r>
          </w:p>
        </w:tc>
        <w:tc>
          <w:tcPr>
            <w:tcW w:w="2081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79 368</w:t>
            </w:r>
          </w:p>
        </w:tc>
      </w:tr>
      <w:tr w:rsidR="0033631D" w:rsidRPr="009A7645" w:rsidTr="00105A19">
        <w:trPr>
          <w:trHeight w:val="323"/>
        </w:trPr>
        <w:tc>
          <w:tcPr>
            <w:tcW w:w="3843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Nitra</w:t>
            </w:r>
          </w:p>
        </w:tc>
        <w:tc>
          <w:tcPr>
            <w:tcW w:w="2081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78 351</w:t>
            </w:r>
          </w:p>
        </w:tc>
      </w:tr>
      <w:tr w:rsidR="0033631D" w:rsidRPr="009A7645" w:rsidTr="00105A19">
        <w:trPr>
          <w:trHeight w:val="323"/>
        </w:trPr>
        <w:tc>
          <w:tcPr>
            <w:tcW w:w="3843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Trnava</w:t>
            </w:r>
          </w:p>
        </w:tc>
        <w:tc>
          <w:tcPr>
            <w:tcW w:w="2081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65 978</w:t>
            </w:r>
          </w:p>
        </w:tc>
      </w:tr>
      <w:tr w:rsidR="0033631D" w:rsidRPr="009A7645" w:rsidTr="00105A19">
        <w:trPr>
          <w:trHeight w:val="323"/>
        </w:trPr>
        <w:tc>
          <w:tcPr>
            <w:tcW w:w="3843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Martin</w:t>
            </w:r>
          </w:p>
        </w:tc>
        <w:tc>
          <w:tcPr>
            <w:tcW w:w="2081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56 526</w:t>
            </w:r>
          </w:p>
        </w:tc>
      </w:tr>
      <w:tr w:rsidR="0033631D" w:rsidRPr="009A7645" w:rsidTr="00105A19">
        <w:trPr>
          <w:trHeight w:val="323"/>
        </w:trPr>
        <w:tc>
          <w:tcPr>
            <w:tcW w:w="3843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Trenčín</w:t>
            </w:r>
          </w:p>
        </w:tc>
        <w:tc>
          <w:tcPr>
            <w:tcW w:w="2081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55 886</w:t>
            </w:r>
          </w:p>
        </w:tc>
      </w:tr>
      <w:tr w:rsidR="0033631D" w:rsidRPr="009A7645" w:rsidTr="00105A19">
        <w:trPr>
          <w:trHeight w:val="323"/>
        </w:trPr>
        <w:tc>
          <w:tcPr>
            <w:tcW w:w="3843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Poprad</w:t>
            </w:r>
          </w:p>
        </w:tc>
        <w:tc>
          <w:tcPr>
            <w:tcW w:w="2081" w:type="dxa"/>
            <w:shd w:val="clear" w:color="auto" w:fill="auto"/>
            <w:noWrap/>
            <w:vAlign w:val="center"/>
            <w:hideMark/>
          </w:tcPr>
          <w:p w:rsidR="0033631D" w:rsidRPr="009A764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lang w:eastAsia="sk-SK"/>
              </w:rPr>
            </w:pPr>
            <w:r w:rsidRPr="009A7645">
              <w:rPr>
                <w:rFonts w:eastAsia="Times New Roman" w:cs="Arial"/>
                <w:color w:val="000000"/>
                <w:lang w:eastAsia="sk-SK"/>
              </w:rPr>
              <w:t>52 654</w:t>
            </w:r>
          </w:p>
        </w:tc>
      </w:tr>
    </w:tbl>
    <w:p w:rsidR="0033631D" w:rsidRPr="00DB3125" w:rsidRDefault="0033631D" w:rsidP="00BB27BD">
      <w:pPr>
        <w:rPr>
          <w:rFonts w:cs="Arial"/>
          <w:highlight w:val="yellow"/>
        </w:rPr>
      </w:pPr>
    </w:p>
    <w:p w:rsidR="0033631D" w:rsidRPr="00DB3125" w:rsidRDefault="0033631D" w:rsidP="00BB27BD">
      <w:pPr>
        <w:rPr>
          <w:rFonts w:cs="Arial"/>
          <w:highlight w:val="yellow"/>
        </w:rPr>
      </w:pPr>
    </w:p>
    <w:p w:rsidR="0033631D" w:rsidRPr="00076587" w:rsidRDefault="0033631D" w:rsidP="00BB27BD">
      <w:pPr>
        <w:pStyle w:val="Nadpis2"/>
      </w:pPr>
      <w:bookmarkStart w:id="3" w:name="_Toc410051283"/>
      <w:r w:rsidRPr="00076587">
        <w:t>Národnostná štruktúra</w:t>
      </w:r>
      <w:bookmarkEnd w:id="3"/>
    </w:p>
    <w:p w:rsidR="0033631D" w:rsidRDefault="0033631D" w:rsidP="00BB27BD">
      <w:pPr>
        <w:rPr>
          <w:rStyle w:val="Zkladntext3Char"/>
          <w:rFonts w:eastAsiaTheme="minorHAnsi"/>
        </w:rPr>
      </w:pPr>
      <w:r>
        <w:rPr>
          <w:rStyle w:val="Zkladntext3Char"/>
          <w:rFonts w:eastAsiaTheme="minorHAnsi"/>
        </w:rPr>
        <w:t>K</w:t>
      </w:r>
      <w:r w:rsidRPr="00076587">
        <w:rPr>
          <w:rStyle w:val="Zkladntext3Char"/>
          <w:rFonts w:eastAsiaTheme="minorHAnsi"/>
        </w:rPr>
        <w:t xml:space="preserve">u koncu roka 2013 žilo v Slovenskej republike </w:t>
      </w:r>
      <w:r>
        <w:rPr>
          <w:rStyle w:val="Zkladntext3Char"/>
          <w:rFonts w:eastAsiaTheme="minorHAnsi"/>
        </w:rPr>
        <w:t xml:space="preserve">celkovo </w:t>
      </w:r>
      <w:r w:rsidRPr="00883FBB">
        <w:rPr>
          <w:rStyle w:val="Zkladntext3Char"/>
          <w:rFonts w:eastAsiaTheme="minorHAnsi"/>
        </w:rPr>
        <w:t xml:space="preserve">5 415 949 obyvateľov, z toho bolo </w:t>
      </w:r>
      <w:r w:rsidRPr="00076587">
        <w:rPr>
          <w:rStyle w:val="Zkladntext3Char"/>
          <w:rFonts w:eastAsiaTheme="minorHAnsi"/>
        </w:rPr>
        <w:t xml:space="preserve">4 388 234 slovenskej národnosti, čo predstavuje 81 % populácie SR. </w:t>
      </w:r>
    </w:p>
    <w:p w:rsidR="0033631D" w:rsidRPr="00076587" w:rsidRDefault="0033631D" w:rsidP="00BB27BD">
      <w:pPr>
        <w:rPr>
          <w:rStyle w:val="Zkladntext3Char"/>
          <w:rFonts w:eastAsiaTheme="minorHAnsi"/>
        </w:rPr>
      </w:pPr>
    </w:p>
    <w:p w:rsidR="0033631D" w:rsidRPr="00293AE1" w:rsidRDefault="0033631D" w:rsidP="00BB27BD">
      <w:pPr>
        <w:pStyle w:val="popis2"/>
      </w:pPr>
      <w:r w:rsidRPr="00293AE1">
        <w:t xml:space="preserve">Tabuľka č. </w:t>
      </w:r>
      <w:r w:rsidR="000F55A8">
        <w:fldChar w:fldCharType="begin"/>
      </w:r>
      <w:r w:rsidR="000F55A8">
        <w:instrText xml:space="preserve"> SEQ Tabuľka \* ARABIC </w:instrText>
      </w:r>
      <w:r w:rsidR="000F55A8">
        <w:fldChar w:fldCharType="separate"/>
      </w:r>
      <w:r w:rsidR="008B1877">
        <w:rPr>
          <w:noProof/>
        </w:rPr>
        <w:t>4</w:t>
      </w:r>
      <w:r w:rsidR="000F55A8">
        <w:rPr>
          <w:noProof/>
        </w:rPr>
        <w:fldChar w:fldCharType="end"/>
      </w:r>
      <w:r w:rsidRPr="00293AE1">
        <w:t xml:space="preserve">: </w:t>
      </w:r>
      <w:r>
        <w:t>Obyvateľstvo podľa národnosti k 31.12.2013</w:t>
      </w:r>
    </w:p>
    <w:tbl>
      <w:tblPr>
        <w:tblW w:w="6111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50"/>
        <w:gridCol w:w="1985"/>
        <w:gridCol w:w="1276"/>
      </w:tblGrid>
      <w:tr w:rsidR="0033631D" w:rsidRPr="00C358A1" w:rsidTr="00105A19">
        <w:trPr>
          <w:trHeight w:val="295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Počet obyvateľov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Podiel</w:t>
            </w:r>
          </w:p>
        </w:tc>
      </w:tr>
      <w:tr w:rsidR="0033631D" w:rsidRPr="00C358A1" w:rsidTr="00105A19">
        <w:trPr>
          <w:trHeight w:val="29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slovenská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4 388 234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81,0%</w:t>
            </w:r>
          </w:p>
        </w:tc>
      </w:tr>
      <w:tr w:rsidR="0033631D" w:rsidRPr="00C358A1" w:rsidTr="00105A19">
        <w:trPr>
          <w:trHeight w:val="29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maďarská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458 038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8,5%</w:t>
            </w:r>
          </w:p>
        </w:tc>
      </w:tr>
      <w:tr w:rsidR="0033631D" w:rsidRPr="00C358A1" w:rsidTr="00105A19">
        <w:trPr>
          <w:trHeight w:val="29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rómska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107 915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2,0%</w:t>
            </w:r>
          </w:p>
        </w:tc>
      </w:tr>
      <w:tr w:rsidR="0033631D" w:rsidRPr="00C358A1" w:rsidTr="00105A19">
        <w:trPr>
          <w:trHeight w:val="29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česká, moravská, sliezska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37 702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0,7%</w:t>
            </w:r>
          </w:p>
        </w:tc>
      </w:tr>
      <w:tr w:rsidR="0033631D" w:rsidRPr="00C358A1" w:rsidTr="00105A19">
        <w:trPr>
          <w:trHeight w:val="29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rusínska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32 344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0,6%</w:t>
            </w:r>
          </w:p>
        </w:tc>
      </w:tr>
      <w:tr w:rsidR="0033631D" w:rsidRPr="00C358A1" w:rsidTr="00105A19">
        <w:trPr>
          <w:trHeight w:val="29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ukrajinská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8 576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0,2%</w:t>
            </w:r>
          </w:p>
        </w:tc>
      </w:tr>
      <w:tr w:rsidR="0033631D" w:rsidRPr="00C358A1" w:rsidTr="00105A19">
        <w:trPr>
          <w:trHeight w:val="29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nemecká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6 925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0,1%</w:t>
            </w:r>
          </w:p>
        </w:tc>
      </w:tr>
      <w:tr w:rsidR="0033631D" w:rsidRPr="00C358A1" w:rsidTr="00105A19">
        <w:trPr>
          <w:trHeight w:val="29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poľská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5 644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0,1%</w:t>
            </w:r>
          </w:p>
        </w:tc>
      </w:tr>
      <w:tr w:rsidR="0033631D" w:rsidRPr="00C358A1" w:rsidTr="00105A19">
        <w:trPr>
          <w:trHeight w:val="29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ruská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2 622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0,0%</w:t>
            </w:r>
          </w:p>
        </w:tc>
      </w:tr>
      <w:tr w:rsidR="0033631D" w:rsidRPr="00C358A1" w:rsidTr="00105A19">
        <w:trPr>
          <w:trHeight w:val="29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iná a neudaná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367 949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6,8%</w:t>
            </w:r>
          </w:p>
        </w:tc>
      </w:tr>
      <w:tr w:rsidR="0033631D" w:rsidRPr="00C358A1" w:rsidTr="00105A19">
        <w:trPr>
          <w:trHeight w:val="29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left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sk-SK"/>
              </w:rPr>
              <w:t>spolu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sk-SK"/>
              </w:rPr>
              <w:t>5 415 949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C358A1" w:rsidRDefault="0033631D" w:rsidP="00105A19">
            <w:pPr>
              <w:spacing w:line="240" w:lineRule="auto"/>
              <w:jc w:val="right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sk-SK"/>
              </w:rPr>
            </w:pPr>
            <w:r w:rsidRPr="00C358A1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sk-SK"/>
              </w:rPr>
              <w:t>100,0%</w:t>
            </w:r>
          </w:p>
        </w:tc>
      </w:tr>
    </w:tbl>
    <w:p w:rsidR="0033631D" w:rsidRPr="00DB3125" w:rsidRDefault="0033631D" w:rsidP="00BB27BD">
      <w:pPr>
        <w:rPr>
          <w:rFonts w:cs="Arial"/>
          <w:highlight w:val="yellow"/>
        </w:rPr>
      </w:pPr>
    </w:p>
    <w:p w:rsidR="0033631D" w:rsidRDefault="0033631D" w:rsidP="00BB27BD">
      <w:pPr>
        <w:rPr>
          <w:rStyle w:val="Zkladntext3Char"/>
          <w:rFonts w:eastAsiaTheme="minorHAnsi"/>
        </w:rPr>
      </w:pPr>
      <w:r w:rsidRPr="00EA63CF">
        <w:rPr>
          <w:rStyle w:val="Zkladntext3Char"/>
          <w:rFonts w:eastAsiaTheme="minorHAnsi"/>
        </w:rPr>
        <w:t>Najpočetnejšou menšinou je už tradične maďarská menšina, ktorá tvorí 8,5 %</w:t>
      </w:r>
      <w:r>
        <w:rPr>
          <w:rStyle w:val="Zkladntext3Char"/>
          <w:rFonts w:eastAsiaTheme="minorHAnsi"/>
        </w:rPr>
        <w:t>.</w:t>
      </w:r>
      <w:r w:rsidRPr="00EA63CF">
        <w:rPr>
          <w:rStyle w:val="Zkladntext3Char"/>
          <w:rFonts w:eastAsiaTheme="minorHAnsi"/>
        </w:rPr>
        <w:t xml:space="preserve"> </w:t>
      </w:r>
      <w:r>
        <w:rPr>
          <w:rStyle w:val="Zkladntext3Char"/>
          <w:rFonts w:eastAsiaTheme="minorHAnsi"/>
        </w:rPr>
        <w:t>D</w:t>
      </w:r>
      <w:r w:rsidRPr="00EA63CF">
        <w:rPr>
          <w:rStyle w:val="Zkladntext3Char"/>
          <w:rFonts w:eastAsiaTheme="minorHAnsi"/>
        </w:rPr>
        <w:t xml:space="preserve">ruhú najpočetnejšiu menšinu tvoria obyvatelia rómskej národnosti s podielom na celej populácii </w:t>
      </w:r>
      <w:r w:rsidRPr="00EA63CF">
        <w:rPr>
          <w:rStyle w:val="Zkladntext3Char"/>
          <w:rFonts w:eastAsiaTheme="minorHAnsi"/>
        </w:rPr>
        <w:br/>
        <w:t xml:space="preserve">2 %. </w:t>
      </w:r>
    </w:p>
    <w:p w:rsidR="0033631D" w:rsidRPr="006E3E76" w:rsidRDefault="0033631D" w:rsidP="00BB27BD">
      <w:pPr>
        <w:rPr>
          <w:rStyle w:val="Zkladntext3Char"/>
          <w:rFonts w:eastAsiaTheme="minorHAnsi"/>
        </w:rPr>
      </w:pPr>
      <w:r w:rsidRPr="006E3E76">
        <w:rPr>
          <w:rStyle w:val="Zkladntext3Char"/>
          <w:rFonts w:eastAsiaTheme="minorHAnsi"/>
        </w:rPr>
        <w:lastRenderedPageBreak/>
        <w:t xml:space="preserve">Regionálne je maďarská menšina koncentrovaná prevažne </w:t>
      </w:r>
      <w:r>
        <w:rPr>
          <w:rStyle w:val="Zkladntext3Char"/>
          <w:rFonts w:eastAsiaTheme="minorHAnsi"/>
        </w:rPr>
        <w:t xml:space="preserve">v Trnavskom a Nitrianskom kraji. </w:t>
      </w:r>
      <w:r w:rsidRPr="006E3E76">
        <w:rPr>
          <w:rStyle w:val="Zkladntext3Char"/>
          <w:rFonts w:eastAsiaTheme="minorHAnsi"/>
        </w:rPr>
        <w:t xml:space="preserve">Rómska populácia je sústredená najmä </w:t>
      </w:r>
      <w:r>
        <w:rPr>
          <w:rStyle w:val="Zkladntext3Char"/>
          <w:rFonts w:eastAsiaTheme="minorHAnsi"/>
        </w:rPr>
        <w:t>na východnom Slovensku</w:t>
      </w:r>
      <w:r w:rsidRPr="006E3E76">
        <w:rPr>
          <w:rStyle w:val="Zkladntext3Char"/>
          <w:rFonts w:eastAsiaTheme="minorHAnsi"/>
        </w:rPr>
        <w:t xml:space="preserve">, v Košickom a Prešovskom kraji. V Prešovskom kraji je viditeľná </w:t>
      </w:r>
      <w:r>
        <w:rPr>
          <w:rStyle w:val="Zkladntext3Char"/>
          <w:rFonts w:eastAsiaTheme="minorHAnsi"/>
        </w:rPr>
        <w:t xml:space="preserve">aj </w:t>
      </w:r>
      <w:r w:rsidRPr="006E3E76">
        <w:rPr>
          <w:rStyle w:val="Zkladntext3Char"/>
          <w:rFonts w:eastAsiaTheme="minorHAnsi"/>
        </w:rPr>
        <w:t xml:space="preserve">početná menšina rusínskej národnosti. </w:t>
      </w:r>
    </w:p>
    <w:p w:rsidR="0033631D" w:rsidRDefault="0033631D" w:rsidP="00BB27BD">
      <w:pPr>
        <w:rPr>
          <w:rStyle w:val="Zkladntext3Char"/>
          <w:rFonts w:eastAsiaTheme="minorHAnsi"/>
        </w:rPr>
      </w:pPr>
    </w:p>
    <w:p w:rsidR="0033631D" w:rsidRDefault="0033631D" w:rsidP="00BB27BD">
      <w:pPr>
        <w:pStyle w:val="popis2"/>
      </w:pPr>
      <w:r w:rsidRPr="00BC4524">
        <w:t xml:space="preserve">Graf č. </w:t>
      </w:r>
      <w:r w:rsidR="000F55A8">
        <w:fldChar w:fldCharType="begin"/>
      </w:r>
      <w:r w:rsidR="000F55A8">
        <w:instrText xml:space="preserve"> SEQ Graf \* ARABIC </w:instrText>
      </w:r>
      <w:r w:rsidR="000F55A8">
        <w:fldChar w:fldCharType="separate"/>
      </w:r>
      <w:r w:rsidR="008B1877">
        <w:rPr>
          <w:noProof/>
        </w:rPr>
        <w:t>6</w:t>
      </w:r>
      <w:r w:rsidR="000F55A8">
        <w:rPr>
          <w:noProof/>
        </w:rPr>
        <w:fldChar w:fldCharType="end"/>
      </w:r>
      <w:r w:rsidRPr="00BC4524">
        <w:t xml:space="preserve">: </w:t>
      </w:r>
      <w:r>
        <w:t xml:space="preserve">Podiel národnostných skupín obyvateľov v členení podľa krajov k 31.12.2013 </w:t>
      </w:r>
    </w:p>
    <w:p w:rsidR="0033631D" w:rsidRDefault="0033631D" w:rsidP="00BB27BD">
      <w:pPr>
        <w:rPr>
          <w:highlight w:val="yellow"/>
        </w:rPr>
      </w:pPr>
      <w:r>
        <w:rPr>
          <w:noProof/>
          <w:lang w:eastAsia="sk-SK"/>
        </w:rPr>
        <w:drawing>
          <wp:inline distT="0" distB="0" distL="0" distR="0" wp14:anchorId="29BAFD90" wp14:editId="059E5283">
            <wp:extent cx="6181725" cy="4295775"/>
            <wp:effectExtent l="0" t="0" r="9525" b="9525"/>
            <wp:docPr id="118" name="Graf 1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33631D" w:rsidRPr="00DB3125" w:rsidRDefault="0033631D" w:rsidP="00BB27BD">
      <w:pPr>
        <w:rPr>
          <w:rStyle w:val="Zkladntext3Char"/>
          <w:rFonts w:eastAsiaTheme="minorHAnsi"/>
          <w:highlight w:val="yellow"/>
        </w:rPr>
      </w:pPr>
    </w:p>
    <w:p w:rsidR="0033631D" w:rsidRPr="009E0B05" w:rsidRDefault="0033631D" w:rsidP="00BB27BD">
      <w:pPr>
        <w:pStyle w:val="Nadpis2"/>
      </w:pPr>
      <w:bookmarkStart w:id="4" w:name="_Toc286650718"/>
      <w:bookmarkStart w:id="5" w:name="_Toc410051284"/>
      <w:r w:rsidRPr="009E0B05">
        <w:t>Veková štruktúra</w:t>
      </w:r>
      <w:bookmarkEnd w:id="4"/>
      <w:bookmarkEnd w:id="5"/>
    </w:p>
    <w:p w:rsidR="0033631D" w:rsidRPr="00C62595" w:rsidRDefault="0033631D" w:rsidP="00BB27BD">
      <w:pPr>
        <w:rPr>
          <w:rStyle w:val="Zkladntext3Char"/>
          <w:rFonts w:eastAsiaTheme="minorHAnsi"/>
        </w:rPr>
      </w:pPr>
      <w:r w:rsidRPr="00C62595">
        <w:rPr>
          <w:rStyle w:val="Zkladntext3Char"/>
          <w:rFonts w:eastAsiaTheme="minorHAnsi"/>
        </w:rPr>
        <w:t xml:space="preserve">Na konci roka 2013 žilo v SR 71,1 % obyvateľov v produktívnom veku (15 – 64 rokov), </w:t>
      </w:r>
      <w:r w:rsidRPr="00C62595">
        <w:rPr>
          <w:rStyle w:val="Zkladntext3Char"/>
          <w:rFonts w:eastAsiaTheme="minorHAnsi"/>
        </w:rPr>
        <w:br/>
        <w:t xml:space="preserve">15,3 % </w:t>
      </w:r>
      <w:r>
        <w:rPr>
          <w:rStyle w:val="Zkladntext3Char"/>
          <w:rFonts w:eastAsiaTheme="minorHAnsi"/>
        </w:rPr>
        <w:t xml:space="preserve">obyvateľov </w:t>
      </w:r>
      <w:r w:rsidRPr="00C62595">
        <w:rPr>
          <w:rStyle w:val="Zkladntext3Char"/>
          <w:rFonts w:eastAsiaTheme="minorHAnsi"/>
        </w:rPr>
        <w:t>v predproduktívnom veku</w:t>
      </w:r>
      <w:r>
        <w:rPr>
          <w:rStyle w:val="Zkladntext3Char"/>
          <w:rFonts w:eastAsiaTheme="minorHAnsi"/>
        </w:rPr>
        <w:t xml:space="preserve"> (do 15 rokov)</w:t>
      </w:r>
      <w:r w:rsidRPr="00C62595">
        <w:rPr>
          <w:rStyle w:val="Zkladntext3Char"/>
          <w:rFonts w:eastAsiaTheme="minorHAnsi"/>
        </w:rPr>
        <w:t xml:space="preserve"> a 13,5 % </w:t>
      </w:r>
      <w:r>
        <w:rPr>
          <w:rStyle w:val="Zkladntext3Char"/>
          <w:rFonts w:eastAsiaTheme="minorHAnsi"/>
        </w:rPr>
        <w:t xml:space="preserve">obyvateľov </w:t>
      </w:r>
      <w:r w:rsidRPr="00C62595">
        <w:rPr>
          <w:rStyle w:val="Zkladntext3Char"/>
          <w:rFonts w:eastAsiaTheme="minorHAnsi"/>
        </w:rPr>
        <w:t>v poproduktívnom veku</w:t>
      </w:r>
      <w:r>
        <w:rPr>
          <w:rStyle w:val="Zkladntext3Char"/>
          <w:rFonts w:eastAsiaTheme="minorHAnsi"/>
        </w:rPr>
        <w:t xml:space="preserve"> (nad 65 rokov)</w:t>
      </w:r>
      <w:r w:rsidRPr="00C62595">
        <w:rPr>
          <w:rStyle w:val="Zkladntext3Char"/>
          <w:rFonts w:eastAsiaTheme="minorHAnsi"/>
        </w:rPr>
        <w:t xml:space="preserve">. </w:t>
      </w:r>
    </w:p>
    <w:p w:rsidR="0033631D" w:rsidRPr="006C44E2" w:rsidRDefault="0033631D" w:rsidP="00BB27BD">
      <w:pPr>
        <w:rPr>
          <w:rStyle w:val="Zkladntext3Char"/>
          <w:rFonts w:eastAsiaTheme="minorHAnsi"/>
        </w:rPr>
      </w:pPr>
      <w:r w:rsidRPr="006C44E2">
        <w:rPr>
          <w:rStyle w:val="Zkladntext3Char"/>
          <w:rFonts w:eastAsiaTheme="minorHAnsi"/>
        </w:rPr>
        <w:t xml:space="preserve">Podiel ľudí vo veku do 15 rokov medzi rokmi 2003 až 2013 klesal (zo 17,6% na 15,3 %). Podiel ekonomicky aktívneho obyvateľstva v rokoch 2003 – 2008 rástol, v období 2009 – 2013 znova začal klesať. Adekvátne tomu index ekonomického zaťaženia, teda podiel ľudí </w:t>
      </w:r>
      <w:r w:rsidRPr="006C44E2">
        <w:rPr>
          <w:rStyle w:val="Zkladntext3Char"/>
          <w:rFonts w:eastAsiaTheme="minorHAnsi"/>
        </w:rPr>
        <w:lastRenderedPageBreak/>
        <w:t>vo veku do 15 rokov a nad 65 rokov voči ľuďom vo veku 15 – 65 rokov, do roku 2008 klesal (zo 41</w:t>
      </w:r>
      <w:r>
        <w:rPr>
          <w:rStyle w:val="Zkladntext3Char"/>
          <w:rFonts w:eastAsiaTheme="minorHAnsi"/>
        </w:rPr>
        <w:t>,0</w:t>
      </w:r>
      <w:r w:rsidRPr="006C44E2">
        <w:rPr>
          <w:rStyle w:val="Zkladntext3Char"/>
          <w:rFonts w:eastAsiaTheme="minorHAnsi"/>
        </w:rPr>
        <w:t xml:space="preserve"> na 38</w:t>
      </w:r>
      <w:r>
        <w:rPr>
          <w:rStyle w:val="Zkladntext3Char"/>
          <w:rFonts w:eastAsiaTheme="minorHAnsi"/>
        </w:rPr>
        <w:t>,0</w:t>
      </w:r>
      <w:r w:rsidRPr="006C44E2">
        <w:rPr>
          <w:rStyle w:val="Zkladntext3Char"/>
          <w:rFonts w:eastAsiaTheme="minorHAnsi"/>
        </w:rPr>
        <w:t xml:space="preserve">) a od roku 2009 stúpal (z 38,1 na 40,6). </w:t>
      </w:r>
    </w:p>
    <w:p w:rsidR="0033631D" w:rsidRPr="00DB3125" w:rsidRDefault="0033631D" w:rsidP="00BB27BD">
      <w:pPr>
        <w:rPr>
          <w:rStyle w:val="Zkladntext3Char"/>
          <w:rFonts w:eastAsiaTheme="minorHAnsi"/>
          <w:highlight w:val="yellow"/>
        </w:rPr>
      </w:pPr>
    </w:p>
    <w:p w:rsidR="0033631D" w:rsidRPr="00293AE1" w:rsidRDefault="0033631D" w:rsidP="00BB27BD">
      <w:pPr>
        <w:pStyle w:val="popis2"/>
      </w:pPr>
      <w:r w:rsidRPr="00293AE1">
        <w:t xml:space="preserve">Tabuľka č. </w:t>
      </w:r>
      <w:r w:rsidR="000F55A8">
        <w:fldChar w:fldCharType="begin"/>
      </w:r>
      <w:r w:rsidR="000F55A8">
        <w:instrText xml:space="preserve"> SEQ Tabuľka \* A</w:instrText>
      </w:r>
      <w:r w:rsidR="000F55A8">
        <w:instrText xml:space="preserve">RABIC </w:instrText>
      </w:r>
      <w:r w:rsidR="000F55A8">
        <w:fldChar w:fldCharType="separate"/>
      </w:r>
      <w:r w:rsidR="008B1877">
        <w:rPr>
          <w:noProof/>
        </w:rPr>
        <w:t>5</w:t>
      </w:r>
      <w:r w:rsidR="000F55A8">
        <w:rPr>
          <w:noProof/>
        </w:rPr>
        <w:fldChar w:fldCharType="end"/>
      </w:r>
      <w:r w:rsidRPr="00293AE1">
        <w:t xml:space="preserve">: </w:t>
      </w:r>
      <w:r>
        <w:t xml:space="preserve">Vývoj počtu obyvateľov v jednotlivých vekových skupinách (predproduktívny, produktívny a poproduktívny vek), v tis. </w:t>
      </w:r>
    </w:p>
    <w:tbl>
      <w:tblPr>
        <w:tblW w:w="15753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00"/>
        <w:gridCol w:w="624"/>
        <w:gridCol w:w="624"/>
        <w:gridCol w:w="624"/>
        <w:gridCol w:w="624"/>
        <w:gridCol w:w="624"/>
        <w:gridCol w:w="624"/>
        <w:gridCol w:w="103"/>
        <w:gridCol w:w="521"/>
        <w:gridCol w:w="624"/>
        <w:gridCol w:w="624"/>
        <w:gridCol w:w="340"/>
        <w:gridCol w:w="284"/>
        <w:gridCol w:w="535"/>
        <w:gridCol w:w="89"/>
        <w:gridCol w:w="730"/>
        <w:gridCol w:w="819"/>
        <w:gridCol w:w="945"/>
        <w:gridCol w:w="851"/>
        <w:gridCol w:w="992"/>
        <w:gridCol w:w="851"/>
        <w:gridCol w:w="850"/>
        <w:gridCol w:w="851"/>
      </w:tblGrid>
      <w:tr w:rsidR="0033631D" w:rsidRPr="00472C29" w:rsidTr="00105A19">
        <w:trPr>
          <w:gridAfter w:val="8"/>
          <w:wAfter w:w="6889" w:type="dxa"/>
          <w:trHeight w:val="567"/>
        </w:trPr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 xml:space="preserve">počet obyvateľov </w:t>
            </w:r>
            <w:r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br/>
            </w:r>
            <w:r w:rsidRPr="009D17CB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(</w:t>
            </w: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v tis.</w:t>
            </w:r>
            <w:r w:rsidRPr="009D17CB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)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  <w:t>2003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  <w:t>2004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  <w:t>2005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  <w:t>2006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  <w:t>2007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  <w:t>2008</w:t>
            </w:r>
          </w:p>
        </w:tc>
        <w:tc>
          <w:tcPr>
            <w:tcW w:w="6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  <w:t>2009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  <w:t>2010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  <w:t>2011</w:t>
            </w:r>
          </w:p>
        </w:tc>
        <w:tc>
          <w:tcPr>
            <w:tcW w:w="6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  <w:t>2012</w:t>
            </w:r>
          </w:p>
        </w:tc>
        <w:tc>
          <w:tcPr>
            <w:tcW w:w="6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  <w:t>2013</w:t>
            </w:r>
          </w:p>
        </w:tc>
      </w:tr>
      <w:tr w:rsidR="0033631D" w:rsidRPr="00472C29" w:rsidTr="00105A19">
        <w:trPr>
          <w:gridAfter w:val="8"/>
          <w:wAfter w:w="6889" w:type="dxa"/>
          <w:trHeight w:val="567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Predproduktívny vek - EU (0 - 14)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944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919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894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871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851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836</w:t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831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830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833</w:t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831</w:t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830</w:t>
            </w:r>
          </w:p>
        </w:tc>
      </w:tr>
      <w:tr w:rsidR="0033631D" w:rsidRPr="00472C29" w:rsidTr="00105A19">
        <w:trPr>
          <w:gridAfter w:val="8"/>
          <w:wAfter w:w="6889" w:type="dxa"/>
          <w:trHeight w:val="567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Produktívny vek - EU (15 - 64)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3 815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3 840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3 862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3 883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3 903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3 922</w:t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3 928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3 932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3 881</w:t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3 870</w:t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3 853</w:t>
            </w:r>
          </w:p>
        </w:tc>
      </w:tr>
      <w:tr w:rsidR="0033631D" w:rsidRPr="00472C29" w:rsidTr="00105A19">
        <w:trPr>
          <w:gridAfter w:val="8"/>
          <w:wAfter w:w="6889" w:type="dxa"/>
          <w:trHeight w:val="567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Poproduktívny vek - EU (65 - 100+)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620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626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633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640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647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654</w:t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665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673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691</w:t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710</w:t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733</w:t>
            </w:r>
          </w:p>
        </w:tc>
      </w:tr>
      <w:tr w:rsidR="0033631D" w:rsidRPr="00472C29" w:rsidTr="00105A19">
        <w:trPr>
          <w:gridAfter w:val="8"/>
          <w:wAfter w:w="6889" w:type="dxa"/>
          <w:trHeight w:val="567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  <w:t>spolu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5 380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5 385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5 389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5 394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5 401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5 412</w:t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5 425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5 435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5 404</w:t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5 411</w:t>
            </w:r>
          </w:p>
        </w:tc>
        <w:tc>
          <w:tcPr>
            <w:tcW w:w="6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472C29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5 416</w:t>
            </w:r>
          </w:p>
        </w:tc>
      </w:tr>
      <w:tr w:rsidR="0033631D" w:rsidRPr="00472C29" w:rsidTr="00105A19">
        <w:trPr>
          <w:trHeight w:val="255"/>
        </w:trPr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384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21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8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3631D" w:rsidRPr="00472C29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</w:p>
        </w:tc>
      </w:tr>
    </w:tbl>
    <w:p w:rsidR="0033631D" w:rsidRDefault="0033631D" w:rsidP="00BB27BD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</w:p>
    <w:p w:rsidR="0033631D" w:rsidRDefault="0033631D" w:rsidP="00BB27BD">
      <w:pPr>
        <w:pStyle w:val="popis2"/>
        <w:rPr>
          <w:rStyle w:val="Zkladntext3Char"/>
          <w:rFonts w:eastAsiaTheme="minorHAnsi"/>
          <w:highlight w:val="yellow"/>
        </w:rPr>
      </w:pPr>
      <w:r w:rsidRPr="00BC4524">
        <w:t xml:space="preserve">Graf č. </w:t>
      </w:r>
      <w:r w:rsidR="000F55A8">
        <w:fldChar w:fldCharType="begin"/>
      </w:r>
      <w:r w:rsidR="000F55A8">
        <w:instrText xml:space="preserve"> SEQ Graf \* ARABIC </w:instrText>
      </w:r>
      <w:r w:rsidR="000F55A8">
        <w:fldChar w:fldCharType="separate"/>
      </w:r>
      <w:r w:rsidR="008B1877">
        <w:rPr>
          <w:noProof/>
        </w:rPr>
        <w:t>7</w:t>
      </w:r>
      <w:r w:rsidR="000F55A8">
        <w:rPr>
          <w:noProof/>
        </w:rPr>
        <w:fldChar w:fldCharType="end"/>
      </w:r>
      <w:r w:rsidRPr="00BC4524">
        <w:t xml:space="preserve">: </w:t>
      </w:r>
      <w:r>
        <w:t>Vývoj podielu vekových skupín obyvateľov</w:t>
      </w:r>
    </w:p>
    <w:p w:rsidR="0033631D" w:rsidRDefault="0033631D" w:rsidP="00BB27BD">
      <w:pPr>
        <w:rPr>
          <w:rStyle w:val="Zkladntext3Char"/>
          <w:rFonts w:eastAsiaTheme="minorHAnsi"/>
          <w:highlight w:val="yellow"/>
        </w:rPr>
      </w:pPr>
      <w:r>
        <w:rPr>
          <w:noProof/>
          <w:lang w:eastAsia="sk-SK"/>
        </w:rPr>
        <w:drawing>
          <wp:inline distT="0" distB="0" distL="0" distR="0" wp14:anchorId="2B3564A3" wp14:editId="3A629E0D">
            <wp:extent cx="5762625" cy="2571750"/>
            <wp:effectExtent l="0" t="0" r="9525" b="19050"/>
            <wp:docPr id="119" name="Graf 1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33631D" w:rsidRDefault="0033631D" w:rsidP="00BB27BD">
      <w:pPr>
        <w:rPr>
          <w:rStyle w:val="Zkladntext3Char"/>
          <w:rFonts w:eastAsiaTheme="minorHAnsi"/>
          <w:highlight w:val="yellow"/>
        </w:rPr>
      </w:pPr>
    </w:p>
    <w:p w:rsidR="0033631D" w:rsidRDefault="0033631D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33631D" w:rsidRDefault="0033631D" w:rsidP="00BB27BD">
      <w:pPr>
        <w:pStyle w:val="popis2"/>
        <w:rPr>
          <w:rStyle w:val="Zkladntext3Char"/>
          <w:rFonts w:eastAsiaTheme="minorHAnsi"/>
          <w:highlight w:val="yellow"/>
        </w:rPr>
      </w:pPr>
      <w:r w:rsidRPr="00BC4524">
        <w:lastRenderedPageBreak/>
        <w:t xml:space="preserve">Graf č. </w:t>
      </w:r>
      <w:r w:rsidR="000F55A8">
        <w:fldChar w:fldCharType="begin"/>
      </w:r>
      <w:r w:rsidR="000F55A8">
        <w:instrText xml:space="preserve"> SEQ Graf \* ARABIC </w:instrText>
      </w:r>
      <w:r w:rsidR="000F55A8">
        <w:fldChar w:fldCharType="separate"/>
      </w:r>
      <w:r w:rsidR="008B1877">
        <w:rPr>
          <w:noProof/>
        </w:rPr>
        <w:t>8</w:t>
      </w:r>
      <w:r w:rsidR="000F55A8">
        <w:rPr>
          <w:noProof/>
        </w:rPr>
        <w:fldChar w:fldCharType="end"/>
      </w:r>
      <w:r w:rsidRPr="00BC4524">
        <w:t xml:space="preserve">: </w:t>
      </w:r>
      <w:r>
        <w:t xml:space="preserve">Vývoj indexu ekonomického zaťaženia </w:t>
      </w:r>
    </w:p>
    <w:p w:rsidR="0033631D" w:rsidRPr="00DB3125" w:rsidRDefault="0033631D" w:rsidP="00BB27BD">
      <w:pPr>
        <w:rPr>
          <w:rStyle w:val="Zkladntext3Char"/>
          <w:rFonts w:eastAsiaTheme="minorHAnsi"/>
          <w:highlight w:val="yellow"/>
        </w:rPr>
      </w:pPr>
      <w:r>
        <w:rPr>
          <w:noProof/>
          <w:lang w:eastAsia="sk-SK"/>
        </w:rPr>
        <w:drawing>
          <wp:inline distT="0" distB="0" distL="0" distR="0" wp14:anchorId="74563495" wp14:editId="2A2C2C7F">
            <wp:extent cx="5838825" cy="2743200"/>
            <wp:effectExtent l="0" t="0" r="9525" b="19050"/>
            <wp:docPr id="120" name="Graf 1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33631D" w:rsidRDefault="0033631D" w:rsidP="00BB27BD"/>
    <w:p w:rsidR="0033631D" w:rsidRPr="00BF1A6F" w:rsidRDefault="0033631D" w:rsidP="00BB27BD">
      <w:pPr>
        <w:rPr>
          <w:rStyle w:val="Zkladntext3Char"/>
          <w:rFonts w:eastAsiaTheme="minorHAnsi"/>
        </w:rPr>
      </w:pPr>
      <w:r w:rsidRPr="00BF1A6F">
        <w:rPr>
          <w:rStyle w:val="Zkladntext3Char"/>
          <w:rFonts w:eastAsiaTheme="minorHAnsi"/>
        </w:rPr>
        <w:t>V</w:t>
      </w:r>
      <w:r>
        <w:rPr>
          <w:rStyle w:val="Zkladntext3Char"/>
          <w:rFonts w:eastAsiaTheme="minorHAnsi"/>
        </w:rPr>
        <w:t xml:space="preserve"> období rokov </w:t>
      </w:r>
      <w:r w:rsidRPr="00BF1A6F">
        <w:rPr>
          <w:rStyle w:val="Zkladntext3Char"/>
          <w:rFonts w:eastAsiaTheme="minorHAnsi"/>
        </w:rPr>
        <w:t>2003 až 2013 m</w:t>
      </w:r>
      <w:r>
        <w:rPr>
          <w:rStyle w:val="Zkladntext3Char"/>
          <w:rFonts w:eastAsiaTheme="minorHAnsi"/>
        </w:rPr>
        <w:t xml:space="preserve">al priemerný vek </w:t>
      </w:r>
      <w:r w:rsidRPr="00BF1A6F">
        <w:rPr>
          <w:rStyle w:val="Zkladntext3Char"/>
          <w:rFonts w:eastAsiaTheme="minorHAnsi"/>
        </w:rPr>
        <w:t>stále stúpajúcu tendenciu</w:t>
      </w:r>
      <w:r>
        <w:rPr>
          <w:rStyle w:val="Zkladntext3Char"/>
          <w:rFonts w:eastAsiaTheme="minorHAnsi"/>
        </w:rPr>
        <w:t>. A</w:t>
      </w:r>
      <w:r w:rsidRPr="00BF1A6F">
        <w:rPr>
          <w:rStyle w:val="Zkladntext3Char"/>
          <w:rFonts w:eastAsiaTheme="minorHAnsi"/>
        </w:rPr>
        <w:t>ktuálne je priemerný vek žien 41,2 rokov a priemerný vek mužov 38</w:t>
      </w:r>
      <w:r>
        <w:rPr>
          <w:rStyle w:val="Zkladntext3Char"/>
          <w:rFonts w:eastAsiaTheme="minorHAnsi"/>
        </w:rPr>
        <w:t xml:space="preserve"> rokov.</w:t>
      </w:r>
    </w:p>
    <w:p w:rsidR="0033631D" w:rsidRDefault="0033631D" w:rsidP="00BB27BD"/>
    <w:p w:rsidR="0033631D" w:rsidRDefault="0033631D" w:rsidP="00BB27BD">
      <w:pPr>
        <w:pStyle w:val="popis2"/>
        <w:rPr>
          <w:rStyle w:val="Zkladntext3Char"/>
          <w:rFonts w:eastAsiaTheme="minorHAnsi"/>
          <w:highlight w:val="yellow"/>
        </w:rPr>
      </w:pPr>
      <w:r w:rsidRPr="00BC4524">
        <w:t xml:space="preserve">Graf č. </w:t>
      </w:r>
      <w:r w:rsidR="000F55A8">
        <w:fldChar w:fldCharType="begin"/>
      </w:r>
      <w:r w:rsidR="000F55A8">
        <w:instrText xml:space="preserve"> SEQ Graf \* ARABIC </w:instrText>
      </w:r>
      <w:r w:rsidR="000F55A8">
        <w:fldChar w:fldCharType="separate"/>
      </w:r>
      <w:r w:rsidR="008B1877">
        <w:rPr>
          <w:noProof/>
        </w:rPr>
        <w:t>9</w:t>
      </w:r>
      <w:r w:rsidR="000F55A8">
        <w:rPr>
          <w:noProof/>
        </w:rPr>
        <w:fldChar w:fldCharType="end"/>
      </w:r>
      <w:r w:rsidRPr="00BC4524">
        <w:t xml:space="preserve">: </w:t>
      </w:r>
      <w:r>
        <w:t xml:space="preserve">Vývoj priemerného veku mužov a žien </w:t>
      </w:r>
    </w:p>
    <w:p w:rsidR="0033631D" w:rsidRDefault="0033631D" w:rsidP="00BB27BD">
      <w:pPr>
        <w:rPr>
          <w:rStyle w:val="Zkladntext3Char"/>
          <w:rFonts w:eastAsiaTheme="minorHAnsi"/>
          <w:highlight w:val="yellow"/>
        </w:rPr>
      </w:pPr>
      <w:r>
        <w:rPr>
          <w:noProof/>
          <w:lang w:eastAsia="sk-SK"/>
        </w:rPr>
        <w:drawing>
          <wp:inline distT="0" distB="0" distL="0" distR="0" wp14:anchorId="7BB3BB0E" wp14:editId="391C0DC2">
            <wp:extent cx="5505450" cy="2905125"/>
            <wp:effectExtent l="0" t="0" r="19050" b="9525"/>
            <wp:docPr id="121" name="Graf 1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33631D" w:rsidRPr="00BF1A6F" w:rsidRDefault="0033631D" w:rsidP="00BB27BD">
      <w:pPr>
        <w:rPr>
          <w:rStyle w:val="Zkladntext3Char"/>
          <w:rFonts w:eastAsiaTheme="minorHAnsi"/>
        </w:rPr>
      </w:pPr>
    </w:p>
    <w:p w:rsidR="0033631D" w:rsidRPr="00DB3125" w:rsidRDefault="0033631D" w:rsidP="00BB27BD">
      <w:pPr>
        <w:rPr>
          <w:rStyle w:val="Zkladntext3Char"/>
          <w:rFonts w:eastAsiaTheme="minorHAnsi"/>
          <w:highlight w:val="yellow"/>
        </w:rPr>
      </w:pPr>
    </w:p>
    <w:p w:rsidR="0033631D" w:rsidRPr="00133544" w:rsidRDefault="0033631D" w:rsidP="00BB27BD">
      <w:pPr>
        <w:pStyle w:val="Nadpis2"/>
      </w:pPr>
      <w:bookmarkStart w:id="6" w:name="_Toc286650719"/>
      <w:bookmarkStart w:id="7" w:name="_Toc410051285"/>
      <w:r w:rsidRPr="00133544">
        <w:lastRenderedPageBreak/>
        <w:t>Vzdelanostná štruktúra</w:t>
      </w:r>
      <w:bookmarkEnd w:id="6"/>
      <w:bookmarkEnd w:id="7"/>
    </w:p>
    <w:p w:rsidR="0033631D" w:rsidRDefault="0033631D" w:rsidP="00BB27BD">
      <w:pPr>
        <w:rPr>
          <w:rFonts w:cs="Arial"/>
        </w:rPr>
      </w:pPr>
      <w:r w:rsidRPr="00133544">
        <w:rPr>
          <w:rFonts w:cs="Arial"/>
        </w:rPr>
        <w:t>Údaje o vzdelaní obyvateľov sú uvedené z údajov Štatistického úradu z Výberového zisťovania pracovných síl (VZPS)</w:t>
      </w:r>
      <w:r>
        <w:rPr>
          <w:rFonts w:cs="Arial"/>
        </w:rPr>
        <w:t>, z celkového počtu ekonomicky aktívneho obyvateľstva</w:t>
      </w:r>
      <w:r w:rsidRPr="00133544">
        <w:rPr>
          <w:rFonts w:cs="Arial"/>
        </w:rPr>
        <w:t>.</w:t>
      </w:r>
    </w:p>
    <w:p w:rsidR="0033631D" w:rsidRDefault="0033631D" w:rsidP="00BB27BD">
      <w:pPr>
        <w:rPr>
          <w:rFonts w:cs="Arial"/>
        </w:rPr>
      </w:pPr>
    </w:p>
    <w:p w:rsidR="0033631D" w:rsidRDefault="0033631D" w:rsidP="00BB27BD">
      <w:pPr>
        <w:rPr>
          <w:rFonts w:cs="Arial"/>
        </w:rPr>
      </w:pPr>
      <w:r>
        <w:rPr>
          <w:rFonts w:cs="Arial"/>
        </w:rPr>
        <w:t>V roku 2013 tvorili vysokoškolsky vzdelaní obyvatelia 19,5% podiel zo všetkých obyvateľov, obyvateľov so základným vzdelaním je necelých 6 %. Najväčší podiel, takmer 3/4 obyvateľov, tvoria stredoškolsky vzdelaní. Od roku 2003 významne rastie podiel vysokoškolsky vzdelaného obyvateľstva, z 11,7% na 19,5%.</w:t>
      </w:r>
    </w:p>
    <w:p w:rsidR="0033631D" w:rsidRDefault="0033631D" w:rsidP="00BB27BD">
      <w:pPr>
        <w:rPr>
          <w:rFonts w:cs="Arial"/>
        </w:rPr>
      </w:pPr>
    </w:p>
    <w:p w:rsidR="0033631D" w:rsidRDefault="0033631D" w:rsidP="00BB27BD">
      <w:pPr>
        <w:pStyle w:val="popis2"/>
        <w:rPr>
          <w:rStyle w:val="Zkladntext3Char"/>
          <w:rFonts w:eastAsiaTheme="minorHAnsi"/>
          <w:highlight w:val="yellow"/>
        </w:rPr>
      </w:pPr>
      <w:r w:rsidRPr="00BC4524">
        <w:t xml:space="preserve">Graf č. </w:t>
      </w:r>
      <w:r w:rsidR="000F55A8">
        <w:fldChar w:fldCharType="begin"/>
      </w:r>
      <w:r w:rsidR="000F55A8">
        <w:instrText xml:space="preserve"> SEQ Graf \* ARABIC </w:instrText>
      </w:r>
      <w:r w:rsidR="000F55A8">
        <w:fldChar w:fldCharType="separate"/>
      </w:r>
      <w:r w:rsidR="008B1877">
        <w:rPr>
          <w:noProof/>
        </w:rPr>
        <w:t>10</w:t>
      </w:r>
      <w:r w:rsidR="000F55A8">
        <w:rPr>
          <w:noProof/>
        </w:rPr>
        <w:fldChar w:fldCharType="end"/>
      </w:r>
      <w:r w:rsidRPr="00BC4524">
        <w:t xml:space="preserve">: </w:t>
      </w:r>
      <w:r>
        <w:t xml:space="preserve">Podiel počtu obyvateľov podľa vzdelania (VZPS, 2013) </w:t>
      </w:r>
    </w:p>
    <w:p w:rsidR="0033631D" w:rsidRDefault="0033631D" w:rsidP="00BB27BD">
      <w:pPr>
        <w:rPr>
          <w:rFonts w:cs="Arial"/>
        </w:rPr>
      </w:pPr>
      <w:r>
        <w:rPr>
          <w:noProof/>
          <w:lang w:eastAsia="sk-SK"/>
        </w:rPr>
        <w:drawing>
          <wp:inline distT="0" distB="0" distL="0" distR="0" wp14:anchorId="777D0D2B" wp14:editId="136F2D73">
            <wp:extent cx="5943600" cy="3095625"/>
            <wp:effectExtent l="0" t="0" r="19050" b="9525"/>
            <wp:docPr id="122" name="Graf 1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33631D" w:rsidRDefault="0033631D" w:rsidP="00BB27BD">
      <w:pPr>
        <w:rPr>
          <w:rFonts w:cs="Arial"/>
        </w:rPr>
      </w:pPr>
    </w:p>
    <w:p w:rsidR="0033631D" w:rsidRPr="00293AE1" w:rsidRDefault="0033631D" w:rsidP="00BB27BD">
      <w:pPr>
        <w:pStyle w:val="popis2"/>
      </w:pPr>
      <w:r w:rsidRPr="00293AE1">
        <w:t xml:space="preserve">Tabuľka č. </w:t>
      </w:r>
      <w:r w:rsidR="000F55A8">
        <w:fldChar w:fldCharType="begin"/>
      </w:r>
      <w:r w:rsidR="000F55A8">
        <w:instrText xml:space="preserve"> SEQ Tabuľka \* ARABIC </w:instrText>
      </w:r>
      <w:r w:rsidR="000F55A8">
        <w:fldChar w:fldCharType="separate"/>
      </w:r>
      <w:r w:rsidR="008B1877">
        <w:rPr>
          <w:noProof/>
        </w:rPr>
        <w:t>6</w:t>
      </w:r>
      <w:r w:rsidR="000F55A8">
        <w:rPr>
          <w:noProof/>
        </w:rPr>
        <w:fldChar w:fldCharType="end"/>
      </w:r>
      <w:r w:rsidRPr="00293AE1">
        <w:t xml:space="preserve">: </w:t>
      </w:r>
      <w:r>
        <w:t>Vývoj počtu obyvateľov (v tis.) podľa vzdelania (VZPS)</w:t>
      </w:r>
    </w:p>
    <w:tbl>
      <w:tblPr>
        <w:tblW w:w="10167" w:type="dxa"/>
        <w:tblInd w:w="5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33"/>
        <w:gridCol w:w="794"/>
        <w:gridCol w:w="794"/>
        <w:gridCol w:w="794"/>
        <w:gridCol w:w="794"/>
        <w:gridCol w:w="794"/>
        <w:gridCol w:w="794"/>
        <w:gridCol w:w="794"/>
        <w:gridCol w:w="794"/>
        <w:gridCol w:w="794"/>
        <w:gridCol w:w="794"/>
        <w:gridCol w:w="794"/>
      </w:tblGrid>
      <w:tr w:rsidR="0033631D" w:rsidRPr="000B6B6A" w:rsidTr="00105A19">
        <w:trPr>
          <w:trHeight w:val="283"/>
        </w:trPr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</w:pPr>
            <w:r w:rsidRPr="000B6B6A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sk-SK"/>
              </w:rPr>
              <w:t> 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  <w:t>2003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  <w:t>2004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  <w:t>2005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  <w:t>2006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  <w:t>2007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  <w:t>2008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  <w:t>2009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  <w:t>2010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  <w:t>2011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  <w:t>2012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sk-SK"/>
              </w:rPr>
              <w:t>2013</w:t>
            </w:r>
          </w:p>
        </w:tc>
      </w:tr>
      <w:tr w:rsidR="0033631D" w:rsidRPr="000B6B6A" w:rsidTr="00105A19">
        <w:trPr>
          <w:trHeight w:val="283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631D" w:rsidRPr="000B6B6A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Základné a bez vzdelania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223,5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226,2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218,9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206,8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191,3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181,8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159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164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157,6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158,4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158,5</w:t>
            </w:r>
          </w:p>
        </w:tc>
      </w:tr>
      <w:tr w:rsidR="0033631D" w:rsidRPr="000B6B6A" w:rsidTr="00105A19">
        <w:trPr>
          <w:trHeight w:val="283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631D" w:rsidRPr="000B6B6A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Nižšie stredné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998,5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978,8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926,7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937,6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931,7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928,2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924,1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911,7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878,7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895,9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846,6</w:t>
            </w:r>
          </w:p>
        </w:tc>
      </w:tr>
      <w:tr w:rsidR="0033631D" w:rsidRPr="000B6B6A" w:rsidTr="00105A19">
        <w:trPr>
          <w:trHeight w:val="283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631D" w:rsidRPr="000B6B6A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Úplné stredné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1 105,10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1 122,90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1 138,50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1 131,30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1 144,30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1 179,80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1 181,90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1 154,20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1 155,30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1 152,00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1 181,40</w:t>
            </w:r>
          </w:p>
        </w:tc>
      </w:tr>
      <w:tr w:rsidR="0033631D" w:rsidRPr="000B6B6A" w:rsidTr="00105A19">
        <w:trPr>
          <w:trHeight w:val="283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631D" w:rsidRPr="000B6B6A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Vysokoškolské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307,2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330,7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361,7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379,1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381,9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401,4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425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476,7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488,4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500,2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528,8</w:t>
            </w:r>
          </w:p>
        </w:tc>
      </w:tr>
      <w:tr w:rsidR="0033631D" w:rsidRPr="000B6B6A" w:rsidTr="00105A19">
        <w:trPr>
          <w:trHeight w:val="283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631D" w:rsidRPr="000B6B6A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8"/>
                <w:szCs w:val="18"/>
                <w:lang w:eastAsia="sk-SK"/>
              </w:rPr>
              <w:t>Spolu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2 634,20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2 658,60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2 645,70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2 654,80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2 649,20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2 691,20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2 690,00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2 706,50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2 680,00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2 706,50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0B6B6A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</w:pPr>
            <w:r w:rsidRPr="000B6B6A">
              <w:rPr>
                <w:rFonts w:eastAsia="Times New Roman" w:cs="Arial"/>
                <w:color w:val="000000"/>
                <w:sz w:val="16"/>
                <w:szCs w:val="16"/>
                <w:lang w:eastAsia="sk-SK"/>
              </w:rPr>
              <w:t>2 715,30</w:t>
            </w:r>
          </w:p>
        </w:tc>
      </w:tr>
    </w:tbl>
    <w:p w:rsidR="0033631D" w:rsidRDefault="0033631D" w:rsidP="00BB27BD">
      <w:pPr>
        <w:rPr>
          <w:rStyle w:val="Zkladntext3Char"/>
          <w:rFonts w:eastAsiaTheme="minorHAnsi"/>
          <w:highlight w:val="yellow"/>
        </w:rPr>
      </w:pPr>
    </w:p>
    <w:p w:rsidR="0033631D" w:rsidRDefault="0033631D" w:rsidP="00BB27BD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33631D" w:rsidRDefault="0033631D" w:rsidP="00BB27BD">
      <w:pPr>
        <w:pStyle w:val="popis2"/>
        <w:rPr>
          <w:rStyle w:val="Zkladntext3Char"/>
          <w:rFonts w:eastAsiaTheme="minorHAnsi"/>
          <w:highlight w:val="yellow"/>
        </w:rPr>
      </w:pPr>
      <w:r w:rsidRPr="00BC4524">
        <w:lastRenderedPageBreak/>
        <w:t xml:space="preserve">Graf č. </w:t>
      </w:r>
      <w:r w:rsidR="000F55A8">
        <w:fldChar w:fldCharType="begin"/>
      </w:r>
      <w:r w:rsidR="000F55A8">
        <w:instrText xml:space="preserve"> SEQ Graf \* ARABIC </w:instrText>
      </w:r>
      <w:r w:rsidR="000F55A8">
        <w:fldChar w:fldCharType="separate"/>
      </w:r>
      <w:r w:rsidR="008B1877">
        <w:rPr>
          <w:noProof/>
        </w:rPr>
        <w:t>11</w:t>
      </w:r>
      <w:r w:rsidR="000F55A8">
        <w:rPr>
          <w:noProof/>
        </w:rPr>
        <w:fldChar w:fldCharType="end"/>
      </w:r>
      <w:r w:rsidRPr="00BC4524">
        <w:t xml:space="preserve">: </w:t>
      </w:r>
      <w:r>
        <w:t>Vývoj podielu vysokoškolsky vzdelaných (VZPS, 2013)</w:t>
      </w:r>
    </w:p>
    <w:p w:rsidR="0033631D" w:rsidRDefault="0033631D" w:rsidP="00BB27BD">
      <w:pPr>
        <w:rPr>
          <w:rStyle w:val="Zkladntext3Char"/>
          <w:rFonts w:eastAsiaTheme="minorHAnsi"/>
          <w:highlight w:val="yellow"/>
        </w:rPr>
      </w:pPr>
      <w:r>
        <w:rPr>
          <w:noProof/>
          <w:lang w:eastAsia="sk-SK"/>
        </w:rPr>
        <w:drawing>
          <wp:inline distT="0" distB="0" distL="0" distR="0" wp14:anchorId="2B2F4DCD" wp14:editId="50C86DB7">
            <wp:extent cx="5760720" cy="2521463"/>
            <wp:effectExtent l="0" t="0" r="11430" b="12700"/>
            <wp:docPr id="123" name="Graf 1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33631D" w:rsidRDefault="0033631D" w:rsidP="00BB27BD">
      <w:pPr>
        <w:rPr>
          <w:rStyle w:val="Zkladntext3Char"/>
          <w:rFonts w:eastAsiaTheme="minorHAnsi"/>
          <w:highlight w:val="yellow"/>
        </w:rPr>
      </w:pPr>
    </w:p>
    <w:p w:rsidR="0033631D" w:rsidRPr="00B2774D" w:rsidRDefault="0033631D" w:rsidP="00BB27BD">
      <w:pPr>
        <w:pStyle w:val="Nadpis2"/>
      </w:pPr>
      <w:bookmarkStart w:id="8" w:name="_Toc286650720"/>
      <w:bookmarkStart w:id="9" w:name="_Toc410051286"/>
      <w:r w:rsidRPr="00B2774D">
        <w:t>Štruktúra obyvateľstva podľa rodinného stavu</w:t>
      </w:r>
      <w:bookmarkEnd w:id="8"/>
      <w:bookmarkEnd w:id="9"/>
    </w:p>
    <w:p w:rsidR="0033631D" w:rsidRPr="00944DD3" w:rsidRDefault="0033631D" w:rsidP="00BB27BD">
      <w:pPr>
        <w:rPr>
          <w:rStyle w:val="Zkladntext3Char"/>
          <w:rFonts w:eastAsiaTheme="minorHAnsi"/>
        </w:rPr>
      </w:pPr>
      <w:r>
        <w:rPr>
          <w:rStyle w:val="Zkladntext3Char"/>
          <w:rFonts w:eastAsiaTheme="minorHAnsi"/>
        </w:rPr>
        <w:t xml:space="preserve">Ku koncu roka </w:t>
      </w:r>
      <w:r w:rsidRPr="00944DD3">
        <w:rPr>
          <w:rStyle w:val="Zkladntext3Char"/>
          <w:rFonts w:eastAsiaTheme="minorHAnsi"/>
        </w:rPr>
        <w:t>2013 žilo v</w:t>
      </w:r>
      <w:r>
        <w:rPr>
          <w:rStyle w:val="Zkladntext3Char"/>
          <w:rFonts w:eastAsiaTheme="minorHAnsi"/>
        </w:rPr>
        <w:t> </w:t>
      </w:r>
      <w:r w:rsidRPr="00944DD3">
        <w:rPr>
          <w:rStyle w:val="Zkladntext3Char"/>
          <w:rFonts w:eastAsiaTheme="minorHAnsi"/>
        </w:rPr>
        <w:t>S</w:t>
      </w:r>
      <w:r>
        <w:rPr>
          <w:rStyle w:val="Zkladntext3Char"/>
          <w:rFonts w:eastAsiaTheme="minorHAnsi"/>
        </w:rPr>
        <w:t xml:space="preserve">R </w:t>
      </w:r>
      <w:r w:rsidRPr="00944DD3">
        <w:rPr>
          <w:rStyle w:val="Zkladntext3Char"/>
          <w:rFonts w:eastAsiaTheme="minorHAnsi"/>
        </w:rPr>
        <w:t>41,3 % obyvateľov v manželstve, čo je nižši</w:t>
      </w:r>
      <w:r>
        <w:rPr>
          <w:rStyle w:val="Zkladntext3Char"/>
          <w:rFonts w:eastAsiaTheme="minorHAnsi"/>
        </w:rPr>
        <w:t xml:space="preserve">a hodnota </w:t>
      </w:r>
      <w:r w:rsidRPr="00944DD3">
        <w:rPr>
          <w:rStyle w:val="Zkladntext3Char"/>
          <w:rFonts w:eastAsiaTheme="minorHAnsi"/>
        </w:rPr>
        <w:t>ako podiel slobodných (43,1 %)</w:t>
      </w:r>
      <w:r>
        <w:rPr>
          <w:rStyle w:val="Zkladntext3Char"/>
          <w:rFonts w:eastAsiaTheme="minorHAnsi"/>
        </w:rPr>
        <w:t xml:space="preserve">. </w:t>
      </w:r>
      <w:r w:rsidRPr="00C02104">
        <w:rPr>
          <w:rStyle w:val="Zkladntext3Char"/>
          <w:rFonts w:eastAsiaTheme="minorHAnsi"/>
        </w:rPr>
        <w:t>Od roku 2003 medziročne klesá podiel obyvateľstva žijúceho v</w:t>
      </w:r>
      <w:r>
        <w:rPr>
          <w:rStyle w:val="Zkladntext3Char"/>
          <w:rFonts w:eastAsiaTheme="minorHAnsi"/>
        </w:rPr>
        <w:t xml:space="preserve"> manželstve a podiel slobodných rastie. Zároveň sa prevažujúci podiel slobodných v porovnaní s podielom  ženatých/vydatých </w:t>
      </w:r>
      <w:r w:rsidRPr="00944DD3">
        <w:rPr>
          <w:rStyle w:val="Zkladntext3Char"/>
          <w:rFonts w:eastAsiaTheme="minorHAnsi"/>
        </w:rPr>
        <w:t xml:space="preserve">ukazuje ako trend posledných rokov. </w:t>
      </w:r>
    </w:p>
    <w:p w:rsidR="0033631D" w:rsidRDefault="0033631D" w:rsidP="00BB27BD">
      <w:pPr>
        <w:rPr>
          <w:rStyle w:val="Zkladntext3Char"/>
          <w:rFonts w:eastAsiaTheme="minorHAnsi"/>
        </w:rPr>
      </w:pPr>
      <w:r w:rsidRPr="003840AC">
        <w:rPr>
          <w:rStyle w:val="Zkladntext3Char"/>
          <w:rFonts w:eastAsiaTheme="minorHAnsi"/>
        </w:rPr>
        <w:t>V manželstve žilo 42 % mužov a 40,5 % žien, slobodných bolo 48,2 % mužov a 38,9 % žien.</w:t>
      </w:r>
      <w:r>
        <w:rPr>
          <w:rStyle w:val="Zkladntext3Char"/>
          <w:rFonts w:eastAsiaTheme="minorHAnsi"/>
        </w:rPr>
        <w:t xml:space="preserve"> Naďalej je viditeľný trend nárast podielu rozvedených, na konci roka 2013 tvorili podiel </w:t>
      </w:r>
      <w:r w:rsidRPr="00456558">
        <w:rPr>
          <w:rStyle w:val="Zkladntext3Char"/>
          <w:rFonts w:eastAsiaTheme="minorHAnsi"/>
        </w:rPr>
        <w:t>8,3 % ľudí, z mužov to bolo 7,6 % a</w:t>
      </w:r>
      <w:r>
        <w:rPr>
          <w:rStyle w:val="Zkladntext3Char"/>
          <w:rFonts w:eastAsiaTheme="minorHAnsi"/>
        </w:rPr>
        <w:t xml:space="preserve"> zo žien </w:t>
      </w:r>
      <w:r w:rsidRPr="00456558">
        <w:rPr>
          <w:rStyle w:val="Zkladntext3Char"/>
          <w:rFonts w:eastAsiaTheme="minorHAnsi"/>
        </w:rPr>
        <w:t>9 %.</w:t>
      </w:r>
      <w:r>
        <w:rPr>
          <w:rStyle w:val="Zkladntext3Char"/>
          <w:rFonts w:eastAsiaTheme="minorHAnsi"/>
        </w:rPr>
        <w:t xml:space="preserve"> </w:t>
      </w:r>
      <w:r w:rsidRPr="00456558">
        <w:rPr>
          <w:rStyle w:val="Zkladntext3Char"/>
          <w:rFonts w:eastAsiaTheme="minorHAnsi"/>
        </w:rPr>
        <w:t xml:space="preserve">Podiel ovdovených je o niečo nižší ako podiel rozvedených, ku koncu roka 2013 to bolo 7 %. Rozdiel medzi mužmi a ženami je najvýraznejší v tejto  kategórii, podiel vdovcov </w:t>
      </w:r>
      <w:r>
        <w:rPr>
          <w:rStyle w:val="Zkladntext3Char"/>
          <w:rFonts w:eastAsiaTheme="minorHAnsi"/>
        </w:rPr>
        <w:t xml:space="preserve">u mužov bol </w:t>
      </w:r>
      <w:r w:rsidRPr="00456558">
        <w:rPr>
          <w:rStyle w:val="Zkladntext3Char"/>
          <w:rFonts w:eastAsiaTheme="minorHAnsi"/>
        </w:rPr>
        <w:t xml:space="preserve">2,3 % a podiel vdov </w:t>
      </w:r>
      <w:r>
        <w:rPr>
          <w:rStyle w:val="Zkladntext3Char"/>
          <w:rFonts w:eastAsiaTheme="minorHAnsi"/>
        </w:rPr>
        <w:t xml:space="preserve">u žien </w:t>
      </w:r>
      <w:r w:rsidRPr="00456558">
        <w:rPr>
          <w:rStyle w:val="Zkladntext3Char"/>
          <w:rFonts w:eastAsiaTheme="minorHAnsi"/>
        </w:rPr>
        <w:t>tvoril 11,6 %.</w:t>
      </w:r>
      <w:r>
        <w:rPr>
          <w:rStyle w:val="Zkladntext3Char"/>
          <w:rFonts w:eastAsiaTheme="minorHAnsi"/>
        </w:rPr>
        <w:t xml:space="preserve"> </w:t>
      </w:r>
      <w:r w:rsidRPr="00C02104">
        <w:rPr>
          <w:rStyle w:val="Zkladntext3Char"/>
          <w:rFonts w:eastAsiaTheme="minorHAnsi"/>
        </w:rPr>
        <w:t xml:space="preserve">Podiel ovdovených najprv dlhodobo </w:t>
      </w:r>
      <w:r>
        <w:rPr>
          <w:rStyle w:val="Zkladntext3Char"/>
          <w:rFonts w:eastAsiaTheme="minorHAnsi"/>
        </w:rPr>
        <w:t xml:space="preserve">mierne </w:t>
      </w:r>
      <w:r w:rsidRPr="00C02104">
        <w:rPr>
          <w:rStyle w:val="Zkladntext3Char"/>
          <w:rFonts w:eastAsiaTheme="minorHAnsi"/>
        </w:rPr>
        <w:t xml:space="preserve">klesal, v posledných rokoch zase </w:t>
      </w:r>
      <w:r>
        <w:rPr>
          <w:rStyle w:val="Zkladntext3Char"/>
          <w:rFonts w:eastAsiaTheme="minorHAnsi"/>
        </w:rPr>
        <w:t xml:space="preserve">mierne rastie. </w:t>
      </w:r>
    </w:p>
    <w:p w:rsidR="0033631D" w:rsidRDefault="0033631D" w:rsidP="00BB27BD">
      <w:pPr>
        <w:spacing w:after="200" w:line="276" w:lineRule="auto"/>
        <w:jc w:val="left"/>
        <w:rPr>
          <w:rStyle w:val="Zkladntext3Char"/>
          <w:rFonts w:eastAsiaTheme="minorHAnsi"/>
        </w:rPr>
      </w:pPr>
      <w:r>
        <w:rPr>
          <w:rStyle w:val="Zkladntext3Char"/>
          <w:rFonts w:eastAsiaTheme="minorHAnsi"/>
        </w:rPr>
        <w:br w:type="page"/>
      </w:r>
    </w:p>
    <w:p w:rsidR="0033631D" w:rsidRDefault="0033631D" w:rsidP="00BB27BD">
      <w:pPr>
        <w:rPr>
          <w:rStyle w:val="Zkladntext3Char"/>
          <w:rFonts w:eastAsiaTheme="minorHAnsi"/>
        </w:rPr>
      </w:pPr>
    </w:p>
    <w:p w:rsidR="0033631D" w:rsidRPr="00293AE1" w:rsidRDefault="0033631D" w:rsidP="00BB27BD">
      <w:pPr>
        <w:pStyle w:val="popis2"/>
      </w:pPr>
      <w:r w:rsidRPr="00293AE1">
        <w:t xml:space="preserve">Tabuľka č. </w:t>
      </w:r>
      <w:r w:rsidR="000F55A8">
        <w:fldChar w:fldCharType="begin"/>
      </w:r>
      <w:r w:rsidR="000F55A8">
        <w:instrText xml:space="preserve"> SEQ Tabuľka \* ARABIC </w:instrText>
      </w:r>
      <w:r w:rsidR="000F55A8">
        <w:fldChar w:fldCharType="separate"/>
      </w:r>
      <w:r w:rsidR="008B1877">
        <w:rPr>
          <w:noProof/>
        </w:rPr>
        <w:t>7</w:t>
      </w:r>
      <w:r w:rsidR="000F55A8">
        <w:rPr>
          <w:noProof/>
        </w:rPr>
        <w:fldChar w:fldCharType="end"/>
      </w:r>
      <w:r w:rsidRPr="00293AE1">
        <w:t xml:space="preserve">: </w:t>
      </w:r>
      <w:r>
        <w:t>Vývoj počtu obyvateľov podľa rodinného stavu (v tis. osôb)</w:t>
      </w:r>
    </w:p>
    <w:tbl>
      <w:tblPr>
        <w:tblW w:w="8913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33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</w:tblGrid>
      <w:tr w:rsidR="0033631D" w:rsidRPr="0050629F" w:rsidTr="00105A19">
        <w:trPr>
          <w:trHeight w:val="340"/>
        </w:trPr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33631D" w:rsidRPr="0050629F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33631D" w:rsidRPr="0050629F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2003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33631D" w:rsidRPr="0050629F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2004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33631D" w:rsidRPr="0050629F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2005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33631D" w:rsidRPr="0050629F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2006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33631D" w:rsidRPr="0050629F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2007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33631D" w:rsidRPr="0050629F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2008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33631D" w:rsidRPr="0050629F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2009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33631D" w:rsidRPr="0050629F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2010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33631D" w:rsidRPr="0050629F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2011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33631D" w:rsidRPr="0050629F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2012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</w:tcPr>
          <w:p w:rsidR="0033631D" w:rsidRPr="0050629F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2013</w:t>
            </w:r>
          </w:p>
        </w:tc>
      </w:tr>
      <w:tr w:rsidR="0033631D" w:rsidRPr="0050629F" w:rsidTr="00105A19">
        <w:trPr>
          <w:trHeight w:val="340"/>
        </w:trPr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Slobodný/á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2 305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2 305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2 309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2 315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2 320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2 327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2 339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2 351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2 327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2 334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2 352</w:t>
            </w:r>
          </w:p>
        </w:tc>
      </w:tr>
      <w:tr w:rsidR="0033631D" w:rsidRPr="0050629F" w:rsidTr="00105A19">
        <w:trPr>
          <w:trHeight w:val="340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Ženatý/Vydatá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2 427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2 425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2 417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2 406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2 400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2 396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2 387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2 377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2 264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2 258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2 232</w:t>
            </w:r>
          </w:p>
        </w:tc>
      </w:tr>
      <w:tr w:rsidR="0033631D" w:rsidRPr="0050629F" w:rsidTr="00105A19">
        <w:trPr>
          <w:trHeight w:val="340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Rozvedený/á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266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278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291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306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320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334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349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363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425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436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451</w:t>
            </w:r>
          </w:p>
        </w:tc>
      </w:tr>
      <w:tr w:rsidR="0033631D" w:rsidRPr="0050629F" w:rsidTr="00105A19">
        <w:trPr>
          <w:trHeight w:val="340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Ovdovený/á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382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377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372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367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361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356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350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344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388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383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381</w:t>
            </w:r>
          </w:p>
        </w:tc>
      </w:tr>
      <w:tr w:rsidR="0033631D" w:rsidRPr="0050629F" w:rsidTr="00105A19">
        <w:trPr>
          <w:trHeight w:val="340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spolu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5 380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5 385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5 389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5 394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5 401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5 412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5 425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5 435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5 404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5 411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50629F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50629F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5 416</w:t>
            </w:r>
          </w:p>
        </w:tc>
      </w:tr>
    </w:tbl>
    <w:p w:rsidR="0033631D" w:rsidRDefault="0033631D" w:rsidP="00BB27BD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</w:p>
    <w:p w:rsidR="0033631D" w:rsidRDefault="0033631D" w:rsidP="00BB27BD">
      <w:pPr>
        <w:pStyle w:val="popis2"/>
        <w:rPr>
          <w:rStyle w:val="Zkladntext3Char"/>
          <w:rFonts w:eastAsiaTheme="minorHAnsi"/>
          <w:highlight w:val="yellow"/>
        </w:rPr>
      </w:pPr>
      <w:r w:rsidRPr="00BC4524">
        <w:t xml:space="preserve">Graf č. </w:t>
      </w:r>
      <w:r w:rsidR="000F55A8">
        <w:fldChar w:fldCharType="begin"/>
      </w:r>
      <w:r w:rsidR="000F55A8">
        <w:instrText xml:space="preserve"> SEQ Graf \* ARABIC </w:instrText>
      </w:r>
      <w:r w:rsidR="000F55A8">
        <w:fldChar w:fldCharType="separate"/>
      </w:r>
      <w:r w:rsidR="008B1877">
        <w:rPr>
          <w:noProof/>
        </w:rPr>
        <w:t>12</w:t>
      </w:r>
      <w:r w:rsidR="000F55A8">
        <w:rPr>
          <w:noProof/>
        </w:rPr>
        <w:fldChar w:fldCharType="end"/>
      </w:r>
      <w:r w:rsidRPr="00BC4524">
        <w:t xml:space="preserve">: </w:t>
      </w:r>
      <w:r>
        <w:t xml:space="preserve">Vývoj podielu obyvateľstva podľa rodinného stavu </w:t>
      </w:r>
    </w:p>
    <w:p w:rsidR="0033631D" w:rsidRDefault="0033631D" w:rsidP="00BB27BD">
      <w:pPr>
        <w:rPr>
          <w:rFonts w:cs="Arial"/>
          <w:highlight w:val="yellow"/>
        </w:rPr>
      </w:pPr>
      <w:r>
        <w:rPr>
          <w:noProof/>
          <w:lang w:eastAsia="sk-SK"/>
        </w:rPr>
        <w:drawing>
          <wp:inline distT="0" distB="0" distL="0" distR="0" wp14:anchorId="1DFEB6FB" wp14:editId="4FBE903A">
            <wp:extent cx="5476875" cy="2743200"/>
            <wp:effectExtent l="0" t="0" r="9525" b="19050"/>
            <wp:docPr id="124" name="Graf 1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33631D" w:rsidRDefault="0033631D" w:rsidP="00BB27BD">
      <w:pPr>
        <w:pStyle w:val="Zkladntext3"/>
        <w:rPr>
          <w:highlight w:val="yellow"/>
        </w:rPr>
      </w:pPr>
    </w:p>
    <w:p w:rsidR="0033631D" w:rsidRDefault="0033631D" w:rsidP="00BB27BD">
      <w:pPr>
        <w:pStyle w:val="Zkladntext3"/>
        <w:rPr>
          <w:highlight w:val="yellow"/>
        </w:rPr>
      </w:pPr>
    </w:p>
    <w:p w:rsidR="0033631D" w:rsidRPr="00DB3125" w:rsidRDefault="0033631D" w:rsidP="00BB27BD">
      <w:pPr>
        <w:pStyle w:val="Zkladntext3"/>
        <w:rPr>
          <w:highlight w:val="yellow"/>
        </w:rPr>
      </w:pPr>
    </w:p>
    <w:p w:rsidR="0033631D" w:rsidRPr="00610699" w:rsidRDefault="0033631D" w:rsidP="00BB27BD">
      <w:pPr>
        <w:pStyle w:val="Nadpis2"/>
      </w:pPr>
      <w:bookmarkStart w:id="10" w:name="_Toc286650721"/>
      <w:bookmarkStart w:id="11" w:name="_Toc410051287"/>
      <w:r w:rsidRPr="00610699">
        <w:t>Vybrané ekonomické charakteristiky</w:t>
      </w:r>
      <w:bookmarkEnd w:id="10"/>
      <w:bookmarkEnd w:id="11"/>
    </w:p>
    <w:p w:rsidR="0033631D" w:rsidRDefault="0033631D" w:rsidP="00BB27BD">
      <w:r>
        <w:t>M</w:t>
      </w:r>
      <w:r w:rsidRPr="00923347">
        <w:t xml:space="preserve">iera zamestnanosti v Slovenskej republike </w:t>
      </w:r>
      <w:r>
        <w:t>v</w:t>
      </w:r>
      <w:r w:rsidRPr="00923347">
        <w:t xml:space="preserve"> roku 2013 bola </w:t>
      </w:r>
      <w:r>
        <w:t xml:space="preserve">na úrovni </w:t>
      </w:r>
      <w:r w:rsidRPr="00923347">
        <w:t>50,9 %. V období medzi rokmi 2004 a 2008 stúpala, v rokoch 2009 – 2010 klesala, a od roku 2011 mierne rastie.</w:t>
      </w:r>
    </w:p>
    <w:p w:rsidR="0033631D" w:rsidRDefault="0033631D" w:rsidP="00BB27BD">
      <w:pPr>
        <w:pStyle w:val="Zkladntext3"/>
      </w:pPr>
    </w:p>
    <w:p w:rsidR="0033631D" w:rsidRPr="00293AE1" w:rsidRDefault="0033631D" w:rsidP="00BB27BD">
      <w:pPr>
        <w:pStyle w:val="popis2"/>
      </w:pPr>
      <w:r w:rsidRPr="00293AE1">
        <w:t xml:space="preserve">Tabuľka č. </w:t>
      </w:r>
      <w:r w:rsidR="000F55A8">
        <w:fldChar w:fldCharType="begin"/>
      </w:r>
      <w:r w:rsidR="000F55A8">
        <w:instrText xml:space="preserve"> SEQ Tabuľka \* ARABIC </w:instrText>
      </w:r>
      <w:r w:rsidR="000F55A8">
        <w:fldChar w:fldCharType="separate"/>
      </w:r>
      <w:r w:rsidR="008B1877">
        <w:rPr>
          <w:noProof/>
        </w:rPr>
        <w:t>8</w:t>
      </w:r>
      <w:r w:rsidR="000F55A8">
        <w:rPr>
          <w:noProof/>
        </w:rPr>
        <w:fldChar w:fldCharType="end"/>
      </w:r>
      <w:r w:rsidRPr="00293AE1">
        <w:t xml:space="preserve">: </w:t>
      </w:r>
      <w:r>
        <w:t xml:space="preserve">Vývoj miery zamestnanosti (v %) </w:t>
      </w:r>
    </w:p>
    <w:tbl>
      <w:tblPr>
        <w:tblW w:w="954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33"/>
        <w:gridCol w:w="737"/>
        <w:gridCol w:w="737"/>
        <w:gridCol w:w="737"/>
        <w:gridCol w:w="737"/>
        <w:gridCol w:w="737"/>
        <w:gridCol w:w="737"/>
        <w:gridCol w:w="737"/>
        <w:gridCol w:w="737"/>
        <w:gridCol w:w="737"/>
        <w:gridCol w:w="737"/>
        <w:gridCol w:w="737"/>
      </w:tblGrid>
      <w:tr w:rsidR="0033631D" w:rsidRPr="00923347" w:rsidTr="00105A19">
        <w:trPr>
          <w:trHeight w:val="255"/>
        </w:trPr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2003</w:t>
            </w: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2004</w:t>
            </w: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2005</w:t>
            </w: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2006</w:t>
            </w: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2007</w:t>
            </w: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2008</w:t>
            </w: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2009</w:t>
            </w: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2010</w:t>
            </w: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2011</w:t>
            </w: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2012</w:t>
            </w: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2013</w:t>
            </w:r>
          </w:p>
        </w:tc>
      </w:tr>
      <w:tr w:rsidR="0033631D" w:rsidRPr="00923347" w:rsidTr="00105A19">
        <w:trPr>
          <w:trHeight w:val="25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miera zamestnanosti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49,6%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49,1%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49,8%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51,2%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52,3%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53,7%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51,8%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50,5%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50,8%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50,9%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631D" w:rsidRPr="00923347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23347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50,9%</w:t>
            </w:r>
          </w:p>
        </w:tc>
      </w:tr>
    </w:tbl>
    <w:p w:rsidR="0033631D" w:rsidRDefault="0033631D" w:rsidP="00BB27BD">
      <w:pPr>
        <w:pStyle w:val="Zkladntext3"/>
      </w:pPr>
    </w:p>
    <w:p w:rsidR="0033631D" w:rsidRPr="00DB3125" w:rsidRDefault="0033631D" w:rsidP="00BB27BD">
      <w:pPr>
        <w:pStyle w:val="Zkladntext3"/>
        <w:rPr>
          <w:highlight w:val="yellow"/>
        </w:rPr>
      </w:pPr>
    </w:p>
    <w:p w:rsidR="0033631D" w:rsidRPr="00BD4307" w:rsidRDefault="0033631D" w:rsidP="00BB27BD">
      <w:r w:rsidRPr="00BD4307">
        <w:lastRenderedPageBreak/>
        <w:t xml:space="preserve">Miera evidovanej nezamestnanosti dosiahla v roku 2013 hodnotu 13,5 %. Medzi rokmi 2003 až 2007 klesala a to z hodnoty 15,6 % na hodnotu 8 %. </w:t>
      </w:r>
      <w:r>
        <w:t xml:space="preserve">Od roku </w:t>
      </w:r>
      <w:r w:rsidRPr="00BD4307">
        <w:t>2007 sa trend obrátil a miera evidovanej nezamestnanosti začala stúpať, avšak nedosahuje hodnoty roku 2003.</w:t>
      </w:r>
    </w:p>
    <w:p w:rsidR="0033631D" w:rsidRDefault="0033631D" w:rsidP="00BB27BD">
      <w:pPr>
        <w:pStyle w:val="Zkladntext3"/>
        <w:rPr>
          <w:highlight w:val="yellow"/>
        </w:rPr>
      </w:pPr>
    </w:p>
    <w:p w:rsidR="0033631D" w:rsidRDefault="0033631D" w:rsidP="00BB27BD">
      <w:pPr>
        <w:pStyle w:val="popis2"/>
        <w:rPr>
          <w:rStyle w:val="Zkladntext3Char"/>
          <w:rFonts w:eastAsiaTheme="minorHAnsi"/>
          <w:highlight w:val="yellow"/>
        </w:rPr>
      </w:pPr>
      <w:r w:rsidRPr="00BC4524">
        <w:t xml:space="preserve">Graf č. </w:t>
      </w:r>
      <w:r w:rsidR="000F55A8">
        <w:fldChar w:fldCharType="begin"/>
      </w:r>
      <w:r w:rsidR="000F55A8">
        <w:instrText xml:space="preserve"> SEQ Graf \* ARABIC </w:instrText>
      </w:r>
      <w:r w:rsidR="000F55A8">
        <w:fldChar w:fldCharType="separate"/>
      </w:r>
      <w:r w:rsidR="008B1877">
        <w:rPr>
          <w:noProof/>
        </w:rPr>
        <w:t>13</w:t>
      </w:r>
      <w:r w:rsidR="000F55A8">
        <w:rPr>
          <w:noProof/>
        </w:rPr>
        <w:fldChar w:fldCharType="end"/>
      </w:r>
      <w:r w:rsidRPr="00BC4524">
        <w:t xml:space="preserve">: </w:t>
      </w:r>
      <w:r>
        <w:t xml:space="preserve">Vývoj miery evidovanej nezamestnanosti v SR </w:t>
      </w:r>
    </w:p>
    <w:p w:rsidR="0033631D" w:rsidRDefault="0033631D" w:rsidP="00BB27BD">
      <w:pPr>
        <w:pStyle w:val="Zkladntext3"/>
        <w:rPr>
          <w:highlight w:val="yellow"/>
        </w:rPr>
      </w:pPr>
      <w:r>
        <w:rPr>
          <w:noProof/>
          <w:lang w:eastAsia="sk-SK"/>
        </w:rPr>
        <w:drawing>
          <wp:inline distT="0" distB="0" distL="0" distR="0" wp14:anchorId="278CF98D" wp14:editId="664E5529">
            <wp:extent cx="5524500" cy="2743200"/>
            <wp:effectExtent l="0" t="0" r="19050" b="19050"/>
            <wp:docPr id="125" name="Graf 1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33631D" w:rsidRPr="00DB3125" w:rsidRDefault="0033631D" w:rsidP="00BB27BD">
      <w:pPr>
        <w:pStyle w:val="Zkladntext3"/>
        <w:rPr>
          <w:highlight w:val="yellow"/>
        </w:rPr>
      </w:pPr>
    </w:p>
    <w:p w:rsidR="0033631D" w:rsidRPr="00DB3125" w:rsidRDefault="0033631D" w:rsidP="00BB27BD">
      <w:pPr>
        <w:pStyle w:val="Zkladntext3"/>
        <w:rPr>
          <w:highlight w:val="yellow"/>
        </w:rPr>
      </w:pPr>
    </w:p>
    <w:p w:rsidR="0033631D" w:rsidRDefault="0033631D" w:rsidP="00BB27BD">
      <w:r>
        <w:t xml:space="preserve">V miere </w:t>
      </w:r>
      <w:r w:rsidRPr="00B14E9D">
        <w:t xml:space="preserve">evidovanej nezamestnanosti </w:t>
      </w:r>
      <w:r>
        <w:t>sú medzi regiónmi výrazné rozdiely.</w:t>
      </w:r>
      <w:r w:rsidRPr="00B14E9D">
        <w:t xml:space="preserve"> Najnižšiu mieru nezamestnanosti dlho</w:t>
      </w:r>
      <w:r>
        <w:t>dobo dosahuje Bratislavský kraj,</w:t>
      </w:r>
      <w:r w:rsidRPr="00B14E9D">
        <w:t xml:space="preserve"> </w:t>
      </w:r>
      <w:r>
        <w:t>n</w:t>
      </w:r>
      <w:r w:rsidRPr="00B14E9D">
        <w:t xml:space="preserve">aopak najvyššia miera nezamestnanosti je </w:t>
      </w:r>
      <w:r>
        <w:t xml:space="preserve">dlhodobo </w:t>
      </w:r>
      <w:r w:rsidRPr="00B14E9D">
        <w:t xml:space="preserve">v Banskobystrickom kraji (hoci ho na konci roka 2013 v tomto ukazovateli predbehol </w:t>
      </w:r>
      <w:r>
        <w:t>P</w:t>
      </w:r>
      <w:r w:rsidRPr="00B14E9D">
        <w:t>rešovský kraj</w:t>
      </w:r>
      <w:r>
        <w:t>).</w:t>
      </w:r>
    </w:p>
    <w:p w:rsidR="0033631D" w:rsidRDefault="0033631D" w:rsidP="00BB27BD">
      <w:pPr>
        <w:pStyle w:val="Zkladntext3"/>
      </w:pPr>
    </w:p>
    <w:p w:rsidR="0033631D" w:rsidRDefault="0033631D" w:rsidP="00BB27BD">
      <w:pPr>
        <w:pStyle w:val="popis2"/>
        <w:rPr>
          <w:rStyle w:val="Zkladntext3Char"/>
          <w:rFonts w:eastAsiaTheme="minorHAnsi"/>
          <w:highlight w:val="yellow"/>
        </w:rPr>
      </w:pPr>
      <w:r w:rsidRPr="00BC4524">
        <w:t xml:space="preserve">Graf č. </w:t>
      </w:r>
      <w:r w:rsidR="000F55A8">
        <w:fldChar w:fldCharType="begin"/>
      </w:r>
      <w:r w:rsidR="000F55A8">
        <w:instrText xml:space="preserve"> SEQ Graf \* ARABIC </w:instrText>
      </w:r>
      <w:r w:rsidR="000F55A8">
        <w:fldChar w:fldCharType="separate"/>
      </w:r>
      <w:r w:rsidR="008B1877">
        <w:rPr>
          <w:noProof/>
        </w:rPr>
        <w:t>14</w:t>
      </w:r>
      <w:r w:rsidR="000F55A8">
        <w:rPr>
          <w:noProof/>
        </w:rPr>
        <w:fldChar w:fldCharType="end"/>
      </w:r>
      <w:r w:rsidRPr="00BC4524">
        <w:t xml:space="preserve">: </w:t>
      </w:r>
      <w:r>
        <w:t>Miera evidovanej nezamestnanosti, podľa krajov, 2013</w:t>
      </w:r>
    </w:p>
    <w:p w:rsidR="0033631D" w:rsidRDefault="0033631D" w:rsidP="00BB27BD">
      <w:pPr>
        <w:pStyle w:val="Zkladntext3"/>
        <w:rPr>
          <w:highlight w:val="yellow"/>
        </w:rPr>
      </w:pPr>
      <w:r>
        <w:rPr>
          <w:noProof/>
          <w:lang w:eastAsia="sk-SK"/>
        </w:rPr>
        <w:drawing>
          <wp:inline distT="0" distB="0" distL="0" distR="0" wp14:anchorId="6625F5E9" wp14:editId="5957DAB0">
            <wp:extent cx="5667375" cy="2305050"/>
            <wp:effectExtent l="0" t="0" r="9525" b="19050"/>
            <wp:docPr id="126" name="Graf 1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33631D" w:rsidRDefault="0033631D" w:rsidP="00BB27BD">
      <w:pPr>
        <w:pStyle w:val="Zkladntext3"/>
        <w:rPr>
          <w:highlight w:val="yellow"/>
        </w:rPr>
      </w:pPr>
    </w:p>
    <w:p w:rsidR="0033631D" w:rsidRDefault="0033631D" w:rsidP="00BB27BD">
      <w:pPr>
        <w:pStyle w:val="Zkladntext3"/>
        <w:rPr>
          <w:highlight w:val="yellow"/>
        </w:rPr>
      </w:pPr>
    </w:p>
    <w:p w:rsidR="0033631D" w:rsidRPr="00293AE1" w:rsidRDefault="0033631D" w:rsidP="00BB27BD">
      <w:pPr>
        <w:pStyle w:val="popis2"/>
      </w:pPr>
      <w:r w:rsidRPr="00293AE1">
        <w:lastRenderedPageBreak/>
        <w:t xml:space="preserve">Tabuľka č. </w:t>
      </w:r>
      <w:r w:rsidR="000F55A8">
        <w:fldChar w:fldCharType="begin"/>
      </w:r>
      <w:r w:rsidR="000F55A8">
        <w:instrText xml:space="preserve"> SEQ Tabuľka \* ARABIC </w:instrText>
      </w:r>
      <w:r w:rsidR="000F55A8">
        <w:fldChar w:fldCharType="separate"/>
      </w:r>
      <w:r w:rsidR="008B1877">
        <w:rPr>
          <w:noProof/>
        </w:rPr>
        <w:t>9</w:t>
      </w:r>
      <w:r w:rsidR="000F55A8">
        <w:rPr>
          <w:noProof/>
        </w:rPr>
        <w:fldChar w:fldCharType="end"/>
      </w:r>
      <w:r w:rsidRPr="00293AE1">
        <w:t xml:space="preserve">: </w:t>
      </w:r>
      <w:r>
        <w:t xml:space="preserve">Vývoj evidovanej miery zamestnanosti (v %), podľa krajov </w:t>
      </w:r>
    </w:p>
    <w:tbl>
      <w:tblPr>
        <w:tblW w:w="9122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23"/>
        <w:gridCol w:w="589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</w:tblGrid>
      <w:tr w:rsidR="0033631D" w:rsidRPr="002A6885" w:rsidTr="00105A19">
        <w:trPr>
          <w:trHeight w:val="299"/>
        </w:trPr>
        <w:tc>
          <w:tcPr>
            <w:tcW w:w="1423" w:type="dxa"/>
            <w:shd w:val="clear" w:color="auto" w:fill="BFBFBF" w:themeFill="background1" w:themeFillShade="BF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left"/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  <w:t> </w:t>
            </w:r>
          </w:p>
        </w:tc>
        <w:tc>
          <w:tcPr>
            <w:tcW w:w="589" w:type="dxa"/>
            <w:shd w:val="clear" w:color="auto" w:fill="BFBFBF" w:themeFill="background1" w:themeFillShade="BF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center"/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  <w:t>2003</w:t>
            </w:r>
          </w:p>
        </w:tc>
        <w:tc>
          <w:tcPr>
            <w:tcW w:w="711" w:type="dxa"/>
            <w:shd w:val="clear" w:color="auto" w:fill="BFBFBF" w:themeFill="background1" w:themeFillShade="BF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center"/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  <w:t>2004</w:t>
            </w:r>
          </w:p>
        </w:tc>
        <w:tc>
          <w:tcPr>
            <w:tcW w:w="711" w:type="dxa"/>
            <w:shd w:val="clear" w:color="auto" w:fill="BFBFBF" w:themeFill="background1" w:themeFillShade="BF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center"/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  <w:t>2005</w:t>
            </w:r>
          </w:p>
        </w:tc>
        <w:tc>
          <w:tcPr>
            <w:tcW w:w="711" w:type="dxa"/>
            <w:shd w:val="clear" w:color="auto" w:fill="BFBFBF" w:themeFill="background1" w:themeFillShade="BF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center"/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  <w:t>2006</w:t>
            </w:r>
          </w:p>
        </w:tc>
        <w:tc>
          <w:tcPr>
            <w:tcW w:w="711" w:type="dxa"/>
            <w:shd w:val="clear" w:color="auto" w:fill="BFBFBF" w:themeFill="background1" w:themeFillShade="BF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center"/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  <w:t>2007</w:t>
            </w:r>
          </w:p>
        </w:tc>
        <w:tc>
          <w:tcPr>
            <w:tcW w:w="711" w:type="dxa"/>
            <w:shd w:val="clear" w:color="auto" w:fill="BFBFBF" w:themeFill="background1" w:themeFillShade="BF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center"/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  <w:t>2008</w:t>
            </w:r>
          </w:p>
        </w:tc>
        <w:tc>
          <w:tcPr>
            <w:tcW w:w="711" w:type="dxa"/>
            <w:shd w:val="clear" w:color="auto" w:fill="BFBFBF" w:themeFill="background1" w:themeFillShade="BF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center"/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  <w:t>2009</w:t>
            </w:r>
          </w:p>
        </w:tc>
        <w:tc>
          <w:tcPr>
            <w:tcW w:w="711" w:type="dxa"/>
            <w:shd w:val="clear" w:color="auto" w:fill="BFBFBF" w:themeFill="background1" w:themeFillShade="BF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center"/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  <w:t>2010</w:t>
            </w:r>
          </w:p>
        </w:tc>
        <w:tc>
          <w:tcPr>
            <w:tcW w:w="711" w:type="dxa"/>
            <w:shd w:val="clear" w:color="auto" w:fill="BFBFBF" w:themeFill="background1" w:themeFillShade="BF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center"/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  <w:t>2011</w:t>
            </w:r>
          </w:p>
        </w:tc>
        <w:tc>
          <w:tcPr>
            <w:tcW w:w="711" w:type="dxa"/>
            <w:shd w:val="clear" w:color="auto" w:fill="BFBFBF" w:themeFill="background1" w:themeFillShade="BF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center"/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  <w:t>2012</w:t>
            </w:r>
          </w:p>
        </w:tc>
        <w:tc>
          <w:tcPr>
            <w:tcW w:w="711" w:type="dxa"/>
            <w:shd w:val="clear" w:color="auto" w:fill="BFBFBF" w:themeFill="background1" w:themeFillShade="BF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center"/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bCs/>
                <w:color w:val="000000"/>
                <w:sz w:val="16"/>
                <w:szCs w:val="20"/>
                <w:lang w:eastAsia="sk-SK"/>
              </w:rPr>
              <w:t>2013</w:t>
            </w:r>
          </w:p>
        </w:tc>
      </w:tr>
      <w:tr w:rsidR="0033631D" w:rsidRPr="002A6885" w:rsidTr="00105A19">
        <w:trPr>
          <w:trHeight w:val="454"/>
        </w:trPr>
        <w:tc>
          <w:tcPr>
            <w:tcW w:w="1423" w:type="dxa"/>
            <w:shd w:val="clear" w:color="auto" w:fill="auto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  <w:t>Slovenská republika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15,6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13,1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11,4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9,4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8,0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8,4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12,7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12,5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13,6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14,4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13,5</w:t>
            </w:r>
          </w:p>
        </w:tc>
      </w:tr>
      <w:tr w:rsidR="0033631D" w:rsidRPr="002A6885" w:rsidTr="00105A19">
        <w:trPr>
          <w:trHeight w:val="299"/>
        </w:trPr>
        <w:tc>
          <w:tcPr>
            <w:tcW w:w="1423" w:type="dxa"/>
            <w:shd w:val="clear" w:color="auto" w:fill="auto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  <w:t>Bratislavský kraj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4,0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3,4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2,6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2,3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2,0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2,3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4,4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4,6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5,4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5,7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6,2</w:t>
            </w:r>
          </w:p>
        </w:tc>
      </w:tr>
      <w:tr w:rsidR="0033631D" w:rsidRPr="002A6885" w:rsidTr="00105A19">
        <w:trPr>
          <w:trHeight w:val="299"/>
        </w:trPr>
        <w:tc>
          <w:tcPr>
            <w:tcW w:w="1423" w:type="dxa"/>
            <w:shd w:val="clear" w:color="auto" w:fill="auto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  <w:t>Trnavský kraj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11,1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8,8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7,2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5,2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4,3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4,3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8,4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8,2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8,9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9,4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9,2</w:t>
            </w:r>
          </w:p>
        </w:tc>
      </w:tr>
      <w:tr w:rsidR="0033631D" w:rsidRPr="002A6885" w:rsidTr="00105A19">
        <w:trPr>
          <w:trHeight w:val="299"/>
        </w:trPr>
        <w:tc>
          <w:tcPr>
            <w:tcW w:w="1423" w:type="dxa"/>
            <w:shd w:val="clear" w:color="auto" w:fill="auto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  <w:t>Trenčiansky kraj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9,9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8,1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6,8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5,2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4,5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5,0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10,1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9,5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10,0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10,9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10,7</w:t>
            </w:r>
          </w:p>
        </w:tc>
      </w:tr>
      <w:tr w:rsidR="0033631D" w:rsidRPr="002A6885" w:rsidTr="00105A19">
        <w:trPr>
          <w:trHeight w:val="299"/>
        </w:trPr>
        <w:tc>
          <w:tcPr>
            <w:tcW w:w="1423" w:type="dxa"/>
            <w:shd w:val="clear" w:color="auto" w:fill="auto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  <w:t>Nitriansky kraj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19,1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14,8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11,4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9,1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7,1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7,4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11,7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11,8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13,3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14,1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12,5</w:t>
            </w:r>
          </w:p>
        </w:tc>
      </w:tr>
      <w:tr w:rsidR="0033631D" w:rsidRPr="002A6885" w:rsidTr="00105A19">
        <w:trPr>
          <w:trHeight w:val="299"/>
        </w:trPr>
        <w:tc>
          <w:tcPr>
            <w:tcW w:w="1423" w:type="dxa"/>
            <w:shd w:val="clear" w:color="auto" w:fill="auto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  <w:t>Žilinský kraj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13,2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11,1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9,3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7,0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5,6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6,2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10,9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10,9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11,9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12,8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12,5</w:t>
            </w:r>
          </w:p>
        </w:tc>
      </w:tr>
      <w:tr w:rsidR="0033631D" w:rsidRPr="002A6885" w:rsidTr="00105A19">
        <w:trPr>
          <w:trHeight w:val="454"/>
        </w:trPr>
        <w:tc>
          <w:tcPr>
            <w:tcW w:w="1423" w:type="dxa"/>
            <w:shd w:val="clear" w:color="auto" w:fill="auto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  <w:t>Banskobystrický kraj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22,8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19,5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18,3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16,1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14,1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14,3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19,2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18,9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19,8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20,8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18,3</w:t>
            </w:r>
          </w:p>
        </w:tc>
      </w:tr>
      <w:tr w:rsidR="0033631D" w:rsidRPr="002A6885" w:rsidTr="00105A19">
        <w:trPr>
          <w:trHeight w:val="299"/>
        </w:trPr>
        <w:tc>
          <w:tcPr>
            <w:tcW w:w="1423" w:type="dxa"/>
            <w:shd w:val="clear" w:color="auto" w:fill="auto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  <w:t>Prešovský kraj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19,6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17,5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15,8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13,7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12,1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12,9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18,3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17,8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19,0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20,7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19,4</w:t>
            </w:r>
          </w:p>
        </w:tc>
      </w:tr>
      <w:tr w:rsidR="0033631D" w:rsidRPr="002A6885" w:rsidTr="00105A19">
        <w:trPr>
          <w:trHeight w:val="299"/>
        </w:trPr>
        <w:tc>
          <w:tcPr>
            <w:tcW w:w="1423" w:type="dxa"/>
            <w:shd w:val="clear" w:color="auto" w:fill="auto"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</w:pPr>
            <w:r w:rsidRPr="002A6885"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  <w:t>Košický kraj</w:t>
            </w:r>
          </w:p>
        </w:tc>
        <w:tc>
          <w:tcPr>
            <w:tcW w:w="589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22,2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18,9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17,5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15,2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13,0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13,5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17,3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16,8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18,8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19,6</w:t>
            </w:r>
          </w:p>
        </w:tc>
        <w:tc>
          <w:tcPr>
            <w:tcW w:w="711" w:type="dxa"/>
            <w:shd w:val="clear" w:color="auto" w:fill="auto"/>
            <w:noWrap/>
            <w:vAlign w:val="center"/>
            <w:hideMark/>
          </w:tcPr>
          <w:p w:rsidR="0033631D" w:rsidRPr="002A6885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9772FE">
              <w:rPr>
                <w:rFonts w:cs="Arial"/>
                <w:color w:val="000000"/>
                <w:sz w:val="18"/>
                <w:szCs w:val="20"/>
              </w:rPr>
              <w:t>17,2</w:t>
            </w:r>
          </w:p>
        </w:tc>
      </w:tr>
    </w:tbl>
    <w:p w:rsidR="0033631D" w:rsidRDefault="0033631D" w:rsidP="00BB27BD">
      <w:pPr>
        <w:pStyle w:val="Zkladntext3"/>
        <w:rPr>
          <w:highlight w:val="yellow"/>
        </w:rPr>
      </w:pPr>
    </w:p>
    <w:p w:rsidR="0033631D" w:rsidRDefault="0033631D" w:rsidP="00BB27BD">
      <w:pPr>
        <w:pStyle w:val="Zkladntext3"/>
        <w:rPr>
          <w:highlight w:val="yellow"/>
        </w:rPr>
      </w:pPr>
    </w:p>
    <w:p w:rsidR="0033631D" w:rsidRDefault="0033631D" w:rsidP="00BB27BD">
      <w:r w:rsidRPr="00652D07">
        <w:t xml:space="preserve">Priemerná nominálna mesačná mzda zamestnanca v roku 2013 bola 824 </w:t>
      </w:r>
      <w:r>
        <w:t>EUR</w:t>
      </w:r>
      <w:r w:rsidRPr="00652D07">
        <w:t xml:space="preserve">. Trend vývoja priemernej nominálnej je stúpajúci, avšak </w:t>
      </w:r>
      <w:r>
        <w:t>miera jej rastu nie je rovnaká</w:t>
      </w:r>
      <w:r w:rsidRPr="00652D07">
        <w:t xml:space="preserve">. Kým v období 2003 – 2008 </w:t>
      </w:r>
      <w:r>
        <w:t xml:space="preserve">rástla rýchlejšia </w:t>
      </w:r>
      <w:r w:rsidRPr="00652D07">
        <w:t xml:space="preserve">(index rastu sa pohyboval v hodnotách 106,3 – 110,2), od roku 2009 sa </w:t>
      </w:r>
      <w:r>
        <w:t xml:space="preserve">rast </w:t>
      </w:r>
      <w:r w:rsidRPr="00652D07">
        <w:t xml:space="preserve">spomalil (index rastu sa pohybuje v hodnotách 102,2 – 103,2). </w:t>
      </w:r>
    </w:p>
    <w:p w:rsidR="0033631D" w:rsidRPr="00652D07" w:rsidRDefault="0033631D" w:rsidP="00BB27BD">
      <w:pPr>
        <w:pStyle w:val="Zkladntext3"/>
      </w:pPr>
    </w:p>
    <w:p w:rsidR="0033631D" w:rsidRDefault="0033631D" w:rsidP="00BB27BD">
      <w:pPr>
        <w:pStyle w:val="popis2"/>
        <w:rPr>
          <w:rStyle w:val="Zkladntext3Char"/>
          <w:rFonts w:eastAsiaTheme="minorHAnsi"/>
          <w:highlight w:val="yellow"/>
        </w:rPr>
      </w:pPr>
      <w:r w:rsidRPr="00BC4524">
        <w:t xml:space="preserve">Graf č. </w:t>
      </w:r>
      <w:r w:rsidR="000F55A8">
        <w:fldChar w:fldCharType="begin"/>
      </w:r>
      <w:r w:rsidR="000F55A8">
        <w:instrText xml:space="preserve"> SEQ Graf \* ARABIC </w:instrText>
      </w:r>
      <w:r w:rsidR="000F55A8">
        <w:fldChar w:fldCharType="separate"/>
      </w:r>
      <w:r w:rsidR="008B1877">
        <w:rPr>
          <w:noProof/>
        </w:rPr>
        <w:t>15</w:t>
      </w:r>
      <w:r w:rsidR="000F55A8">
        <w:rPr>
          <w:noProof/>
        </w:rPr>
        <w:fldChar w:fldCharType="end"/>
      </w:r>
      <w:r w:rsidRPr="00BC4524">
        <w:t xml:space="preserve">: </w:t>
      </w:r>
      <w:r>
        <w:t>Vývoj priemernej nominálnej mesačnej mzdy (v EUR)</w:t>
      </w:r>
    </w:p>
    <w:p w:rsidR="0033631D" w:rsidRDefault="0033631D" w:rsidP="00BB27BD">
      <w:pPr>
        <w:pStyle w:val="Zkladntext3"/>
        <w:rPr>
          <w:highlight w:val="yellow"/>
        </w:rPr>
      </w:pPr>
      <w:r>
        <w:rPr>
          <w:noProof/>
          <w:lang w:eastAsia="sk-SK"/>
        </w:rPr>
        <w:drawing>
          <wp:inline distT="0" distB="0" distL="0" distR="0" wp14:anchorId="1A6D731F" wp14:editId="73E6364A">
            <wp:extent cx="5676900" cy="2333625"/>
            <wp:effectExtent l="0" t="0" r="19050" b="9525"/>
            <wp:docPr id="127" name="Graf 1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33631D" w:rsidRDefault="0033631D" w:rsidP="00BB27BD">
      <w:pPr>
        <w:pStyle w:val="Zkladntext3"/>
        <w:rPr>
          <w:highlight w:val="yellow"/>
        </w:rPr>
      </w:pPr>
    </w:p>
    <w:p w:rsidR="0033631D" w:rsidRPr="00DB3125" w:rsidRDefault="0033631D" w:rsidP="00BB27BD">
      <w:pPr>
        <w:pStyle w:val="Zkladntext3"/>
        <w:rPr>
          <w:highlight w:val="yellow"/>
        </w:rPr>
      </w:pPr>
    </w:p>
    <w:p w:rsidR="0033631D" w:rsidRPr="00293AE1" w:rsidRDefault="0033631D" w:rsidP="00BB27BD">
      <w:pPr>
        <w:pStyle w:val="popis2"/>
      </w:pPr>
      <w:r w:rsidRPr="00293AE1">
        <w:t xml:space="preserve">Tabuľka č. </w:t>
      </w:r>
      <w:r w:rsidR="000F55A8">
        <w:fldChar w:fldCharType="begin"/>
      </w:r>
      <w:r w:rsidR="000F55A8">
        <w:instrText xml:space="preserve"> SEQ Tabuľka \* ARABIC </w:instrText>
      </w:r>
      <w:r w:rsidR="000F55A8">
        <w:fldChar w:fldCharType="separate"/>
      </w:r>
      <w:r w:rsidR="008B1877">
        <w:rPr>
          <w:noProof/>
        </w:rPr>
        <w:t>10</w:t>
      </w:r>
      <w:r w:rsidR="000F55A8">
        <w:rPr>
          <w:noProof/>
        </w:rPr>
        <w:fldChar w:fldCharType="end"/>
      </w:r>
      <w:r w:rsidRPr="00293AE1">
        <w:t xml:space="preserve">: </w:t>
      </w:r>
      <w:r>
        <w:t xml:space="preserve">Vývoj priemernej nominálnej mesačnej mzdy (v EUR) </w:t>
      </w:r>
    </w:p>
    <w:tbl>
      <w:tblPr>
        <w:tblW w:w="9480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0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</w:tblGrid>
      <w:tr w:rsidR="0033631D" w:rsidRPr="008717D6" w:rsidTr="00105A19">
        <w:trPr>
          <w:trHeight w:val="255"/>
        </w:trPr>
        <w:tc>
          <w:tcPr>
            <w:tcW w:w="2000" w:type="dxa"/>
            <w:shd w:val="clear" w:color="000000" w:fill="BFBFBF"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 </w:t>
            </w:r>
          </w:p>
        </w:tc>
        <w:tc>
          <w:tcPr>
            <w:tcW w:w="680" w:type="dxa"/>
            <w:shd w:val="clear" w:color="000000" w:fill="BFBFBF"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2003</w:t>
            </w:r>
          </w:p>
        </w:tc>
        <w:tc>
          <w:tcPr>
            <w:tcW w:w="680" w:type="dxa"/>
            <w:shd w:val="clear" w:color="000000" w:fill="BFBFBF"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2004</w:t>
            </w:r>
          </w:p>
        </w:tc>
        <w:tc>
          <w:tcPr>
            <w:tcW w:w="680" w:type="dxa"/>
            <w:shd w:val="clear" w:color="000000" w:fill="BFBFBF"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2005</w:t>
            </w:r>
          </w:p>
        </w:tc>
        <w:tc>
          <w:tcPr>
            <w:tcW w:w="680" w:type="dxa"/>
            <w:shd w:val="clear" w:color="000000" w:fill="BFBFBF"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2006</w:t>
            </w:r>
          </w:p>
        </w:tc>
        <w:tc>
          <w:tcPr>
            <w:tcW w:w="680" w:type="dxa"/>
            <w:shd w:val="clear" w:color="000000" w:fill="BFBFBF"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2007</w:t>
            </w:r>
          </w:p>
        </w:tc>
        <w:tc>
          <w:tcPr>
            <w:tcW w:w="680" w:type="dxa"/>
            <w:shd w:val="clear" w:color="000000" w:fill="BFBFBF"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2008</w:t>
            </w:r>
          </w:p>
        </w:tc>
        <w:tc>
          <w:tcPr>
            <w:tcW w:w="680" w:type="dxa"/>
            <w:shd w:val="clear" w:color="000000" w:fill="BFBFBF"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2009</w:t>
            </w:r>
          </w:p>
        </w:tc>
        <w:tc>
          <w:tcPr>
            <w:tcW w:w="680" w:type="dxa"/>
            <w:shd w:val="clear" w:color="000000" w:fill="BFBFBF"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2010</w:t>
            </w:r>
          </w:p>
        </w:tc>
        <w:tc>
          <w:tcPr>
            <w:tcW w:w="680" w:type="dxa"/>
            <w:shd w:val="clear" w:color="000000" w:fill="BFBFBF"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2011</w:t>
            </w:r>
          </w:p>
        </w:tc>
        <w:tc>
          <w:tcPr>
            <w:tcW w:w="680" w:type="dxa"/>
            <w:shd w:val="clear" w:color="000000" w:fill="BFBFBF"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2012</w:t>
            </w:r>
          </w:p>
        </w:tc>
        <w:tc>
          <w:tcPr>
            <w:tcW w:w="680" w:type="dxa"/>
            <w:shd w:val="clear" w:color="000000" w:fill="BFBFBF"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2013</w:t>
            </w:r>
          </w:p>
        </w:tc>
      </w:tr>
      <w:tr w:rsidR="0033631D" w:rsidRPr="008717D6" w:rsidTr="00105A19">
        <w:trPr>
          <w:trHeight w:val="255"/>
        </w:trPr>
        <w:tc>
          <w:tcPr>
            <w:tcW w:w="2000" w:type="dxa"/>
            <w:shd w:val="clear" w:color="auto" w:fill="auto"/>
            <w:vAlign w:val="bottom"/>
            <w:hideMark/>
          </w:tcPr>
          <w:p w:rsidR="0033631D" w:rsidRPr="008717D6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  <w:t>Priemerná nominálna mesačná mzda (SR)</w:t>
            </w:r>
            <w:r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  <w:t>, v EUR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477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525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573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623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669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723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744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769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786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805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824</w:t>
            </w:r>
          </w:p>
        </w:tc>
      </w:tr>
      <w:tr w:rsidR="0033631D" w:rsidRPr="008717D6" w:rsidTr="00105A19">
        <w:trPr>
          <w:trHeight w:val="255"/>
        </w:trPr>
        <w:tc>
          <w:tcPr>
            <w:tcW w:w="2000" w:type="dxa"/>
            <w:shd w:val="clear" w:color="auto" w:fill="auto"/>
            <w:noWrap/>
            <w:vAlign w:val="bottom"/>
            <w:hideMark/>
          </w:tcPr>
          <w:p w:rsidR="0033631D" w:rsidRPr="008717D6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6"/>
                <w:szCs w:val="20"/>
                <w:lang w:eastAsia="sk-SK"/>
              </w:rPr>
              <w:t>Index rastu miezd (rovnaké obdobie predchádzajúceho roka = 100)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106,3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110,2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109,2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108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107,2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108,1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103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103,2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102,2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102,4</w:t>
            </w:r>
          </w:p>
        </w:tc>
        <w:tc>
          <w:tcPr>
            <w:tcW w:w="680" w:type="dxa"/>
            <w:shd w:val="clear" w:color="auto" w:fill="auto"/>
            <w:noWrap/>
            <w:vAlign w:val="center"/>
            <w:hideMark/>
          </w:tcPr>
          <w:p w:rsidR="0033631D" w:rsidRPr="008717D6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</w:pPr>
            <w:r w:rsidRPr="008717D6">
              <w:rPr>
                <w:rFonts w:eastAsia="Times New Roman" w:cs="Arial"/>
                <w:color w:val="000000"/>
                <w:sz w:val="18"/>
                <w:szCs w:val="20"/>
                <w:lang w:eastAsia="sk-SK"/>
              </w:rPr>
              <w:t>102,4</w:t>
            </w:r>
          </w:p>
        </w:tc>
      </w:tr>
    </w:tbl>
    <w:p w:rsidR="0033631D" w:rsidRDefault="0033631D" w:rsidP="00BB27BD">
      <w:pPr>
        <w:pStyle w:val="Zkladntext3"/>
        <w:rPr>
          <w:highlight w:val="yellow"/>
        </w:rPr>
      </w:pPr>
    </w:p>
    <w:p w:rsidR="0033631D" w:rsidRDefault="0033631D" w:rsidP="00BB27BD">
      <w:pPr>
        <w:rPr>
          <w:highlight w:val="yellow"/>
        </w:rPr>
      </w:pPr>
      <w:r>
        <w:lastRenderedPageBreak/>
        <w:t>Rovnako ako m</w:t>
      </w:r>
      <w:r w:rsidRPr="00B14E9D">
        <w:t xml:space="preserve">iera evidovanej nezamestnanosti </w:t>
      </w:r>
      <w:r>
        <w:t xml:space="preserve">aj priemerná nominálna mesačná mzda je v jednotlivých krajoch </w:t>
      </w:r>
      <w:r w:rsidRPr="00B14E9D">
        <w:t>výrazne diferencovaná.</w:t>
      </w:r>
      <w:r>
        <w:t xml:space="preserve"> Najvyššia (1 049 EUR) je v Bratislavskom kraji, najnižšia (636 EUR) v Prešovskom kraji.</w:t>
      </w:r>
    </w:p>
    <w:p w:rsidR="0033631D" w:rsidRDefault="0033631D" w:rsidP="00BB27BD">
      <w:pPr>
        <w:pStyle w:val="Zkladntext3"/>
        <w:rPr>
          <w:highlight w:val="yellow"/>
        </w:rPr>
      </w:pPr>
    </w:p>
    <w:p w:rsidR="0033631D" w:rsidRDefault="0033631D" w:rsidP="00BB27BD">
      <w:pPr>
        <w:pStyle w:val="Zkladntext3"/>
        <w:rPr>
          <w:highlight w:val="yellow"/>
        </w:rPr>
      </w:pPr>
    </w:p>
    <w:p w:rsidR="0033631D" w:rsidRDefault="0033631D" w:rsidP="00BB27BD">
      <w:pPr>
        <w:pStyle w:val="popis2"/>
        <w:rPr>
          <w:rStyle w:val="Zkladntext3Char"/>
          <w:rFonts w:eastAsiaTheme="minorHAnsi"/>
          <w:highlight w:val="yellow"/>
        </w:rPr>
      </w:pPr>
      <w:r w:rsidRPr="00BC4524">
        <w:t xml:space="preserve">Graf č. </w:t>
      </w:r>
      <w:r w:rsidR="000F55A8">
        <w:fldChar w:fldCharType="begin"/>
      </w:r>
      <w:r w:rsidR="000F55A8">
        <w:instrText xml:space="preserve"> SEQ Graf \* ARABIC </w:instrText>
      </w:r>
      <w:r w:rsidR="000F55A8">
        <w:fldChar w:fldCharType="separate"/>
      </w:r>
      <w:r w:rsidR="008B1877">
        <w:rPr>
          <w:noProof/>
        </w:rPr>
        <w:t>16</w:t>
      </w:r>
      <w:r w:rsidR="000F55A8">
        <w:rPr>
          <w:noProof/>
        </w:rPr>
        <w:fldChar w:fldCharType="end"/>
      </w:r>
      <w:r w:rsidRPr="00BC4524">
        <w:t xml:space="preserve">: </w:t>
      </w:r>
      <w:r>
        <w:t>P</w:t>
      </w:r>
      <w:r w:rsidRPr="00004376">
        <w:t>riemern</w:t>
      </w:r>
      <w:r>
        <w:t xml:space="preserve">á nominálna mesačná mzda </w:t>
      </w:r>
      <w:r w:rsidRPr="00004376">
        <w:t>(v EUR)</w:t>
      </w:r>
      <w:r>
        <w:t>, podľa krajov, 2013</w:t>
      </w:r>
    </w:p>
    <w:p w:rsidR="0033631D" w:rsidRDefault="0033631D" w:rsidP="00BB27BD">
      <w:pPr>
        <w:pStyle w:val="Zkladntext3"/>
        <w:rPr>
          <w:highlight w:val="yellow"/>
        </w:rPr>
      </w:pPr>
      <w:r>
        <w:rPr>
          <w:noProof/>
          <w:lang w:eastAsia="sk-SK"/>
        </w:rPr>
        <w:drawing>
          <wp:inline distT="0" distB="0" distL="0" distR="0" wp14:anchorId="61BDA067" wp14:editId="42BF826F">
            <wp:extent cx="5715000" cy="3095625"/>
            <wp:effectExtent l="0" t="0" r="19050" b="9525"/>
            <wp:docPr id="128" name="Graf 1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33631D" w:rsidRDefault="0033631D" w:rsidP="00BB27BD">
      <w:pPr>
        <w:pStyle w:val="Zkladntext3"/>
        <w:rPr>
          <w:highlight w:val="yellow"/>
        </w:rPr>
      </w:pPr>
    </w:p>
    <w:p w:rsidR="0033631D" w:rsidRDefault="0033631D" w:rsidP="00BB27BD">
      <w:pPr>
        <w:pStyle w:val="Zkladntext3"/>
        <w:rPr>
          <w:highlight w:val="yellow"/>
        </w:rPr>
      </w:pPr>
    </w:p>
    <w:p w:rsidR="0033631D" w:rsidRPr="00DB3125" w:rsidRDefault="0033631D" w:rsidP="00BB27BD">
      <w:pPr>
        <w:pStyle w:val="Zkladntext3"/>
        <w:rPr>
          <w:highlight w:val="yellow"/>
        </w:rPr>
      </w:pPr>
    </w:p>
    <w:p w:rsidR="0033631D" w:rsidRPr="006419DA" w:rsidRDefault="0033631D" w:rsidP="00BB27BD">
      <w:pPr>
        <w:pStyle w:val="Nadpis2"/>
      </w:pPr>
      <w:bookmarkStart w:id="12" w:name="_Toc286650722"/>
      <w:bookmarkStart w:id="13" w:name="_Toc410051288"/>
      <w:r w:rsidRPr="006419DA">
        <w:t>Charakteristika domácností</w:t>
      </w:r>
      <w:bookmarkEnd w:id="12"/>
      <w:bookmarkEnd w:id="13"/>
    </w:p>
    <w:p w:rsidR="0033631D" w:rsidRDefault="0033631D" w:rsidP="00BB27BD">
      <w:r w:rsidRPr="00AC4DC5">
        <w:t>Koncom roka 2012 (</w:t>
      </w:r>
      <w:r>
        <w:t xml:space="preserve">pozn. </w:t>
      </w:r>
      <w:r w:rsidRPr="00AC4DC5">
        <w:t xml:space="preserve">v databáze </w:t>
      </w:r>
      <w:proofErr w:type="spellStart"/>
      <w:r w:rsidRPr="00AC4DC5">
        <w:t>RegData</w:t>
      </w:r>
      <w:proofErr w:type="spellEnd"/>
      <w:r w:rsidRPr="00AC4DC5">
        <w:t xml:space="preserve"> - Príjmy a životné podmienky domácností, nie sú uvedené za rok 2013) bolo na Slovensku 1 911,7 tis. domácností. Priemerný počet členov domácností je 2,8. Najmenšie domácnosti sú v Bratislavskom a Nitrianskom kraji, kde </w:t>
      </w:r>
      <w:r>
        <w:t xml:space="preserve">je v jednej </w:t>
      </w:r>
      <w:r w:rsidRPr="00AC4DC5">
        <w:t xml:space="preserve">domácnosti priemerne 2,6 člena a naopak, najviac členov domácnosti má Prešovský kraj (3,3). </w:t>
      </w:r>
    </w:p>
    <w:p w:rsidR="0033631D" w:rsidRPr="00AC4DC5" w:rsidRDefault="0033631D" w:rsidP="00BB27BD">
      <w:pPr>
        <w:pStyle w:val="Zkladntext3"/>
      </w:pPr>
    </w:p>
    <w:p w:rsidR="0033631D" w:rsidRPr="00AC4DC5" w:rsidRDefault="0033631D" w:rsidP="00BB27BD">
      <w:pPr>
        <w:pStyle w:val="Zkladntext3"/>
      </w:pPr>
    </w:p>
    <w:p w:rsidR="00583F2B" w:rsidRDefault="00583F2B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33631D" w:rsidRPr="00293AE1" w:rsidRDefault="0033631D" w:rsidP="00BB27BD">
      <w:pPr>
        <w:pStyle w:val="popis2"/>
      </w:pPr>
      <w:r w:rsidRPr="00293AE1">
        <w:lastRenderedPageBreak/>
        <w:t xml:space="preserve">Tabuľka č. </w:t>
      </w:r>
      <w:r w:rsidR="000F55A8">
        <w:fldChar w:fldCharType="begin"/>
      </w:r>
      <w:r w:rsidR="000F55A8">
        <w:instrText xml:space="preserve"> SEQ Tabuľka \* ARABIC </w:instrText>
      </w:r>
      <w:r w:rsidR="000F55A8">
        <w:fldChar w:fldCharType="separate"/>
      </w:r>
      <w:r w:rsidR="008B1877">
        <w:rPr>
          <w:noProof/>
        </w:rPr>
        <w:t>11</w:t>
      </w:r>
      <w:r w:rsidR="000F55A8">
        <w:rPr>
          <w:noProof/>
        </w:rPr>
        <w:fldChar w:fldCharType="end"/>
      </w:r>
      <w:r w:rsidRPr="00293AE1">
        <w:t xml:space="preserve">: </w:t>
      </w:r>
      <w:r>
        <w:t xml:space="preserve">Charakteristika domácností v SR </w:t>
      </w:r>
    </w:p>
    <w:tbl>
      <w:tblPr>
        <w:tblW w:w="7953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67"/>
        <w:gridCol w:w="1843"/>
        <w:gridCol w:w="1842"/>
        <w:gridCol w:w="1701"/>
      </w:tblGrid>
      <w:tr w:rsidR="0033631D" w:rsidRPr="00D01FB1" w:rsidTr="00105A19">
        <w:trPr>
          <w:trHeight w:val="949"/>
        </w:trPr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33631D" w:rsidRPr="00D01FB1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D01FB1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Hospodáriace domácnosti (2012)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D01FB1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Osoby v domácnostiach (2012)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33631D" w:rsidRPr="00D01FB1" w:rsidRDefault="0033631D" w:rsidP="00105A19">
            <w:pPr>
              <w:spacing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 xml:space="preserve">priemerný </w:t>
            </w:r>
            <w:r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p</w:t>
            </w: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očet osôb v domácnosti</w:t>
            </w:r>
          </w:p>
        </w:tc>
      </w:tr>
      <w:tr w:rsidR="0033631D" w:rsidRPr="00D01FB1" w:rsidTr="00105A19">
        <w:trPr>
          <w:trHeight w:val="284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Slovenská republika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1 911 664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5 404 322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2,8</w:t>
            </w:r>
          </w:p>
        </w:tc>
      </w:tr>
      <w:tr w:rsidR="0033631D" w:rsidRPr="00D01FB1" w:rsidTr="00105A19">
        <w:trPr>
          <w:trHeight w:val="284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Bratislavský kraj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235 239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606 537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2,6</w:t>
            </w:r>
          </w:p>
        </w:tc>
      </w:tr>
      <w:tr w:rsidR="0033631D" w:rsidRPr="00D01FB1" w:rsidTr="00105A19">
        <w:trPr>
          <w:trHeight w:val="284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Trnavský kraj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204 192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555 509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2,7</w:t>
            </w:r>
          </w:p>
        </w:tc>
      </w:tr>
      <w:tr w:rsidR="0033631D" w:rsidRPr="00D01FB1" w:rsidTr="00105A19">
        <w:trPr>
          <w:trHeight w:val="284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Trenčiansky kraj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212 965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594 186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2,8</w:t>
            </w:r>
          </w:p>
        </w:tc>
      </w:tr>
      <w:tr w:rsidR="0033631D" w:rsidRPr="00D01FB1" w:rsidTr="00105A19">
        <w:trPr>
          <w:trHeight w:val="284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Nitriansky kraj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261 751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689 564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2,6</w:t>
            </w:r>
          </w:p>
        </w:tc>
      </w:tr>
      <w:tr w:rsidR="0033631D" w:rsidRPr="00D01FB1" w:rsidTr="00105A19">
        <w:trPr>
          <w:trHeight w:val="284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Žilinský kraj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238 097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689 601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2,9</w:t>
            </w:r>
          </w:p>
        </w:tc>
      </w:tr>
      <w:tr w:rsidR="0033631D" w:rsidRPr="00D01FB1" w:rsidTr="00105A19">
        <w:trPr>
          <w:trHeight w:val="284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Banskobystrický kraj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246 511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660 128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2,7</w:t>
            </w:r>
          </w:p>
        </w:tc>
      </w:tr>
      <w:tr w:rsidR="0033631D" w:rsidRPr="00D01FB1" w:rsidTr="00105A19">
        <w:trPr>
          <w:trHeight w:val="284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Prešovský kraj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248 693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815 806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3,3</w:t>
            </w:r>
          </w:p>
        </w:tc>
      </w:tr>
      <w:tr w:rsidR="0033631D" w:rsidRPr="00D01FB1" w:rsidTr="00105A19">
        <w:trPr>
          <w:trHeight w:val="284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Košický kraj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264 216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792 991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631D" w:rsidRPr="00D01FB1" w:rsidRDefault="0033631D" w:rsidP="00105A19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D01FB1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3,0</w:t>
            </w:r>
          </w:p>
        </w:tc>
      </w:tr>
    </w:tbl>
    <w:p w:rsidR="0033631D" w:rsidRDefault="0033631D" w:rsidP="00BB27BD">
      <w:pPr>
        <w:pStyle w:val="Zkladntext3"/>
        <w:rPr>
          <w:highlight w:val="yellow"/>
        </w:rPr>
      </w:pPr>
    </w:p>
    <w:p w:rsidR="0033631D" w:rsidRDefault="0033631D" w:rsidP="00BB27BD">
      <w:pPr>
        <w:ind w:firstLine="360"/>
        <w:rPr>
          <w:highlight w:val="yellow"/>
        </w:rPr>
      </w:pPr>
    </w:p>
    <w:p w:rsidR="0033631D" w:rsidRDefault="0033631D" w:rsidP="00A151A5">
      <w:pPr>
        <w:ind w:firstLine="360"/>
        <w:rPr>
          <w:highlight w:val="yellow"/>
        </w:rPr>
      </w:pPr>
    </w:p>
    <w:p w:rsidR="0033631D" w:rsidRPr="001354D6" w:rsidRDefault="0033631D" w:rsidP="00A151A5">
      <w:pPr>
        <w:ind w:firstLine="360"/>
        <w:rPr>
          <w:highlight w:val="yellow"/>
        </w:rPr>
      </w:pPr>
    </w:p>
    <w:p w:rsidR="00583F2B" w:rsidRDefault="00583F2B">
      <w:pPr>
        <w:spacing w:after="200" w:line="276" w:lineRule="auto"/>
        <w:jc w:val="left"/>
        <w:rPr>
          <w:rFonts w:eastAsia="Times New Roman" w:cs="Times New Roman"/>
          <w:b/>
          <w:bCs/>
          <w:sz w:val="28"/>
          <w:szCs w:val="28"/>
          <w:u w:val="single"/>
          <w:lang w:eastAsia="x-none"/>
        </w:rPr>
      </w:pPr>
      <w:r>
        <w:br w:type="page"/>
      </w:r>
    </w:p>
    <w:p w:rsidR="0033631D" w:rsidRPr="0033631D" w:rsidRDefault="0033631D" w:rsidP="00A151A5">
      <w:pPr>
        <w:pStyle w:val="Nadpis1"/>
      </w:pPr>
      <w:bookmarkStart w:id="14" w:name="_Toc410051289"/>
      <w:r>
        <w:rPr>
          <w:lang w:val="sk-SK"/>
        </w:rPr>
        <w:lastRenderedPageBreak/>
        <w:t>Kvantitatívny prieskum</w:t>
      </w:r>
      <w:bookmarkEnd w:id="14"/>
      <w:r>
        <w:rPr>
          <w:lang w:val="sk-SK"/>
        </w:rPr>
        <w:t xml:space="preserve"> </w:t>
      </w:r>
    </w:p>
    <w:p w:rsidR="0033631D" w:rsidRPr="00BC4524" w:rsidRDefault="0033631D" w:rsidP="0033631D">
      <w:pPr>
        <w:pStyle w:val="Nadpis2"/>
      </w:pPr>
      <w:bookmarkStart w:id="15" w:name="_Toc410051290"/>
      <w:bookmarkStart w:id="16" w:name="_Toc286650717"/>
      <w:r w:rsidRPr="00BC4524">
        <w:rPr>
          <w:lang w:val="sk-SK"/>
        </w:rPr>
        <w:t>Ciele prieskumu</w:t>
      </w:r>
      <w:bookmarkEnd w:id="15"/>
    </w:p>
    <w:p w:rsidR="003D759C" w:rsidRDefault="003D759C" w:rsidP="006033D4">
      <w:r>
        <w:t xml:space="preserve">Ciele prieskumu </w:t>
      </w:r>
      <w:r w:rsidR="006033D4">
        <w:t>v zmysle požiadaviek zadávateľa bolo</w:t>
      </w:r>
      <w:r>
        <w:t>:</w:t>
      </w:r>
    </w:p>
    <w:p w:rsidR="003D759C" w:rsidRDefault="003D759C" w:rsidP="004566EE">
      <w:pPr>
        <w:ind w:left="709" w:hanging="349"/>
      </w:pPr>
      <w:r>
        <w:t>1.</w:t>
      </w:r>
      <w:r>
        <w:tab/>
        <w:t>Zistiť znalosť základných informácií o politike súdržnosti EÚ, Národnom strategickom referenčnom rámci SR pre 2007 – 2013 a operačných programoch na Slovensku na konci pr</w:t>
      </w:r>
      <w:r w:rsidR="006033D4">
        <w:t>ogramového obdobia 2007 – 2013,</w:t>
      </w:r>
    </w:p>
    <w:p w:rsidR="003D759C" w:rsidRDefault="003D759C" w:rsidP="004566EE">
      <w:pPr>
        <w:ind w:left="709" w:hanging="349"/>
      </w:pPr>
      <w:r>
        <w:t>2.</w:t>
      </w:r>
      <w:r>
        <w:tab/>
        <w:t>Zistiť intenzitu znalostí v jednotlivých cieľových skupinách</w:t>
      </w:r>
      <w:r w:rsidR="006033D4">
        <w:t xml:space="preserve">, </w:t>
      </w:r>
    </w:p>
    <w:p w:rsidR="003D759C" w:rsidRDefault="003D759C" w:rsidP="004566EE">
      <w:pPr>
        <w:ind w:left="709" w:hanging="349"/>
      </w:pPr>
      <w:r>
        <w:t>3.</w:t>
      </w:r>
      <w:r>
        <w:tab/>
        <w:t>Zistiť regionálne, resp. iné diferencie v</w:t>
      </w:r>
      <w:r w:rsidR="006033D4">
        <w:t> </w:t>
      </w:r>
      <w:r>
        <w:t>znalostiach</w:t>
      </w:r>
      <w:r w:rsidR="006033D4">
        <w:t xml:space="preserve">, </w:t>
      </w:r>
    </w:p>
    <w:p w:rsidR="003D759C" w:rsidRDefault="003D759C" w:rsidP="004566EE">
      <w:pPr>
        <w:ind w:left="709" w:hanging="349"/>
      </w:pPr>
      <w:r>
        <w:t>4.</w:t>
      </w:r>
      <w:r>
        <w:tab/>
        <w:t>Zistiť nenaplnené informačné potreby cieľových skupín</w:t>
      </w:r>
      <w:r w:rsidR="006033D4">
        <w:t xml:space="preserve">, </w:t>
      </w:r>
    </w:p>
    <w:p w:rsidR="003D759C" w:rsidRDefault="003D759C" w:rsidP="004566EE">
      <w:pPr>
        <w:ind w:left="709" w:hanging="349"/>
      </w:pPr>
      <w:r>
        <w:t>5.</w:t>
      </w:r>
      <w:r>
        <w:tab/>
        <w:t>Zistiť vývoj znalostí základných údajov – porovnanie so Záverečnou správou z prieskumu verejnej mienky z roku 2011.</w:t>
      </w:r>
    </w:p>
    <w:p w:rsidR="003D759C" w:rsidRDefault="003D759C" w:rsidP="003D759C">
      <w:pPr>
        <w:ind w:firstLine="360"/>
      </w:pPr>
    </w:p>
    <w:p w:rsidR="003D759C" w:rsidRDefault="003D759C" w:rsidP="006033D4">
      <w:r>
        <w:t xml:space="preserve">Sledované oblasti v prieskume sa </w:t>
      </w:r>
      <w:r w:rsidR="006033D4">
        <w:t xml:space="preserve">dotýkali </w:t>
      </w:r>
      <w:r>
        <w:t xml:space="preserve">nasledovných tém: </w:t>
      </w:r>
    </w:p>
    <w:p w:rsidR="003D759C" w:rsidRDefault="003D759C" w:rsidP="004566EE">
      <w:pPr>
        <w:ind w:left="709" w:hanging="349"/>
      </w:pPr>
      <w:r>
        <w:t>•</w:t>
      </w:r>
      <w:r>
        <w:tab/>
        <w:t>znalosť štrukturálnych fondov Európskej únie</w:t>
      </w:r>
    </w:p>
    <w:p w:rsidR="003D759C" w:rsidRDefault="003D759C" w:rsidP="004566EE">
      <w:pPr>
        <w:ind w:left="709" w:hanging="349"/>
      </w:pPr>
      <w:r>
        <w:t>•</w:t>
      </w:r>
      <w:r>
        <w:tab/>
        <w:t>subjektívna miera informovanosti o problematike fondov Európskej únie</w:t>
      </w:r>
    </w:p>
    <w:p w:rsidR="003D759C" w:rsidRDefault="003D759C" w:rsidP="004566EE">
      <w:pPr>
        <w:ind w:left="709" w:hanging="349"/>
      </w:pPr>
      <w:r>
        <w:t>•</w:t>
      </w:r>
      <w:r>
        <w:tab/>
        <w:t>zrozumiteľnosť a dostupnosť informácií</w:t>
      </w:r>
    </w:p>
    <w:p w:rsidR="003D759C" w:rsidRDefault="003D759C" w:rsidP="004566EE">
      <w:pPr>
        <w:ind w:left="709" w:hanging="349"/>
      </w:pPr>
      <w:r>
        <w:t>•</w:t>
      </w:r>
      <w:r>
        <w:tab/>
        <w:t xml:space="preserve">preferované informačné zdroje </w:t>
      </w:r>
    </w:p>
    <w:p w:rsidR="003D759C" w:rsidRDefault="003D759C" w:rsidP="004566EE">
      <w:pPr>
        <w:ind w:left="709" w:hanging="349"/>
      </w:pPr>
      <w:r>
        <w:t>•</w:t>
      </w:r>
      <w:r>
        <w:tab/>
        <w:t>znalosť dokumentu Národný strategický referenčný rámec SR pre roky 2007-2013</w:t>
      </w:r>
    </w:p>
    <w:p w:rsidR="003D759C" w:rsidRDefault="003D759C" w:rsidP="004566EE">
      <w:pPr>
        <w:ind w:left="709" w:hanging="349"/>
      </w:pPr>
      <w:r>
        <w:t>•</w:t>
      </w:r>
      <w:r>
        <w:tab/>
        <w:t>znalosť jednotlivých operačných programov spadajúcich pod Národný strategický referenčný rámec SR pre roky 2007-2013</w:t>
      </w:r>
    </w:p>
    <w:p w:rsidR="003D759C" w:rsidRDefault="003D759C" w:rsidP="004566EE">
      <w:pPr>
        <w:ind w:left="709" w:hanging="349"/>
      </w:pPr>
      <w:r>
        <w:t>•</w:t>
      </w:r>
      <w:r>
        <w:tab/>
        <w:t>postoj respondentov voči činnosti fondov v rámci Európskej únie</w:t>
      </w:r>
    </w:p>
    <w:p w:rsidR="003D759C" w:rsidRDefault="003D759C" w:rsidP="004566EE">
      <w:pPr>
        <w:ind w:left="709" w:hanging="349"/>
      </w:pPr>
      <w:r>
        <w:t>•</w:t>
      </w:r>
      <w:r>
        <w:tab/>
        <w:t>postoj respondentov voči možnosti získania finančných prostriedkov z fondov EÚ</w:t>
      </w:r>
    </w:p>
    <w:p w:rsidR="0033631D" w:rsidRPr="00BC4524" w:rsidRDefault="003D759C" w:rsidP="004566EE">
      <w:pPr>
        <w:ind w:left="709" w:hanging="349"/>
      </w:pPr>
      <w:r>
        <w:t>•</w:t>
      </w:r>
      <w:r>
        <w:tab/>
        <w:t>vnímanie EÚ ako poskytovateľa finančnej pomoci na Slovensku.</w:t>
      </w:r>
    </w:p>
    <w:p w:rsidR="0033631D" w:rsidRPr="00BC4524" w:rsidRDefault="0033631D" w:rsidP="0033631D"/>
    <w:p w:rsidR="0033631D" w:rsidRPr="00BC4524" w:rsidRDefault="0033631D" w:rsidP="0033631D"/>
    <w:p w:rsidR="0033631D" w:rsidRPr="00BC4524" w:rsidRDefault="0033631D" w:rsidP="0033631D">
      <w:pPr>
        <w:pStyle w:val="Nadpis2"/>
      </w:pPr>
      <w:bookmarkStart w:id="17" w:name="_Toc410051291"/>
      <w:bookmarkEnd w:id="16"/>
      <w:r w:rsidRPr="00BC4524">
        <w:rPr>
          <w:lang w:val="sk-SK"/>
        </w:rPr>
        <w:lastRenderedPageBreak/>
        <w:t>Metodika prieskumu</w:t>
      </w:r>
      <w:bookmarkEnd w:id="17"/>
    </w:p>
    <w:p w:rsidR="00053C04" w:rsidRDefault="00F2081D" w:rsidP="00F2081D">
      <w:pPr>
        <w:ind w:firstLine="360"/>
      </w:pPr>
      <w:r w:rsidRPr="001E619A">
        <w:t xml:space="preserve">Prieskum v Slovenskej republike realizovala agentúra GfK Slovakia, s.r.o. Prieskum dospelej populácie sa realizoval na vzorke </w:t>
      </w:r>
      <w:r w:rsidRPr="00F2081D">
        <w:t>500 respondentov vo veku 15 až 79 rokov</w:t>
      </w:r>
      <w:r w:rsidRPr="001E619A">
        <w:t>, ktorí</w:t>
      </w:r>
      <w:r w:rsidR="0092664E">
        <w:t xml:space="preserve"> boli </w:t>
      </w:r>
      <w:r w:rsidR="00B47289">
        <w:t>podľa požiadaviek zadávateľa náhodne vybratí.</w:t>
      </w:r>
    </w:p>
    <w:p w:rsidR="00053C04" w:rsidRDefault="00053C04" w:rsidP="00F2081D">
      <w:pPr>
        <w:ind w:firstLine="360"/>
      </w:pPr>
      <w:r w:rsidRPr="00053C04">
        <w:t>Dopytovanie prebiehalo pomocou tzv. CATI metódy (</w:t>
      </w:r>
      <w:proofErr w:type="spellStart"/>
      <w:r w:rsidRPr="00053C04">
        <w:t>Computer</w:t>
      </w:r>
      <w:proofErr w:type="spellEnd"/>
      <w:r>
        <w:t xml:space="preserve"> </w:t>
      </w:r>
      <w:proofErr w:type="spellStart"/>
      <w:r w:rsidRPr="00053C04">
        <w:t>Aided</w:t>
      </w:r>
      <w:proofErr w:type="spellEnd"/>
      <w:r>
        <w:t xml:space="preserve"> </w:t>
      </w:r>
      <w:proofErr w:type="spellStart"/>
      <w:r w:rsidRPr="00053C04">
        <w:t>Telephone</w:t>
      </w:r>
      <w:proofErr w:type="spellEnd"/>
      <w:r>
        <w:t xml:space="preserve"> </w:t>
      </w:r>
      <w:proofErr w:type="spellStart"/>
      <w:r w:rsidRPr="00053C04">
        <w:t>Interviewing</w:t>
      </w:r>
      <w:proofErr w:type="spellEnd"/>
      <w:r w:rsidRPr="00053C04">
        <w:t>), ktorá je jednou z najspoľahlivejších a najrýchlejších metód zberu dát. Pri CATI dopytovaní sú otázky ako aj odpovede pripravené v elektronickej podobe, pričom sú ošetrené všetky tzv. skoky. Otázky a odpovede sa zobrazujú na obrazovke terminálu a odpovede získané od respondenta sa už počas rozhovoru kontinuálne spracúvajú.</w:t>
      </w:r>
    </w:p>
    <w:p w:rsidR="00F2081D" w:rsidRPr="001E619A" w:rsidRDefault="00053C04" w:rsidP="00F2081D">
      <w:pPr>
        <w:ind w:firstLine="360"/>
      </w:pPr>
      <w:r>
        <w:t xml:space="preserve">Pri telefonickom dopytovaní </w:t>
      </w:r>
      <w:r w:rsidR="00F2081D" w:rsidRPr="001E619A">
        <w:t>sa volalo na</w:t>
      </w:r>
      <w:r w:rsidR="00F2081D">
        <w:t xml:space="preserve"> 12248 </w:t>
      </w:r>
      <w:r w:rsidR="00F2081D" w:rsidRPr="001E619A">
        <w:t>náhodne generovaných čísel. Z tohto počtu bol nadviazaný kontakt so </w:t>
      </w:r>
      <w:r w:rsidR="00F2081D" w:rsidRPr="0002572A">
        <w:t>10366</w:t>
      </w:r>
      <w:r w:rsidR="00F2081D">
        <w:t xml:space="preserve"> </w:t>
      </w:r>
      <w:r w:rsidR="00F2081D" w:rsidRPr="001E619A">
        <w:t xml:space="preserve">respondentmi. S uskutočnením rozhovoru súhlasilo </w:t>
      </w:r>
      <w:r w:rsidR="00F2081D" w:rsidRPr="0002572A">
        <w:t>1454</w:t>
      </w:r>
      <w:r w:rsidR="00F2081D" w:rsidRPr="001E619A">
        <w:t xml:space="preserve"> respondentov a na základe </w:t>
      </w:r>
      <w:proofErr w:type="spellStart"/>
      <w:r w:rsidR="00F2081D" w:rsidRPr="001E619A">
        <w:t>screeningových</w:t>
      </w:r>
      <w:proofErr w:type="spellEnd"/>
      <w:r w:rsidR="00F2081D" w:rsidRPr="001E619A">
        <w:t xml:space="preserve"> kritérií a spôsobilosti respondentov odpovedať na položené otázky bolo dokončených </w:t>
      </w:r>
      <w:r w:rsidR="00F2081D">
        <w:t>500</w:t>
      </w:r>
      <w:r w:rsidR="00F2081D" w:rsidRPr="001E619A">
        <w:t xml:space="preserve"> rozhovorov. Volané boli pevné linky (20%) aj mobilné telefóny (80%). Pri pevných linkách sa pri výbere konkrétneho respondenta v domácnosti postupovalo metódou ďalších narodenín. </w:t>
      </w:r>
    </w:p>
    <w:p w:rsidR="00F2081D" w:rsidRPr="001E619A" w:rsidRDefault="00F2081D" w:rsidP="00F2081D">
      <w:pPr>
        <w:ind w:firstLine="360"/>
      </w:pPr>
      <w:r w:rsidRPr="001E619A">
        <w:t xml:space="preserve">Samotný zber dát prebiehal v dňoch od </w:t>
      </w:r>
      <w:r>
        <w:t>25.9.</w:t>
      </w:r>
      <w:r w:rsidRPr="001E619A">
        <w:t xml:space="preserve"> do </w:t>
      </w:r>
      <w:r>
        <w:t>15.10</w:t>
      </w:r>
      <w:r w:rsidRPr="001E619A">
        <w:t>. 201</w:t>
      </w:r>
      <w:r>
        <w:t>4</w:t>
      </w:r>
      <w:r w:rsidRPr="001E619A">
        <w:t>. Volalo sa v pracovné dni v čase od 8:30 do 21:00 a cez víkendy od 9:00 do 1</w:t>
      </w:r>
      <w:r>
        <w:t>8</w:t>
      </w:r>
      <w:r w:rsidRPr="001E619A">
        <w:t>:00. Výsledné dáta boli spracované v štatistickom softvéri SPSS.</w:t>
      </w:r>
    </w:p>
    <w:p w:rsidR="00F2081D" w:rsidRPr="001E619A" w:rsidRDefault="00F2081D" w:rsidP="00F2081D"/>
    <w:p w:rsidR="0033631D" w:rsidRDefault="0033631D" w:rsidP="0033631D">
      <w:pPr>
        <w:spacing w:after="200" w:line="276" w:lineRule="auto"/>
        <w:jc w:val="left"/>
        <w:rPr>
          <w:highlight w:val="yellow"/>
        </w:rPr>
      </w:pPr>
      <w:r>
        <w:rPr>
          <w:highlight w:val="yellow"/>
        </w:rPr>
        <w:br w:type="page"/>
      </w:r>
    </w:p>
    <w:p w:rsidR="00A151A5" w:rsidRPr="00F54D58" w:rsidRDefault="00A151A5" w:rsidP="0033631D">
      <w:pPr>
        <w:pStyle w:val="Nadpis2"/>
      </w:pPr>
      <w:bookmarkStart w:id="18" w:name="_Toc410051292"/>
      <w:r w:rsidRPr="00F54D58">
        <w:rPr>
          <w:lang w:val="sk-SK"/>
        </w:rPr>
        <w:lastRenderedPageBreak/>
        <w:t>Charakteristika výberovej vzorky</w:t>
      </w:r>
      <w:bookmarkEnd w:id="18"/>
    </w:p>
    <w:p w:rsidR="00A151A5" w:rsidRDefault="00F54D58" w:rsidP="0033631D">
      <w:pPr>
        <w:ind w:firstLine="360"/>
        <w:rPr>
          <w:highlight w:val="yellow"/>
        </w:rPr>
      </w:pPr>
      <w:r>
        <w:t xml:space="preserve">Výberová vzorka pozostávala z 500 respondentov vo veku 15 až 79 rokov. Podľa požiadaviek zadávateľa išlo o náhodný výber respondentov. Na prieskume sa zúčastnilo 54% žien, 46% vzorky tvorili muži. Z hľadiska vekovej štruktúry boli najviac zastúpení respondenti </w:t>
      </w:r>
      <w:r w:rsidR="001B56FD">
        <w:t xml:space="preserve">do 29 rokov </w:t>
      </w:r>
      <w:r w:rsidR="00DD13BE">
        <w:t xml:space="preserve">vo veku 25 až 34 rokov (25%), najmenej boli zastúpení ľudia nad 70 rokov (8,4%). </w:t>
      </w:r>
      <w:r w:rsidR="00985F23">
        <w:t>Zastúpení boli respondenti zo všetkých krajov SR.</w:t>
      </w:r>
      <w:r w:rsidR="00255F55">
        <w:t xml:space="preserve"> Z hľadiska vzdelania tvorili tretinu vzorky ľudia s vysokoškolským vzdelaním, zvyšok respondenti so stredoškolským vzdelaním. </w:t>
      </w:r>
    </w:p>
    <w:p w:rsidR="00A151A5" w:rsidRDefault="00A151A5" w:rsidP="0033631D">
      <w:pPr>
        <w:pStyle w:val="Bezriadkovania"/>
        <w:rPr>
          <w:rFonts w:cs="Arial"/>
          <w:szCs w:val="20"/>
        </w:rPr>
      </w:pPr>
    </w:p>
    <w:p w:rsidR="00A151A5" w:rsidRDefault="00A151A5" w:rsidP="0033631D">
      <w:pPr>
        <w:pStyle w:val="Bezriadkovania"/>
        <w:rPr>
          <w:rFonts w:cs="Arial"/>
          <w:szCs w:val="20"/>
        </w:rPr>
      </w:pPr>
    </w:p>
    <w:p w:rsidR="001B56FD" w:rsidRPr="00BC4524" w:rsidRDefault="001B56FD" w:rsidP="0033631D">
      <w:pPr>
        <w:pStyle w:val="popis2"/>
      </w:pPr>
      <w:r w:rsidRPr="00BC4524">
        <w:t xml:space="preserve">Graf č. </w:t>
      </w:r>
      <w:r w:rsidR="00647D11">
        <w:fldChar w:fldCharType="begin"/>
      </w:r>
      <w:r w:rsidR="00E80D30">
        <w:instrText xml:space="preserve"> SEQ Graf \* ARABIC </w:instrText>
      </w:r>
      <w:r w:rsidR="00647D11">
        <w:fldChar w:fldCharType="separate"/>
      </w:r>
      <w:r w:rsidR="008B1877">
        <w:rPr>
          <w:noProof/>
        </w:rPr>
        <w:t>17</w:t>
      </w:r>
      <w:r w:rsidR="00647D11">
        <w:rPr>
          <w:noProof/>
        </w:rPr>
        <w:fldChar w:fldCharType="end"/>
      </w:r>
      <w:r w:rsidRPr="00BC4524">
        <w:t xml:space="preserve">: </w:t>
      </w:r>
      <w:r>
        <w:t>Štruktúra vzorky podľa pohlavia</w:t>
      </w:r>
    </w:p>
    <w:p w:rsidR="003D0AA8" w:rsidRDefault="003D0AA8" w:rsidP="0033631D">
      <w:pPr>
        <w:pStyle w:val="Bezriadkovania"/>
        <w:rPr>
          <w:rFonts w:cs="Arial"/>
        </w:rPr>
      </w:pPr>
      <w:r w:rsidRPr="001B56FD">
        <w:rPr>
          <w:rFonts w:cs="Arial"/>
          <w:szCs w:val="20"/>
        </w:rPr>
        <w:t>S3</w:t>
      </w:r>
      <w:r w:rsidR="001B56FD" w:rsidRPr="001B56FD">
        <w:rPr>
          <w:rFonts w:cs="Arial"/>
          <w:szCs w:val="20"/>
        </w:rPr>
        <w:t xml:space="preserve">, </w:t>
      </w:r>
      <w:r w:rsidR="00D71DAA" w:rsidRPr="001B56FD">
        <w:rPr>
          <w:rFonts w:cs="Arial"/>
        </w:rPr>
        <w:t>N=500</w:t>
      </w:r>
    </w:p>
    <w:p w:rsidR="007054DB" w:rsidRPr="001B56FD" w:rsidRDefault="007054DB" w:rsidP="0033631D">
      <w:pPr>
        <w:pStyle w:val="Bezriadkovania"/>
        <w:rPr>
          <w:rFonts w:cs="Arial"/>
        </w:rPr>
      </w:pPr>
    </w:p>
    <w:p w:rsidR="009C1BB2" w:rsidRPr="0012644D" w:rsidRDefault="00B556B7" w:rsidP="0033631D">
      <w:pPr>
        <w:pStyle w:val="Bezriadkovania"/>
        <w:rPr>
          <w:rFonts w:cs="Arial"/>
          <w:szCs w:val="20"/>
        </w:rPr>
      </w:pPr>
      <w:r w:rsidRPr="0012644D">
        <w:rPr>
          <w:rFonts w:cs="Arial"/>
          <w:noProof/>
          <w:szCs w:val="20"/>
          <w:lang w:eastAsia="sk-SK"/>
        </w:rPr>
        <w:drawing>
          <wp:inline distT="0" distB="0" distL="0" distR="0" wp14:anchorId="6A0DD927" wp14:editId="30508B94">
            <wp:extent cx="5095875" cy="1733550"/>
            <wp:effectExtent l="0" t="0" r="9525" b="19050"/>
            <wp:docPr id="1" name="Graf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9C1BB2" w:rsidRPr="0012644D" w:rsidRDefault="009C1BB2" w:rsidP="0033631D">
      <w:pPr>
        <w:pStyle w:val="Bezriadkovania"/>
        <w:rPr>
          <w:rFonts w:cs="Arial"/>
          <w:szCs w:val="20"/>
        </w:rPr>
      </w:pPr>
    </w:p>
    <w:p w:rsidR="009C1BB2" w:rsidRPr="003D0AA8" w:rsidRDefault="009C1BB2" w:rsidP="0033631D">
      <w:pPr>
        <w:pStyle w:val="Bezriadkovania"/>
        <w:rPr>
          <w:rFonts w:cs="Arial"/>
          <w:szCs w:val="20"/>
        </w:rPr>
      </w:pPr>
    </w:p>
    <w:p w:rsidR="00293AE1" w:rsidRPr="00293AE1" w:rsidRDefault="00293AE1" w:rsidP="0033631D">
      <w:pPr>
        <w:pStyle w:val="popis2"/>
      </w:pPr>
      <w:bookmarkStart w:id="19" w:name="_Toc333142880"/>
      <w:r w:rsidRPr="00293AE1">
        <w:t xml:space="preserve">Tabuľka č. </w:t>
      </w:r>
      <w:r w:rsidR="00647D11">
        <w:fldChar w:fldCharType="begin"/>
      </w:r>
      <w:r w:rsidR="00E80D30">
        <w:instrText xml:space="preserve"> SEQ Tabuľka \* ARABIC </w:instrText>
      </w:r>
      <w:r w:rsidR="00647D11">
        <w:fldChar w:fldCharType="separate"/>
      </w:r>
      <w:r w:rsidR="008B1877">
        <w:rPr>
          <w:noProof/>
        </w:rPr>
        <w:t>12</w:t>
      </w:r>
      <w:r w:rsidR="00647D11">
        <w:rPr>
          <w:noProof/>
        </w:rPr>
        <w:fldChar w:fldCharType="end"/>
      </w:r>
      <w:r w:rsidRPr="00293AE1">
        <w:t xml:space="preserve">: </w:t>
      </w:r>
      <w:bookmarkEnd w:id="19"/>
      <w:r w:rsidR="009D559F">
        <w:t>Štruktúra vzorky podľa veku</w:t>
      </w:r>
    </w:p>
    <w:p w:rsidR="00293AE1" w:rsidRPr="00293AE1" w:rsidRDefault="003D0AA8" w:rsidP="0033631D">
      <w:pPr>
        <w:pStyle w:val="Bezriadkovania"/>
        <w:rPr>
          <w:rFonts w:cs="Arial"/>
          <w:szCs w:val="20"/>
        </w:rPr>
      </w:pPr>
      <w:r w:rsidRPr="003D0AA8">
        <w:rPr>
          <w:rFonts w:cs="Arial"/>
          <w:szCs w:val="20"/>
        </w:rPr>
        <w:t>S2</w:t>
      </w:r>
      <w:r w:rsidR="00293AE1">
        <w:rPr>
          <w:rFonts w:cs="Arial"/>
          <w:b/>
          <w:szCs w:val="20"/>
        </w:rPr>
        <w:t xml:space="preserve">, </w:t>
      </w:r>
      <w:r w:rsidR="00293AE1" w:rsidRPr="00293AE1">
        <w:rPr>
          <w:rFonts w:cs="Arial"/>
        </w:rPr>
        <w:t>N=500</w:t>
      </w:r>
    </w:p>
    <w:p w:rsidR="009C1BB2" w:rsidRPr="00D93F16" w:rsidRDefault="009C1BB2" w:rsidP="0033631D">
      <w:pPr>
        <w:pStyle w:val="Bezriadkovania"/>
        <w:rPr>
          <w:rFonts w:cs="Arial"/>
          <w:b/>
        </w:rPr>
      </w:pPr>
    </w:p>
    <w:tbl>
      <w:tblPr>
        <w:tblW w:w="8960" w:type="dxa"/>
        <w:tblInd w:w="65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40"/>
        <w:gridCol w:w="1120"/>
        <w:gridCol w:w="1120"/>
        <w:gridCol w:w="1120"/>
        <w:gridCol w:w="1120"/>
        <w:gridCol w:w="1120"/>
        <w:gridCol w:w="1120"/>
      </w:tblGrid>
      <w:tr w:rsidR="009C1BB2" w:rsidRPr="0012644D" w:rsidTr="00471108">
        <w:trPr>
          <w:trHeight w:val="285"/>
        </w:trPr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C1BB2" w:rsidRPr="0012644D" w:rsidRDefault="009C1BB2" w:rsidP="0033631D">
            <w:pPr>
              <w:pStyle w:val="Bezriadkovania"/>
              <w:rPr>
                <w:rFonts w:cs="Arial"/>
                <w:b/>
                <w:szCs w:val="20"/>
                <w:lang w:eastAsia="sk-SK"/>
              </w:rPr>
            </w:pPr>
            <w:r w:rsidRPr="0012644D">
              <w:rPr>
                <w:rFonts w:cs="Arial"/>
                <w:b/>
                <w:szCs w:val="20"/>
                <w:lang w:eastAsia="sk-SK"/>
              </w:rPr>
              <w:t xml:space="preserve">veková skupina </w:t>
            </w:r>
          </w:p>
          <w:p w:rsidR="009C1BB2" w:rsidRPr="0012644D" w:rsidRDefault="009C1BB2" w:rsidP="0033631D">
            <w:pPr>
              <w:pStyle w:val="Bezriadkovania"/>
              <w:rPr>
                <w:rFonts w:cs="Arial"/>
                <w:b/>
                <w:szCs w:val="20"/>
                <w:lang w:eastAsia="sk-SK"/>
              </w:rPr>
            </w:pPr>
            <w:r w:rsidRPr="0012644D">
              <w:rPr>
                <w:rFonts w:cs="Arial"/>
                <w:b/>
                <w:szCs w:val="20"/>
                <w:lang w:eastAsia="sk-SK"/>
              </w:rPr>
              <w:t>(v rokoch)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C1BB2" w:rsidRPr="0012644D" w:rsidRDefault="009C1BB2" w:rsidP="0033631D">
            <w:pPr>
              <w:pStyle w:val="Bezriadkovania"/>
              <w:rPr>
                <w:rFonts w:cs="Arial"/>
                <w:i/>
                <w:szCs w:val="20"/>
                <w:lang w:eastAsia="sk-SK"/>
              </w:rPr>
            </w:pPr>
            <w:r w:rsidRPr="0012644D">
              <w:rPr>
                <w:rFonts w:cs="Arial"/>
                <w:i/>
                <w:szCs w:val="20"/>
                <w:lang w:eastAsia="sk-SK"/>
              </w:rPr>
              <w:t>15 - 29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C1BB2" w:rsidRPr="0012644D" w:rsidRDefault="009C1BB2" w:rsidP="0033631D">
            <w:pPr>
              <w:pStyle w:val="Bezriadkovania"/>
              <w:rPr>
                <w:rFonts w:cs="Arial"/>
                <w:i/>
                <w:szCs w:val="20"/>
                <w:lang w:eastAsia="sk-SK"/>
              </w:rPr>
            </w:pPr>
            <w:r w:rsidRPr="0012644D">
              <w:rPr>
                <w:rFonts w:cs="Arial"/>
                <w:i/>
                <w:szCs w:val="20"/>
                <w:lang w:eastAsia="sk-SK"/>
              </w:rPr>
              <w:t>30 - 39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C1BB2" w:rsidRPr="0012644D" w:rsidRDefault="009C1BB2" w:rsidP="0033631D">
            <w:pPr>
              <w:pStyle w:val="Bezriadkovania"/>
              <w:rPr>
                <w:rFonts w:cs="Arial"/>
                <w:i/>
                <w:szCs w:val="20"/>
                <w:lang w:eastAsia="sk-SK"/>
              </w:rPr>
            </w:pPr>
            <w:r w:rsidRPr="0012644D">
              <w:rPr>
                <w:rFonts w:cs="Arial"/>
                <w:i/>
                <w:szCs w:val="20"/>
                <w:lang w:eastAsia="sk-SK"/>
              </w:rPr>
              <w:t>40 - 49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C1BB2" w:rsidRPr="0012644D" w:rsidRDefault="009C1BB2" w:rsidP="0033631D">
            <w:pPr>
              <w:pStyle w:val="Bezriadkovania"/>
              <w:rPr>
                <w:rFonts w:cs="Arial"/>
                <w:i/>
                <w:szCs w:val="20"/>
                <w:lang w:eastAsia="sk-SK"/>
              </w:rPr>
            </w:pPr>
            <w:r w:rsidRPr="0012644D">
              <w:rPr>
                <w:rFonts w:cs="Arial"/>
                <w:i/>
                <w:szCs w:val="20"/>
                <w:lang w:eastAsia="sk-SK"/>
              </w:rPr>
              <w:t>50 - 59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C1BB2" w:rsidRPr="0012644D" w:rsidRDefault="009C1BB2" w:rsidP="0033631D">
            <w:pPr>
              <w:pStyle w:val="Bezriadkovania"/>
              <w:rPr>
                <w:rFonts w:cs="Arial"/>
                <w:i/>
                <w:szCs w:val="20"/>
                <w:lang w:eastAsia="sk-SK"/>
              </w:rPr>
            </w:pPr>
            <w:r w:rsidRPr="0012644D">
              <w:rPr>
                <w:rFonts w:cs="Arial"/>
                <w:i/>
                <w:szCs w:val="20"/>
                <w:lang w:eastAsia="sk-SK"/>
              </w:rPr>
              <w:t>60 - 69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C1BB2" w:rsidRPr="0012644D" w:rsidRDefault="009C1BB2" w:rsidP="0033631D">
            <w:pPr>
              <w:pStyle w:val="Bezriadkovania"/>
              <w:rPr>
                <w:rFonts w:cs="Arial"/>
                <w:i/>
                <w:szCs w:val="20"/>
                <w:lang w:eastAsia="sk-SK"/>
              </w:rPr>
            </w:pPr>
            <w:r w:rsidRPr="0012644D">
              <w:rPr>
                <w:rFonts w:cs="Arial"/>
                <w:i/>
                <w:szCs w:val="20"/>
                <w:lang w:eastAsia="sk-SK"/>
              </w:rPr>
              <w:t>70 - 79</w:t>
            </w:r>
          </w:p>
        </w:tc>
      </w:tr>
      <w:tr w:rsidR="009C1BB2" w:rsidRPr="0012644D" w:rsidTr="00471108">
        <w:trPr>
          <w:trHeight w:val="285"/>
        </w:trPr>
        <w:tc>
          <w:tcPr>
            <w:tcW w:w="2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C1BB2" w:rsidRPr="0012644D" w:rsidRDefault="009C1BB2" w:rsidP="0033631D">
            <w:pPr>
              <w:pStyle w:val="Bezriadkovania"/>
              <w:rPr>
                <w:rFonts w:cs="Arial"/>
                <w:b/>
                <w:szCs w:val="20"/>
                <w:lang w:eastAsia="sk-SK"/>
              </w:rPr>
            </w:pPr>
            <w:r w:rsidRPr="0012644D">
              <w:rPr>
                <w:rFonts w:cs="Arial"/>
                <w:b/>
                <w:szCs w:val="20"/>
                <w:lang w:eastAsia="sk-SK"/>
              </w:rPr>
              <w:t>počet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C1BB2" w:rsidRPr="00D71DAA" w:rsidRDefault="00D71DAA" w:rsidP="0033631D">
            <w:pPr>
              <w:pStyle w:val="Bezriadkovania"/>
              <w:rPr>
                <w:rFonts w:cs="Arial"/>
                <w:szCs w:val="20"/>
                <w:lang w:eastAsia="sk-SK"/>
              </w:rPr>
            </w:pPr>
            <w:r w:rsidRPr="00D71DAA">
              <w:rPr>
                <w:rFonts w:cs="Arial"/>
                <w:szCs w:val="20"/>
                <w:lang w:eastAsia="sk-SK"/>
              </w:rPr>
              <w:t>110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C1BB2" w:rsidRPr="00D71DAA" w:rsidRDefault="009C1BB2" w:rsidP="0033631D">
            <w:pPr>
              <w:pStyle w:val="Bezriadkovania"/>
              <w:rPr>
                <w:rFonts w:cs="Arial"/>
                <w:szCs w:val="20"/>
                <w:lang w:eastAsia="sk-SK"/>
              </w:rPr>
            </w:pPr>
            <w:r w:rsidRPr="00D71DAA">
              <w:rPr>
                <w:rFonts w:cs="Arial"/>
                <w:szCs w:val="20"/>
                <w:lang w:eastAsia="sk-SK"/>
              </w:rPr>
              <w:t>9</w:t>
            </w:r>
            <w:r w:rsidR="00D71DAA" w:rsidRPr="00D71DAA">
              <w:rPr>
                <w:rFonts w:cs="Arial"/>
                <w:szCs w:val="20"/>
                <w:lang w:eastAsia="sk-SK"/>
              </w:rPr>
              <w:t>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C1BB2" w:rsidRPr="00D71DAA" w:rsidRDefault="00D71DAA" w:rsidP="0033631D">
            <w:pPr>
              <w:pStyle w:val="Bezriadkovania"/>
              <w:rPr>
                <w:rFonts w:cs="Arial"/>
                <w:szCs w:val="20"/>
                <w:lang w:eastAsia="sk-SK"/>
              </w:rPr>
            </w:pPr>
            <w:r w:rsidRPr="00D71DAA">
              <w:rPr>
                <w:rFonts w:cs="Arial"/>
                <w:szCs w:val="20"/>
                <w:lang w:eastAsia="sk-SK"/>
              </w:rPr>
              <w:t>99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C1BB2" w:rsidRPr="00D71DAA" w:rsidRDefault="00D71DAA" w:rsidP="0033631D">
            <w:pPr>
              <w:pStyle w:val="Bezriadkovania"/>
              <w:rPr>
                <w:rFonts w:cs="Arial"/>
                <w:szCs w:val="20"/>
                <w:lang w:eastAsia="sk-SK"/>
              </w:rPr>
            </w:pPr>
            <w:r w:rsidRPr="00D71DAA">
              <w:rPr>
                <w:rFonts w:cs="Arial"/>
                <w:szCs w:val="20"/>
                <w:lang w:eastAsia="sk-SK"/>
              </w:rPr>
              <w:t>6</w:t>
            </w:r>
            <w:r w:rsidR="009C1BB2" w:rsidRPr="00D71DAA">
              <w:rPr>
                <w:rFonts w:cs="Arial"/>
                <w:szCs w:val="20"/>
                <w:lang w:eastAsia="sk-SK"/>
              </w:rPr>
              <w:t>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C1BB2" w:rsidRPr="00D71DAA" w:rsidRDefault="00D71DAA" w:rsidP="0033631D">
            <w:pPr>
              <w:pStyle w:val="Bezriadkovania"/>
              <w:rPr>
                <w:rFonts w:cs="Arial"/>
                <w:szCs w:val="20"/>
                <w:lang w:eastAsia="sk-SK"/>
              </w:rPr>
            </w:pPr>
            <w:r w:rsidRPr="00D71DAA">
              <w:rPr>
                <w:rFonts w:cs="Arial"/>
                <w:szCs w:val="20"/>
                <w:lang w:eastAsia="sk-SK"/>
              </w:rPr>
              <w:t>84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C1BB2" w:rsidRPr="00D71DAA" w:rsidRDefault="00D71DAA" w:rsidP="0033631D">
            <w:pPr>
              <w:pStyle w:val="Bezriadkovania"/>
              <w:rPr>
                <w:rFonts w:cs="Arial"/>
                <w:szCs w:val="20"/>
                <w:lang w:eastAsia="sk-SK"/>
              </w:rPr>
            </w:pPr>
            <w:r w:rsidRPr="00D71DAA">
              <w:rPr>
                <w:rFonts w:cs="Arial"/>
                <w:szCs w:val="20"/>
                <w:lang w:eastAsia="sk-SK"/>
              </w:rPr>
              <w:t>42</w:t>
            </w:r>
          </w:p>
        </w:tc>
      </w:tr>
    </w:tbl>
    <w:p w:rsidR="00D93F16" w:rsidRDefault="00D93F16" w:rsidP="0033631D">
      <w:pPr>
        <w:pStyle w:val="Bezriadkovania"/>
        <w:rPr>
          <w:rFonts w:cs="Arial"/>
          <w:b/>
        </w:rPr>
      </w:pPr>
    </w:p>
    <w:p w:rsidR="00293AE1" w:rsidRDefault="00293AE1" w:rsidP="0033631D">
      <w:pPr>
        <w:pStyle w:val="Bezriadkovania"/>
        <w:rPr>
          <w:rFonts w:cs="Arial"/>
        </w:rPr>
      </w:pPr>
    </w:p>
    <w:p w:rsidR="003552D3" w:rsidRDefault="003552D3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bookmarkStart w:id="20" w:name="_Ref332119328"/>
      <w:bookmarkStart w:id="21" w:name="_Toc332119655"/>
      <w:bookmarkStart w:id="22" w:name="_Toc332120548"/>
      <w:bookmarkStart w:id="23" w:name="_Toc333140893"/>
      <w:r>
        <w:br w:type="page"/>
      </w:r>
    </w:p>
    <w:p w:rsidR="00293AE1" w:rsidRPr="00BC4524" w:rsidRDefault="00293AE1" w:rsidP="0033631D">
      <w:pPr>
        <w:pStyle w:val="popis2"/>
      </w:pPr>
      <w:r w:rsidRPr="00BC4524">
        <w:lastRenderedPageBreak/>
        <w:t xml:space="preserve">Graf č. </w:t>
      </w:r>
      <w:r w:rsidR="00647D11">
        <w:fldChar w:fldCharType="begin"/>
      </w:r>
      <w:r w:rsidR="00E80D30">
        <w:instrText xml:space="preserve"> SEQ Graf \* ARABIC </w:instrText>
      </w:r>
      <w:r w:rsidR="00647D11">
        <w:fldChar w:fldCharType="separate"/>
      </w:r>
      <w:r w:rsidR="008B1877">
        <w:rPr>
          <w:noProof/>
        </w:rPr>
        <w:t>18</w:t>
      </w:r>
      <w:r w:rsidR="00647D11">
        <w:rPr>
          <w:noProof/>
        </w:rPr>
        <w:fldChar w:fldCharType="end"/>
      </w:r>
      <w:r w:rsidRPr="00BC4524">
        <w:t xml:space="preserve">: </w:t>
      </w:r>
      <w:bookmarkEnd w:id="20"/>
      <w:bookmarkEnd w:id="21"/>
      <w:bookmarkEnd w:id="22"/>
      <w:bookmarkEnd w:id="23"/>
      <w:r w:rsidR="009D559F">
        <w:t>Š</w:t>
      </w:r>
      <w:r>
        <w:t>truktúra vzorky</w:t>
      </w:r>
      <w:r w:rsidR="009D559F">
        <w:t xml:space="preserve"> podľa veku</w:t>
      </w:r>
    </w:p>
    <w:p w:rsidR="00CF1170" w:rsidRPr="00293AE1" w:rsidRDefault="00CF1170" w:rsidP="0033631D">
      <w:pPr>
        <w:pStyle w:val="Bezriadkovania"/>
        <w:rPr>
          <w:rFonts w:cs="Arial"/>
          <w:szCs w:val="20"/>
        </w:rPr>
      </w:pPr>
      <w:r w:rsidRPr="003D0AA8">
        <w:rPr>
          <w:rFonts w:cs="Arial"/>
          <w:szCs w:val="20"/>
        </w:rPr>
        <w:t>S2</w:t>
      </w:r>
      <w:r>
        <w:rPr>
          <w:rFonts w:cs="Arial"/>
          <w:b/>
          <w:szCs w:val="20"/>
        </w:rPr>
        <w:t xml:space="preserve">, </w:t>
      </w:r>
      <w:r w:rsidRPr="00293AE1">
        <w:rPr>
          <w:rFonts w:cs="Arial"/>
        </w:rPr>
        <w:t>N=500</w:t>
      </w:r>
    </w:p>
    <w:p w:rsidR="00293AE1" w:rsidRDefault="00293AE1" w:rsidP="0033631D">
      <w:pPr>
        <w:pStyle w:val="Bezriadkovania"/>
        <w:rPr>
          <w:rFonts w:cs="Arial"/>
        </w:rPr>
      </w:pPr>
    </w:p>
    <w:p w:rsidR="00A14E8D" w:rsidRPr="0012644D" w:rsidRDefault="00A14E8D" w:rsidP="0033631D">
      <w:pPr>
        <w:pStyle w:val="Bezriadkovania"/>
        <w:rPr>
          <w:rFonts w:cs="Arial"/>
          <w:szCs w:val="20"/>
        </w:rPr>
      </w:pPr>
      <w:r w:rsidRPr="0012644D">
        <w:rPr>
          <w:rFonts w:cs="Arial"/>
          <w:noProof/>
          <w:szCs w:val="20"/>
          <w:lang w:eastAsia="sk-SK"/>
        </w:rPr>
        <w:drawing>
          <wp:inline distT="0" distB="0" distL="0" distR="0" wp14:anchorId="1D078183" wp14:editId="440042C6">
            <wp:extent cx="5086350" cy="1781175"/>
            <wp:effectExtent l="0" t="0" r="19050" b="9525"/>
            <wp:docPr id="2" name="Graf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A14E8D" w:rsidRDefault="00A14E8D" w:rsidP="0033631D">
      <w:pPr>
        <w:pStyle w:val="Bezriadkovania"/>
        <w:rPr>
          <w:rFonts w:cs="Arial"/>
          <w:szCs w:val="20"/>
        </w:rPr>
      </w:pPr>
    </w:p>
    <w:p w:rsidR="00711AC6" w:rsidRDefault="00711AC6" w:rsidP="0033631D">
      <w:pPr>
        <w:pStyle w:val="Bezriadkovania"/>
        <w:rPr>
          <w:rFonts w:cs="Arial"/>
          <w:szCs w:val="20"/>
        </w:rPr>
      </w:pPr>
    </w:p>
    <w:p w:rsidR="004B55D1" w:rsidRPr="00BC4524" w:rsidRDefault="004B55D1" w:rsidP="0033631D">
      <w:pPr>
        <w:pStyle w:val="popis2"/>
      </w:pPr>
      <w:r w:rsidRPr="00BC4524">
        <w:t xml:space="preserve">Graf č. </w:t>
      </w:r>
      <w:r w:rsidR="00647D11">
        <w:fldChar w:fldCharType="begin"/>
      </w:r>
      <w:r w:rsidR="00E80D30">
        <w:instrText xml:space="preserve"> SEQ Graf \* ARABIC </w:instrText>
      </w:r>
      <w:r w:rsidR="00647D11">
        <w:fldChar w:fldCharType="separate"/>
      </w:r>
      <w:r w:rsidR="008B1877">
        <w:rPr>
          <w:noProof/>
        </w:rPr>
        <w:t>19</w:t>
      </w:r>
      <w:r w:rsidR="00647D11">
        <w:rPr>
          <w:noProof/>
        </w:rPr>
        <w:fldChar w:fldCharType="end"/>
      </w:r>
      <w:r w:rsidRPr="00BC4524">
        <w:t xml:space="preserve">: </w:t>
      </w:r>
      <w:r>
        <w:t xml:space="preserve">Štruktúra vzorky podľa vzdelania </w:t>
      </w:r>
    </w:p>
    <w:p w:rsidR="004B55D1" w:rsidRDefault="004B55D1" w:rsidP="0033631D">
      <w:pPr>
        <w:pStyle w:val="Bezriadkovania"/>
        <w:rPr>
          <w:rFonts w:cs="Arial"/>
        </w:rPr>
      </w:pPr>
      <w:r w:rsidRPr="00E80D30">
        <w:rPr>
          <w:rFonts w:cs="Arial"/>
          <w:szCs w:val="20"/>
        </w:rPr>
        <w:t>S2</w:t>
      </w:r>
      <w:r w:rsidRPr="00E80D30">
        <w:rPr>
          <w:rFonts w:cs="Arial"/>
          <w:b/>
          <w:szCs w:val="20"/>
        </w:rPr>
        <w:t xml:space="preserve">, </w:t>
      </w:r>
      <w:r w:rsidRPr="00E80D30">
        <w:rPr>
          <w:rFonts w:cs="Arial"/>
        </w:rPr>
        <w:t>N=500</w:t>
      </w:r>
    </w:p>
    <w:p w:rsidR="007C35B7" w:rsidRDefault="007C35B7" w:rsidP="0033631D">
      <w:pPr>
        <w:pStyle w:val="Bezriadkovania"/>
        <w:rPr>
          <w:rFonts w:cs="Arial"/>
          <w:szCs w:val="20"/>
        </w:rPr>
      </w:pPr>
    </w:p>
    <w:p w:rsidR="00A14E8D" w:rsidRPr="0012644D" w:rsidRDefault="00596AC2" w:rsidP="0033631D">
      <w:pPr>
        <w:pStyle w:val="Bezriadkovania"/>
        <w:rPr>
          <w:rFonts w:cs="Arial"/>
          <w:szCs w:val="20"/>
        </w:rPr>
      </w:pPr>
      <w:r w:rsidRPr="0012644D">
        <w:rPr>
          <w:rFonts w:cs="Arial"/>
          <w:noProof/>
          <w:szCs w:val="20"/>
          <w:lang w:eastAsia="sk-SK"/>
        </w:rPr>
        <w:drawing>
          <wp:inline distT="0" distB="0" distL="0" distR="0" wp14:anchorId="590E8B02" wp14:editId="1DF7A6D7">
            <wp:extent cx="5219700" cy="1781175"/>
            <wp:effectExtent l="0" t="0" r="19050" b="9525"/>
            <wp:docPr id="4" name="Graf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12644D" w:rsidRPr="0012644D" w:rsidRDefault="0012644D" w:rsidP="0033631D">
      <w:pPr>
        <w:pStyle w:val="Bezriadkovania"/>
        <w:rPr>
          <w:rFonts w:cs="Arial"/>
          <w:szCs w:val="20"/>
        </w:rPr>
      </w:pPr>
    </w:p>
    <w:p w:rsidR="0012644D" w:rsidRPr="0012644D" w:rsidRDefault="0012644D" w:rsidP="0033631D">
      <w:pPr>
        <w:pStyle w:val="Bezriadkovania"/>
        <w:rPr>
          <w:rFonts w:cs="Arial"/>
          <w:szCs w:val="20"/>
        </w:rPr>
      </w:pPr>
    </w:p>
    <w:p w:rsidR="004B55D1" w:rsidRPr="00293AE1" w:rsidRDefault="004B55D1" w:rsidP="0033631D">
      <w:pPr>
        <w:pStyle w:val="popis2"/>
      </w:pPr>
      <w:r w:rsidRPr="00293AE1">
        <w:t xml:space="preserve">Tabuľka č. </w:t>
      </w:r>
      <w:r w:rsidR="00647D11">
        <w:fldChar w:fldCharType="begin"/>
      </w:r>
      <w:r w:rsidR="00E80D30">
        <w:instrText xml:space="preserve"> SEQ Tabuľka \* ARABIC </w:instrText>
      </w:r>
      <w:r w:rsidR="00647D11">
        <w:fldChar w:fldCharType="separate"/>
      </w:r>
      <w:r w:rsidR="008B1877">
        <w:rPr>
          <w:noProof/>
        </w:rPr>
        <w:t>13</w:t>
      </w:r>
      <w:r w:rsidR="00647D11">
        <w:rPr>
          <w:noProof/>
        </w:rPr>
        <w:fldChar w:fldCharType="end"/>
      </w:r>
      <w:r w:rsidRPr="00293AE1">
        <w:t xml:space="preserve">: </w:t>
      </w:r>
      <w:r>
        <w:t>Štruktúra vzorky podľa kraja</w:t>
      </w:r>
    </w:p>
    <w:p w:rsidR="004B55D1" w:rsidRPr="004B55D1" w:rsidRDefault="009B0C47" w:rsidP="0033631D">
      <w:pPr>
        <w:pStyle w:val="Bezriadkovania"/>
        <w:rPr>
          <w:rFonts w:cs="Arial"/>
          <w:szCs w:val="20"/>
        </w:rPr>
      </w:pPr>
      <w:r w:rsidRPr="004B55D1">
        <w:rPr>
          <w:rFonts w:cs="Arial"/>
          <w:szCs w:val="20"/>
        </w:rPr>
        <w:t>S1</w:t>
      </w:r>
      <w:r w:rsidR="004B55D1" w:rsidRPr="004B55D1">
        <w:rPr>
          <w:rFonts w:cs="Arial"/>
          <w:szCs w:val="20"/>
        </w:rPr>
        <w:t xml:space="preserve">, </w:t>
      </w:r>
      <w:r w:rsidR="004B55D1" w:rsidRPr="004B55D1">
        <w:rPr>
          <w:rFonts w:cs="Arial"/>
        </w:rPr>
        <w:t>N=500</w:t>
      </w:r>
    </w:p>
    <w:p w:rsidR="00A14E8D" w:rsidRPr="0012644D" w:rsidRDefault="00A14E8D" w:rsidP="0033631D">
      <w:pPr>
        <w:pStyle w:val="Bezriadkovania"/>
        <w:rPr>
          <w:rFonts w:cs="Arial"/>
          <w:b/>
          <w:szCs w:val="20"/>
        </w:rPr>
      </w:pPr>
    </w:p>
    <w:tbl>
      <w:tblPr>
        <w:tblW w:w="8751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67"/>
        <w:gridCol w:w="910"/>
        <w:gridCol w:w="911"/>
        <w:gridCol w:w="910"/>
        <w:gridCol w:w="911"/>
        <w:gridCol w:w="910"/>
        <w:gridCol w:w="911"/>
        <w:gridCol w:w="910"/>
        <w:gridCol w:w="911"/>
      </w:tblGrid>
      <w:tr w:rsidR="00F161FE" w:rsidRPr="0012644D" w:rsidTr="00E3453B">
        <w:trPr>
          <w:cantSplit/>
          <w:trHeight w:val="1889"/>
        </w:trPr>
        <w:tc>
          <w:tcPr>
            <w:tcW w:w="1467" w:type="dxa"/>
            <w:vAlign w:val="center"/>
          </w:tcPr>
          <w:p w:rsidR="00F161FE" w:rsidRPr="0012644D" w:rsidRDefault="00F161FE" w:rsidP="0033631D">
            <w:pPr>
              <w:pStyle w:val="Bezriadkovania"/>
              <w:rPr>
                <w:rFonts w:cs="Arial"/>
                <w:b/>
                <w:szCs w:val="20"/>
                <w:lang w:eastAsia="sk-SK"/>
              </w:rPr>
            </w:pPr>
            <w:r w:rsidRPr="0012644D">
              <w:rPr>
                <w:rFonts w:cs="Arial"/>
                <w:b/>
                <w:szCs w:val="20"/>
                <w:lang w:eastAsia="sk-SK"/>
              </w:rPr>
              <w:t>Kraj</w:t>
            </w:r>
          </w:p>
        </w:tc>
        <w:tc>
          <w:tcPr>
            <w:tcW w:w="910" w:type="dxa"/>
            <w:shd w:val="clear" w:color="auto" w:fill="auto"/>
            <w:noWrap/>
            <w:textDirection w:val="btLr"/>
            <w:vAlign w:val="center"/>
          </w:tcPr>
          <w:p w:rsidR="00F161FE" w:rsidRPr="0012644D" w:rsidRDefault="00F161FE" w:rsidP="00E3453B">
            <w:pPr>
              <w:pStyle w:val="Bezriadkovania"/>
              <w:ind w:left="113" w:right="113"/>
              <w:rPr>
                <w:rFonts w:cs="Arial"/>
                <w:i/>
                <w:szCs w:val="20"/>
                <w:lang w:eastAsia="sk-SK"/>
              </w:rPr>
            </w:pPr>
            <w:r w:rsidRPr="0012644D">
              <w:rPr>
                <w:rFonts w:cs="Arial"/>
                <w:i/>
                <w:szCs w:val="20"/>
                <w:lang w:eastAsia="sk-SK"/>
              </w:rPr>
              <w:t>Bratislavský</w:t>
            </w:r>
          </w:p>
        </w:tc>
        <w:tc>
          <w:tcPr>
            <w:tcW w:w="911" w:type="dxa"/>
            <w:shd w:val="clear" w:color="auto" w:fill="auto"/>
            <w:noWrap/>
            <w:textDirection w:val="btLr"/>
            <w:vAlign w:val="center"/>
          </w:tcPr>
          <w:p w:rsidR="00F161FE" w:rsidRPr="0012644D" w:rsidRDefault="00F161FE" w:rsidP="00E3453B">
            <w:pPr>
              <w:pStyle w:val="Bezriadkovania"/>
              <w:ind w:left="113" w:right="113"/>
              <w:rPr>
                <w:rFonts w:cs="Arial"/>
                <w:i/>
                <w:szCs w:val="20"/>
                <w:lang w:eastAsia="sk-SK"/>
              </w:rPr>
            </w:pPr>
            <w:r w:rsidRPr="0012644D">
              <w:rPr>
                <w:rFonts w:cs="Arial"/>
                <w:i/>
                <w:szCs w:val="20"/>
                <w:lang w:eastAsia="sk-SK"/>
              </w:rPr>
              <w:t>Trnavský</w:t>
            </w:r>
          </w:p>
        </w:tc>
        <w:tc>
          <w:tcPr>
            <w:tcW w:w="910" w:type="dxa"/>
            <w:shd w:val="clear" w:color="auto" w:fill="auto"/>
            <w:noWrap/>
            <w:textDirection w:val="btLr"/>
            <w:vAlign w:val="center"/>
          </w:tcPr>
          <w:p w:rsidR="00F161FE" w:rsidRPr="0012644D" w:rsidRDefault="00F161FE" w:rsidP="00E3453B">
            <w:pPr>
              <w:pStyle w:val="Bezriadkovania"/>
              <w:ind w:left="113" w:right="113"/>
              <w:rPr>
                <w:rFonts w:cs="Arial"/>
                <w:i/>
                <w:szCs w:val="20"/>
                <w:lang w:eastAsia="sk-SK"/>
              </w:rPr>
            </w:pPr>
            <w:r w:rsidRPr="0012644D">
              <w:rPr>
                <w:rFonts w:cs="Arial"/>
                <w:i/>
                <w:szCs w:val="20"/>
                <w:lang w:eastAsia="sk-SK"/>
              </w:rPr>
              <w:t>Trenčiansky</w:t>
            </w:r>
          </w:p>
        </w:tc>
        <w:tc>
          <w:tcPr>
            <w:tcW w:w="911" w:type="dxa"/>
            <w:shd w:val="clear" w:color="auto" w:fill="auto"/>
            <w:noWrap/>
            <w:textDirection w:val="btLr"/>
            <w:vAlign w:val="center"/>
          </w:tcPr>
          <w:p w:rsidR="00F161FE" w:rsidRPr="0012644D" w:rsidRDefault="00F161FE" w:rsidP="00E3453B">
            <w:pPr>
              <w:pStyle w:val="Bezriadkovania"/>
              <w:ind w:left="113" w:right="113"/>
              <w:rPr>
                <w:rFonts w:cs="Arial"/>
                <w:i/>
                <w:szCs w:val="20"/>
                <w:lang w:eastAsia="sk-SK"/>
              </w:rPr>
            </w:pPr>
            <w:r w:rsidRPr="0012644D">
              <w:rPr>
                <w:rFonts w:cs="Arial"/>
                <w:i/>
                <w:szCs w:val="20"/>
                <w:lang w:eastAsia="sk-SK"/>
              </w:rPr>
              <w:t xml:space="preserve">Nitriansky </w:t>
            </w:r>
          </w:p>
        </w:tc>
        <w:tc>
          <w:tcPr>
            <w:tcW w:w="910" w:type="dxa"/>
            <w:shd w:val="clear" w:color="auto" w:fill="auto"/>
            <w:noWrap/>
            <w:textDirection w:val="btLr"/>
            <w:vAlign w:val="center"/>
          </w:tcPr>
          <w:p w:rsidR="00F161FE" w:rsidRPr="0012644D" w:rsidRDefault="00F161FE" w:rsidP="00E3453B">
            <w:pPr>
              <w:pStyle w:val="Bezriadkovania"/>
              <w:ind w:left="113" w:right="113"/>
              <w:rPr>
                <w:rFonts w:cs="Arial"/>
                <w:i/>
                <w:szCs w:val="20"/>
                <w:lang w:eastAsia="sk-SK"/>
              </w:rPr>
            </w:pPr>
            <w:r w:rsidRPr="0012644D">
              <w:rPr>
                <w:rFonts w:cs="Arial"/>
                <w:i/>
                <w:szCs w:val="20"/>
                <w:lang w:eastAsia="sk-SK"/>
              </w:rPr>
              <w:t>Žilinský</w:t>
            </w:r>
          </w:p>
        </w:tc>
        <w:tc>
          <w:tcPr>
            <w:tcW w:w="911" w:type="dxa"/>
            <w:shd w:val="clear" w:color="auto" w:fill="auto"/>
            <w:noWrap/>
            <w:textDirection w:val="btLr"/>
            <w:vAlign w:val="center"/>
          </w:tcPr>
          <w:p w:rsidR="00F161FE" w:rsidRPr="0012644D" w:rsidRDefault="00F161FE" w:rsidP="00E3453B">
            <w:pPr>
              <w:pStyle w:val="Bezriadkovania"/>
              <w:ind w:left="113" w:right="113"/>
              <w:rPr>
                <w:rFonts w:cs="Arial"/>
                <w:i/>
                <w:szCs w:val="20"/>
                <w:lang w:eastAsia="sk-SK"/>
              </w:rPr>
            </w:pPr>
            <w:r w:rsidRPr="0012644D">
              <w:rPr>
                <w:rFonts w:cs="Arial"/>
                <w:i/>
                <w:szCs w:val="20"/>
                <w:lang w:eastAsia="sk-SK"/>
              </w:rPr>
              <w:t>Banskobystrický</w:t>
            </w:r>
          </w:p>
        </w:tc>
        <w:tc>
          <w:tcPr>
            <w:tcW w:w="910" w:type="dxa"/>
            <w:shd w:val="clear" w:color="auto" w:fill="auto"/>
            <w:noWrap/>
            <w:textDirection w:val="btLr"/>
            <w:vAlign w:val="center"/>
          </w:tcPr>
          <w:p w:rsidR="00F161FE" w:rsidRPr="0012644D" w:rsidRDefault="00F161FE" w:rsidP="00E3453B">
            <w:pPr>
              <w:pStyle w:val="Bezriadkovania"/>
              <w:ind w:left="113" w:right="113"/>
              <w:rPr>
                <w:rFonts w:cs="Arial"/>
                <w:i/>
                <w:szCs w:val="20"/>
                <w:lang w:eastAsia="sk-SK"/>
              </w:rPr>
            </w:pPr>
            <w:r w:rsidRPr="0012644D">
              <w:rPr>
                <w:rFonts w:cs="Arial"/>
                <w:i/>
                <w:szCs w:val="20"/>
                <w:lang w:eastAsia="sk-SK"/>
              </w:rPr>
              <w:t>Prešovský</w:t>
            </w:r>
          </w:p>
        </w:tc>
        <w:tc>
          <w:tcPr>
            <w:tcW w:w="911" w:type="dxa"/>
            <w:shd w:val="clear" w:color="auto" w:fill="auto"/>
            <w:noWrap/>
            <w:textDirection w:val="btLr"/>
            <w:vAlign w:val="center"/>
          </w:tcPr>
          <w:p w:rsidR="00F161FE" w:rsidRPr="0012644D" w:rsidRDefault="00F161FE" w:rsidP="00E3453B">
            <w:pPr>
              <w:pStyle w:val="Bezriadkovania"/>
              <w:ind w:left="113" w:right="113"/>
              <w:rPr>
                <w:rFonts w:cs="Arial"/>
                <w:i/>
                <w:szCs w:val="20"/>
                <w:lang w:eastAsia="sk-SK"/>
              </w:rPr>
            </w:pPr>
            <w:r w:rsidRPr="0012644D">
              <w:rPr>
                <w:rFonts w:cs="Arial"/>
                <w:i/>
                <w:szCs w:val="20"/>
                <w:lang w:eastAsia="sk-SK"/>
              </w:rPr>
              <w:t xml:space="preserve">Košický </w:t>
            </w:r>
          </w:p>
        </w:tc>
      </w:tr>
      <w:tr w:rsidR="00F161FE" w:rsidRPr="0012644D" w:rsidTr="007054DB">
        <w:trPr>
          <w:trHeight w:val="458"/>
        </w:trPr>
        <w:tc>
          <w:tcPr>
            <w:tcW w:w="1467" w:type="dxa"/>
            <w:vAlign w:val="center"/>
          </w:tcPr>
          <w:p w:rsidR="00F161FE" w:rsidRPr="0012644D" w:rsidRDefault="00F161FE" w:rsidP="0033631D">
            <w:pPr>
              <w:pStyle w:val="Bezriadkovania"/>
              <w:rPr>
                <w:rFonts w:cs="Arial"/>
                <w:b/>
                <w:szCs w:val="20"/>
                <w:lang w:eastAsia="sk-SK"/>
              </w:rPr>
            </w:pPr>
            <w:r w:rsidRPr="0012644D">
              <w:rPr>
                <w:rFonts w:cs="Arial"/>
                <w:b/>
                <w:szCs w:val="20"/>
                <w:lang w:eastAsia="sk-SK"/>
              </w:rPr>
              <w:t>Počet</w:t>
            </w:r>
          </w:p>
        </w:tc>
        <w:tc>
          <w:tcPr>
            <w:tcW w:w="910" w:type="dxa"/>
            <w:shd w:val="clear" w:color="auto" w:fill="auto"/>
            <w:noWrap/>
            <w:vAlign w:val="center"/>
          </w:tcPr>
          <w:p w:rsidR="00F161FE" w:rsidRPr="00DE5351" w:rsidRDefault="00D71DAA" w:rsidP="0033631D">
            <w:pPr>
              <w:pStyle w:val="Bezriadkovania"/>
              <w:rPr>
                <w:rFonts w:cs="Arial"/>
                <w:szCs w:val="20"/>
                <w:lang w:eastAsia="sk-SK"/>
              </w:rPr>
            </w:pPr>
            <w:r w:rsidRPr="00DE5351">
              <w:rPr>
                <w:rFonts w:cs="Arial"/>
                <w:szCs w:val="20"/>
                <w:lang w:eastAsia="sk-SK"/>
              </w:rPr>
              <w:t>60</w:t>
            </w:r>
          </w:p>
        </w:tc>
        <w:tc>
          <w:tcPr>
            <w:tcW w:w="911" w:type="dxa"/>
            <w:shd w:val="clear" w:color="auto" w:fill="auto"/>
            <w:noWrap/>
            <w:vAlign w:val="center"/>
          </w:tcPr>
          <w:p w:rsidR="00F161FE" w:rsidRPr="00DE5351" w:rsidRDefault="00D71DAA" w:rsidP="0033631D">
            <w:pPr>
              <w:pStyle w:val="Bezriadkovania"/>
              <w:rPr>
                <w:rFonts w:cs="Arial"/>
                <w:szCs w:val="20"/>
                <w:lang w:eastAsia="sk-SK"/>
              </w:rPr>
            </w:pPr>
            <w:r w:rsidRPr="00DE5351">
              <w:rPr>
                <w:rFonts w:cs="Arial"/>
                <w:szCs w:val="20"/>
                <w:lang w:eastAsia="sk-SK"/>
              </w:rPr>
              <w:t>55</w:t>
            </w:r>
          </w:p>
        </w:tc>
        <w:tc>
          <w:tcPr>
            <w:tcW w:w="910" w:type="dxa"/>
            <w:shd w:val="clear" w:color="auto" w:fill="auto"/>
            <w:noWrap/>
            <w:vAlign w:val="center"/>
          </w:tcPr>
          <w:p w:rsidR="00F161FE" w:rsidRPr="00DE5351" w:rsidRDefault="00D71DAA" w:rsidP="0033631D">
            <w:pPr>
              <w:pStyle w:val="Bezriadkovania"/>
              <w:rPr>
                <w:rFonts w:cs="Arial"/>
                <w:szCs w:val="20"/>
                <w:lang w:eastAsia="sk-SK"/>
              </w:rPr>
            </w:pPr>
            <w:r w:rsidRPr="00DE5351">
              <w:rPr>
                <w:rFonts w:cs="Arial"/>
                <w:szCs w:val="20"/>
                <w:lang w:eastAsia="sk-SK"/>
              </w:rPr>
              <w:t>59</w:t>
            </w:r>
          </w:p>
        </w:tc>
        <w:tc>
          <w:tcPr>
            <w:tcW w:w="911" w:type="dxa"/>
            <w:shd w:val="clear" w:color="auto" w:fill="auto"/>
            <w:noWrap/>
            <w:vAlign w:val="center"/>
          </w:tcPr>
          <w:p w:rsidR="00F161FE" w:rsidRPr="00DE5351" w:rsidRDefault="00D71DAA" w:rsidP="0033631D">
            <w:pPr>
              <w:pStyle w:val="Bezriadkovania"/>
              <w:rPr>
                <w:rFonts w:cs="Arial"/>
                <w:szCs w:val="20"/>
                <w:lang w:eastAsia="sk-SK"/>
              </w:rPr>
            </w:pPr>
            <w:r w:rsidRPr="00DE5351">
              <w:rPr>
                <w:rFonts w:cs="Arial"/>
                <w:szCs w:val="20"/>
                <w:lang w:eastAsia="sk-SK"/>
              </w:rPr>
              <w:t>54</w:t>
            </w:r>
          </w:p>
        </w:tc>
        <w:tc>
          <w:tcPr>
            <w:tcW w:w="910" w:type="dxa"/>
            <w:shd w:val="clear" w:color="auto" w:fill="auto"/>
            <w:noWrap/>
            <w:vAlign w:val="center"/>
          </w:tcPr>
          <w:p w:rsidR="00F161FE" w:rsidRPr="00DE5351" w:rsidRDefault="00D71DAA" w:rsidP="0033631D">
            <w:pPr>
              <w:pStyle w:val="Bezriadkovania"/>
              <w:rPr>
                <w:rFonts w:cs="Arial"/>
                <w:szCs w:val="20"/>
                <w:lang w:eastAsia="sk-SK"/>
              </w:rPr>
            </w:pPr>
            <w:r w:rsidRPr="00DE5351">
              <w:rPr>
                <w:rFonts w:cs="Arial"/>
                <w:szCs w:val="20"/>
                <w:lang w:eastAsia="sk-SK"/>
              </w:rPr>
              <w:t>67</w:t>
            </w:r>
          </w:p>
        </w:tc>
        <w:tc>
          <w:tcPr>
            <w:tcW w:w="911" w:type="dxa"/>
            <w:shd w:val="clear" w:color="auto" w:fill="auto"/>
            <w:noWrap/>
            <w:vAlign w:val="center"/>
          </w:tcPr>
          <w:p w:rsidR="00F161FE" w:rsidRPr="00DE5351" w:rsidRDefault="00D71DAA" w:rsidP="0033631D">
            <w:pPr>
              <w:pStyle w:val="Bezriadkovania"/>
              <w:rPr>
                <w:rFonts w:cs="Arial"/>
                <w:szCs w:val="20"/>
                <w:lang w:eastAsia="sk-SK"/>
              </w:rPr>
            </w:pPr>
            <w:r w:rsidRPr="00DE5351">
              <w:rPr>
                <w:rFonts w:cs="Arial"/>
                <w:szCs w:val="20"/>
                <w:lang w:eastAsia="sk-SK"/>
              </w:rPr>
              <w:t>56</w:t>
            </w:r>
          </w:p>
        </w:tc>
        <w:tc>
          <w:tcPr>
            <w:tcW w:w="910" w:type="dxa"/>
            <w:shd w:val="clear" w:color="auto" w:fill="auto"/>
            <w:noWrap/>
            <w:vAlign w:val="center"/>
          </w:tcPr>
          <w:p w:rsidR="00F161FE" w:rsidRPr="00DE5351" w:rsidRDefault="00D71DAA" w:rsidP="0033631D">
            <w:pPr>
              <w:pStyle w:val="Bezriadkovania"/>
              <w:rPr>
                <w:rFonts w:cs="Arial"/>
                <w:szCs w:val="20"/>
                <w:lang w:eastAsia="sk-SK"/>
              </w:rPr>
            </w:pPr>
            <w:r w:rsidRPr="00DE5351">
              <w:rPr>
                <w:rFonts w:cs="Arial"/>
                <w:szCs w:val="20"/>
                <w:lang w:eastAsia="sk-SK"/>
              </w:rPr>
              <w:t>77</w:t>
            </w:r>
          </w:p>
        </w:tc>
        <w:tc>
          <w:tcPr>
            <w:tcW w:w="911" w:type="dxa"/>
            <w:shd w:val="clear" w:color="auto" w:fill="auto"/>
            <w:noWrap/>
            <w:vAlign w:val="center"/>
          </w:tcPr>
          <w:p w:rsidR="00F161FE" w:rsidRPr="00DE5351" w:rsidRDefault="00D71DAA" w:rsidP="0033631D">
            <w:pPr>
              <w:pStyle w:val="Bezriadkovania"/>
              <w:rPr>
                <w:rFonts w:cs="Arial"/>
                <w:szCs w:val="20"/>
                <w:lang w:eastAsia="sk-SK"/>
              </w:rPr>
            </w:pPr>
            <w:r w:rsidRPr="00DE5351">
              <w:rPr>
                <w:rFonts w:cs="Arial"/>
                <w:szCs w:val="20"/>
                <w:lang w:eastAsia="sk-SK"/>
              </w:rPr>
              <w:t>72</w:t>
            </w:r>
          </w:p>
        </w:tc>
      </w:tr>
    </w:tbl>
    <w:p w:rsidR="00D93F16" w:rsidRDefault="00D93F16" w:rsidP="0033631D">
      <w:pPr>
        <w:pStyle w:val="Bezriadkovania"/>
        <w:rPr>
          <w:rFonts w:cs="Arial"/>
          <w:b/>
        </w:rPr>
      </w:pPr>
    </w:p>
    <w:p w:rsidR="005F1388" w:rsidRDefault="005F1388" w:rsidP="0033631D">
      <w:pPr>
        <w:pStyle w:val="Bezriadkovania"/>
        <w:rPr>
          <w:rFonts w:cs="Arial"/>
          <w:szCs w:val="20"/>
        </w:rPr>
      </w:pPr>
    </w:p>
    <w:p w:rsidR="003552D3" w:rsidRDefault="003552D3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5F1388" w:rsidRPr="00BC4524" w:rsidRDefault="005F1388" w:rsidP="0033631D">
      <w:pPr>
        <w:pStyle w:val="popis2"/>
      </w:pPr>
      <w:r w:rsidRPr="00BC4524">
        <w:lastRenderedPageBreak/>
        <w:t xml:space="preserve">Graf č. </w:t>
      </w:r>
      <w:r w:rsidR="00647D11">
        <w:fldChar w:fldCharType="begin"/>
      </w:r>
      <w:r w:rsidR="00E80D30">
        <w:instrText xml:space="preserve"> SEQ Graf \* ARABIC </w:instrText>
      </w:r>
      <w:r w:rsidR="00647D11">
        <w:fldChar w:fldCharType="separate"/>
      </w:r>
      <w:r w:rsidR="008B1877">
        <w:rPr>
          <w:noProof/>
        </w:rPr>
        <w:t>20</w:t>
      </w:r>
      <w:r w:rsidR="00647D11">
        <w:rPr>
          <w:noProof/>
        </w:rPr>
        <w:fldChar w:fldCharType="end"/>
      </w:r>
      <w:r w:rsidRPr="00BC4524">
        <w:t xml:space="preserve">: </w:t>
      </w:r>
      <w:r>
        <w:t>Štruktúra vzorky podľa kraja</w:t>
      </w:r>
    </w:p>
    <w:p w:rsidR="005F1388" w:rsidRDefault="005F1388" w:rsidP="0033631D">
      <w:pPr>
        <w:pStyle w:val="Bezriadkovania"/>
        <w:rPr>
          <w:rFonts w:cs="Arial"/>
          <w:b/>
        </w:rPr>
      </w:pPr>
    </w:p>
    <w:p w:rsidR="00F161FE" w:rsidRDefault="0012644D" w:rsidP="0033631D">
      <w:r w:rsidRPr="0012644D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40C85B26" wp14:editId="615DA0DC">
            <wp:extent cx="5486400" cy="2047875"/>
            <wp:effectExtent l="0" t="0" r="19050" b="9525"/>
            <wp:docPr id="6" name="Graf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3B5997" w:rsidRPr="00C155F7" w:rsidRDefault="003B5997" w:rsidP="0033631D">
      <w:pPr>
        <w:pStyle w:val="Bezriadkovania"/>
      </w:pPr>
    </w:p>
    <w:p w:rsidR="005F1388" w:rsidRPr="00C155F7" w:rsidRDefault="005F1388" w:rsidP="0033631D">
      <w:pPr>
        <w:pStyle w:val="Popis"/>
      </w:pPr>
      <w:r w:rsidRPr="00C155F7">
        <w:t xml:space="preserve">Tabuľka č. </w:t>
      </w:r>
      <w:r w:rsidR="00647D11">
        <w:fldChar w:fldCharType="begin"/>
      </w:r>
      <w:r w:rsidR="00E80D30">
        <w:instrText xml:space="preserve"> SEQ Tabuľka \* ARABIC </w:instrText>
      </w:r>
      <w:r w:rsidR="00647D11">
        <w:fldChar w:fldCharType="separate"/>
      </w:r>
      <w:r w:rsidR="008B1877">
        <w:rPr>
          <w:noProof/>
        </w:rPr>
        <w:t>14</w:t>
      </w:r>
      <w:r w:rsidR="00647D11">
        <w:rPr>
          <w:noProof/>
        </w:rPr>
        <w:fldChar w:fldCharType="end"/>
      </w:r>
      <w:r w:rsidRPr="00C155F7">
        <w:t xml:space="preserve">: </w:t>
      </w:r>
      <w:r w:rsidR="00AF2EC8" w:rsidRPr="00C155F7">
        <w:t>Štruktúra vzorky podľa veľkosti sídla</w:t>
      </w:r>
    </w:p>
    <w:p w:rsidR="005F1388" w:rsidRDefault="005F1388" w:rsidP="0033631D">
      <w:pPr>
        <w:pStyle w:val="Bezriadkovania"/>
      </w:pPr>
    </w:p>
    <w:p w:rsidR="009B0C47" w:rsidRDefault="009B0C47" w:rsidP="0033631D">
      <w:pPr>
        <w:pStyle w:val="Bezriadkovania"/>
        <w:rPr>
          <w:rFonts w:cs="Arial"/>
          <w:szCs w:val="20"/>
        </w:rPr>
      </w:pPr>
      <w:r w:rsidRPr="009B0C47">
        <w:rPr>
          <w:rFonts w:cs="Arial"/>
        </w:rPr>
        <w:t>S5</w:t>
      </w:r>
      <w:r w:rsidR="00AF2EC8">
        <w:rPr>
          <w:rFonts w:cs="Arial"/>
        </w:rPr>
        <w:t xml:space="preserve">, N=200 </w:t>
      </w:r>
    </w:p>
    <w:p w:rsidR="003B5997" w:rsidRPr="003B5997" w:rsidRDefault="003B5997" w:rsidP="0033631D">
      <w:pPr>
        <w:pStyle w:val="Bezriadkovania"/>
        <w:rPr>
          <w:rFonts w:cs="Arial"/>
          <w:b/>
        </w:rPr>
      </w:pPr>
    </w:p>
    <w:tbl>
      <w:tblPr>
        <w:tblW w:w="8180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36"/>
        <w:gridCol w:w="1636"/>
        <w:gridCol w:w="1636"/>
        <w:gridCol w:w="1636"/>
        <w:gridCol w:w="1636"/>
      </w:tblGrid>
      <w:tr w:rsidR="003B5997" w:rsidRPr="003B5997" w:rsidTr="008E2C96">
        <w:trPr>
          <w:trHeight w:val="261"/>
        </w:trPr>
        <w:tc>
          <w:tcPr>
            <w:tcW w:w="1636" w:type="dxa"/>
            <w:vAlign w:val="center"/>
          </w:tcPr>
          <w:p w:rsidR="003B5997" w:rsidRPr="003B5997" w:rsidRDefault="003B5997" w:rsidP="0033631D">
            <w:pPr>
              <w:rPr>
                <w:rFonts w:cs="Arial"/>
                <w:b/>
                <w:sz w:val="20"/>
              </w:rPr>
            </w:pPr>
            <w:r w:rsidRPr="003B5997">
              <w:rPr>
                <w:rFonts w:cs="Arial"/>
                <w:b/>
                <w:sz w:val="20"/>
              </w:rPr>
              <w:t>Veľkostná skupina obce</w:t>
            </w:r>
          </w:p>
          <w:p w:rsidR="003B5997" w:rsidRPr="003B5997" w:rsidRDefault="003B5997" w:rsidP="0033631D">
            <w:pPr>
              <w:rPr>
                <w:rFonts w:cs="Arial"/>
                <w:sz w:val="20"/>
                <w:lang w:eastAsia="sk-SK"/>
              </w:rPr>
            </w:pPr>
          </w:p>
        </w:tc>
        <w:tc>
          <w:tcPr>
            <w:tcW w:w="1636" w:type="dxa"/>
            <w:shd w:val="clear" w:color="auto" w:fill="auto"/>
            <w:noWrap/>
            <w:vAlign w:val="center"/>
          </w:tcPr>
          <w:p w:rsidR="003B5997" w:rsidRPr="003B5997" w:rsidRDefault="003B5997" w:rsidP="0033631D">
            <w:pPr>
              <w:jc w:val="center"/>
              <w:rPr>
                <w:rFonts w:cs="Arial"/>
                <w:sz w:val="20"/>
                <w:lang w:eastAsia="sk-SK"/>
              </w:rPr>
            </w:pPr>
            <w:r w:rsidRPr="003B5997">
              <w:rPr>
                <w:rFonts w:cs="Arial"/>
                <w:sz w:val="20"/>
                <w:lang w:eastAsia="sk-SK"/>
              </w:rPr>
              <w:t>do 1999 obyvateľov</w:t>
            </w:r>
          </w:p>
        </w:tc>
        <w:tc>
          <w:tcPr>
            <w:tcW w:w="1636" w:type="dxa"/>
            <w:shd w:val="clear" w:color="auto" w:fill="auto"/>
            <w:noWrap/>
            <w:vAlign w:val="center"/>
          </w:tcPr>
          <w:p w:rsidR="003B5997" w:rsidRPr="003B5997" w:rsidRDefault="003B5997" w:rsidP="0033631D">
            <w:pPr>
              <w:jc w:val="center"/>
              <w:rPr>
                <w:rFonts w:cs="Arial"/>
                <w:sz w:val="20"/>
                <w:lang w:eastAsia="sk-SK"/>
              </w:rPr>
            </w:pPr>
            <w:r w:rsidRPr="003B5997">
              <w:rPr>
                <w:rFonts w:cs="Arial"/>
                <w:sz w:val="20"/>
                <w:lang w:eastAsia="sk-SK"/>
              </w:rPr>
              <w:t>od 2 000 do 19 999 obyvateľov</w:t>
            </w:r>
          </w:p>
        </w:tc>
        <w:tc>
          <w:tcPr>
            <w:tcW w:w="1636" w:type="dxa"/>
            <w:shd w:val="clear" w:color="auto" w:fill="auto"/>
            <w:noWrap/>
            <w:vAlign w:val="center"/>
          </w:tcPr>
          <w:p w:rsidR="003B5997" w:rsidRPr="003B5997" w:rsidRDefault="003B5997" w:rsidP="0033631D">
            <w:pPr>
              <w:jc w:val="center"/>
              <w:rPr>
                <w:rFonts w:cs="Arial"/>
                <w:sz w:val="20"/>
                <w:lang w:eastAsia="sk-SK"/>
              </w:rPr>
            </w:pPr>
            <w:r w:rsidRPr="003B5997">
              <w:rPr>
                <w:rFonts w:cs="Arial"/>
                <w:sz w:val="20"/>
                <w:lang w:eastAsia="sk-SK"/>
              </w:rPr>
              <w:t>od 20 000 do 99 999 obyvateľov</w:t>
            </w:r>
          </w:p>
        </w:tc>
        <w:tc>
          <w:tcPr>
            <w:tcW w:w="1636" w:type="dxa"/>
            <w:shd w:val="clear" w:color="auto" w:fill="auto"/>
            <w:noWrap/>
            <w:vAlign w:val="center"/>
          </w:tcPr>
          <w:p w:rsidR="003B5997" w:rsidRPr="003B5997" w:rsidRDefault="003B5997" w:rsidP="0033631D">
            <w:pPr>
              <w:jc w:val="center"/>
              <w:rPr>
                <w:rFonts w:cs="Arial"/>
                <w:sz w:val="20"/>
                <w:lang w:eastAsia="sk-SK"/>
              </w:rPr>
            </w:pPr>
            <w:r w:rsidRPr="003B5997">
              <w:rPr>
                <w:rFonts w:cs="Arial"/>
                <w:sz w:val="20"/>
                <w:lang w:eastAsia="sk-SK"/>
              </w:rPr>
              <w:t>nad 100 000 obyvateľov</w:t>
            </w:r>
          </w:p>
        </w:tc>
      </w:tr>
      <w:tr w:rsidR="003B5997" w:rsidRPr="003B5997" w:rsidTr="008E2C96">
        <w:trPr>
          <w:trHeight w:val="261"/>
        </w:trPr>
        <w:tc>
          <w:tcPr>
            <w:tcW w:w="1636" w:type="dxa"/>
            <w:vAlign w:val="center"/>
          </w:tcPr>
          <w:p w:rsidR="003B5997" w:rsidRPr="003B5997" w:rsidRDefault="003B5997" w:rsidP="0033631D">
            <w:pPr>
              <w:rPr>
                <w:rFonts w:cs="Arial"/>
                <w:b/>
                <w:sz w:val="20"/>
                <w:lang w:eastAsia="sk-SK"/>
              </w:rPr>
            </w:pPr>
            <w:r w:rsidRPr="003B5997">
              <w:rPr>
                <w:rFonts w:cs="Arial"/>
                <w:b/>
                <w:sz w:val="20"/>
                <w:lang w:eastAsia="sk-SK"/>
              </w:rPr>
              <w:t>Počet</w:t>
            </w:r>
          </w:p>
        </w:tc>
        <w:tc>
          <w:tcPr>
            <w:tcW w:w="1636" w:type="dxa"/>
            <w:shd w:val="clear" w:color="auto" w:fill="auto"/>
            <w:noWrap/>
            <w:vAlign w:val="center"/>
          </w:tcPr>
          <w:p w:rsidR="003B5997" w:rsidRPr="00DE5351" w:rsidRDefault="00DE5351" w:rsidP="0033631D">
            <w:pPr>
              <w:jc w:val="center"/>
              <w:rPr>
                <w:rFonts w:cs="Arial"/>
                <w:sz w:val="20"/>
                <w:lang w:eastAsia="sk-SK"/>
              </w:rPr>
            </w:pPr>
            <w:r w:rsidRPr="00DE5351">
              <w:rPr>
                <w:rFonts w:cs="Arial"/>
                <w:sz w:val="20"/>
                <w:lang w:eastAsia="sk-SK"/>
              </w:rPr>
              <w:t>142</w:t>
            </w:r>
          </w:p>
        </w:tc>
        <w:tc>
          <w:tcPr>
            <w:tcW w:w="1636" w:type="dxa"/>
            <w:shd w:val="clear" w:color="auto" w:fill="auto"/>
            <w:noWrap/>
            <w:vAlign w:val="center"/>
          </w:tcPr>
          <w:p w:rsidR="003B5997" w:rsidRPr="00DE5351" w:rsidRDefault="00DE5351" w:rsidP="0033631D">
            <w:pPr>
              <w:jc w:val="center"/>
              <w:rPr>
                <w:rFonts w:cs="Arial"/>
                <w:sz w:val="20"/>
                <w:lang w:eastAsia="sk-SK"/>
              </w:rPr>
            </w:pPr>
            <w:r w:rsidRPr="00DE5351">
              <w:rPr>
                <w:rFonts w:cs="Arial"/>
                <w:sz w:val="20"/>
                <w:lang w:eastAsia="sk-SK"/>
              </w:rPr>
              <w:t>159</w:t>
            </w:r>
          </w:p>
        </w:tc>
        <w:tc>
          <w:tcPr>
            <w:tcW w:w="1636" w:type="dxa"/>
            <w:shd w:val="clear" w:color="auto" w:fill="auto"/>
            <w:noWrap/>
            <w:vAlign w:val="center"/>
          </w:tcPr>
          <w:p w:rsidR="003B5997" w:rsidRPr="00DE5351" w:rsidRDefault="00DE5351" w:rsidP="0033631D">
            <w:pPr>
              <w:jc w:val="center"/>
              <w:rPr>
                <w:rFonts w:cs="Arial"/>
                <w:sz w:val="20"/>
                <w:lang w:eastAsia="sk-SK"/>
              </w:rPr>
            </w:pPr>
            <w:r w:rsidRPr="00DE5351">
              <w:rPr>
                <w:rFonts w:cs="Arial"/>
                <w:sz w:val="20"/>
                <w:lang w:eastAsia="sk-SK"/>
              </w:rPr>
              <w:t>134</w:t>
            </w:r>
          </w:p>
        </w:tc>
        <w:tc>
          <w:tcPr>
            <w:tcW w:w="1636" w:type="dxa"/>
            <w:shd w:val="clear" w:color="auto" w:fill="auto"/>
            <w:noWrap/>
            <w:vAlign w:val="center"/>
          </w:tcPr>
          <w:p w:rsidR="003B5997" w:rsidRPr="00DE5351" w:rsidRDefault="00DE5351" w:rsidP="0033631D">
            <w:pPr>
              <w:jc w:val="center"/>
              <w:rPr>
                <w:rFonts w:cs="Arial"/>
                <w:sz w:val="20"/>
                <w:lang w:eastAsia="sk-SK"/>
              </w:rPr>
            </w:pPr>
            <w:r w:rsidRPr="00DE5351">
              <w:rPr>
                <w:rFonts w:cs="Arial"/>
                <w:sz w:val="20"/>
                <w:lang w:eastAsia="sk-SK"/>
              </w:rPr>
              <w:t>65</w:t>
            </w:r>
          </w:p>
        </w:tc>
      </w:tr>
    </w:tbl>
    <w:p w:rsidR="00D93F16" w:rsidRDefault="00D93F16" w:rsidP="0033631D">
      <w:pPr>
        <w:rPr>
          <w:rFonts w:cs="Arial"/>
          <w:b/>
          <w:sz w:val="20"/>
        </w:rPr>
      </w:pPr>
    </w:p>
    <w:p w:rsidR="005F1388" w:rsidRDefault="005F1388" w:rsidP="0033631D">
      <w:pPr>
        <w:pStyle w:val="Bezriadkovania"/>
        <w:rPr>
          <w:rFonts w:cs="Arial"/>
        </w:rPr>
      </w:pPr>
    </w:p>
    <w:p w:rsidR="005F1388" w:rsidRPr="00BC4524" w:rsidRDefault="005F1388" w:rsidP="0033631D">
      <w:pPr>
        <w:pStyle w:val="popis2"/>
      </w:pPr>
      <w:r w:rsidRPr="007054DB">
        <w:t xml:space="preserve">Graf č. </w:t>
      </w:r>
      <w:r w:rsidR="00647D11">
        <w:fldChar w:fldCharType="begin"/>
      </w:r>
      <w:r w:rsidR="00E80D30">
        <w:instrText xml:space="preserve"> SEQ Graf \* ARABIC </w:instrText>
      </w:r>
      <w:r w:rsidR="00647D11">
        <w:fldChar w:fldCharType="separate"/>
      </w:r>
      <w:r w:rsidR="008B1877">
        <w:rPr>
          <w:noProof/>
        </w:rPr>
        <w:t>21</w:t>
      </w:r>
      <w:r w:rsidR="00647D11">
        <w:rPr>
          <w:noProof/>
        </w:rPr>
        <w:fldChar w:fldCharType="end"/>
      </w:r>
      <w:r w:rsidRPr="007054DB">
        <w:t xml:space="preserve">: </w:t>
      </w:r>
      <w:r w:rsidR="00C155F7" w:rsidRPr="007054DB">
        <w:t>Štruktúra vzorky podľa veľkosti sídla</w:t>
      </w:r>
    </w:p>
    <w:p w:rsidR="00C155F7" w:rsidRDefault="00C155F7" w:rsidP="0033631D">
      <w:pPr>
        <w:pStyle w:val="Bezriadkovania"/>
        <w:rPr>
          <w:rFonts w:cs="Arial"/>
        </w:rPr>
      </w:pPr>
      <w:r w:rsidRPr="009B0C47">
        <w:rPr>
          <w:rFonts w:cs="Arial"/>
        </w:rPr>
        <w:t>S5</w:t>
      </w:r>
      <w:r>
        <w:rPr>
          <w:rFonts w:cs="Arial"/>
        </w:rPr>
        <w:t xml:space="preserve">, N=200 </w:t>
      </w:r>
    </w:p>
    <w:p w:rsidR="007054DB" w:rsidRDefault="007054DB" w:rsidP="0033631D">
      <w:pPr>
        <w:pStyle w:val="Bezriadkovania"/>
        <w:rPr>
          <w:rFonts w:cs="Arial"/>
          <w:szCs w:val="20"/>
        </w:rPr>
      </w:pPr>
    </w:p>
    <w:p w:rsidR="00137149" w:rsidRDefault="00137149" w:rsidP="0033631D">
      <w:pPr>
        <w:rPr>
          <w:rFonts w:cs="Arial"/>
          <w:sz w:val="20"/>
        </w:rPr>
      </w:pPr>
      <w:r w:rsidRPr="0012644D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5FF112E1" wp14:editId="3E6E1E5A">
            <wp:extent cx="5486400" cy="2076450"/>
            <wp:effectExtent l="0" t="0" r="19050" b="19050"/>
            <wp:docPr id="7" name="Graf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92459F" w:rsidRDefault="0092459F" w:rsidP="0033631D">
      <w:pPr>
        <w:rPr>
          <w:rFonts w:eastAsia="Times New Roman" w:cs="Times New Roman"/>
          <w:b/>
          <w:bCs/>
          <w:sz w:val="28"/>
          <w:szCs w:val="28"/>
          <w:u w:val="single"/>
        </w:rPr>
      </w:pPr>
      <w:r>
        <w:br w:type="page"/>
      </w:r>
    </w:p>
    <w:p w:rsidR="00E73FBC" w:rsidRDefault="0092459F" w:rsidP="0033631D">
      <w:pPr>
        <w:pStyle w:val="Nadpis2"/>
      </w:pPr>
      <w:bookmarkStart w:id="24" w:name="_Toc410051293"/>
      <w:r>
        <w:rPr>
          <w:lang w:val="sk-SK"/>
        </w:rPr>
        <w:lastRenderedPageBreak/>
        <w:t>Vyhodnotenie výsledkov prieskumu</w:t>
      </w:r>
      <w:bookmarkEnd w:id="24"/>
    </w:p>
    <w:p w:rsidR="00093561" w:rsidRDefault="00093561" w:rsidP="00A60628">
      <w:pPr>
        <w:pStyle w:val="Nadpis3"/>
      </w:pPr>
      <w:bookmarkStart w:id="25" w:name="_Toc410051294"/>
      <w:r w:rsidRPr="0033631D">
        <w:t>Povedomie</w:t>
      </w:r>
      <w:r>
        <w:t xml:space="preserve"> o </w:t>
      </w:r>
      <w:r w:rsidRPr="0033631D">
        <w:t>financovaní</w:t>
      </w:r>
      <w:r>
        <w:t xml:space="preserve"> EÚ a o štrukturálnych fondoch</w:t>
      </w:r>
      <w:bookmarkEnd w:id="25"/>
    </w:p>
    <w:p w:rsidR="0033631D" w:rsidRDefault="0033631D" w:rsidP="0033631D"/>
    <w:p w:rsidR="0092459F" w:rsidRDefault="0092459F" w:rsidP="0033631D">
      <w:r w:rsidRPr="00CC3722">
        <w:t>Oproti údajom v roku 2011 výrazne vzrástol podiel respondentov, ktorí síce vedia, že Európska únia poskytuje finančné prostriedky na rozvoj, ale nevedia o tom bližšie</w:t>
      </w:r>
      <w:r w:rsidR="00FF6D32">
        <w:t xml:space="preserve">. Je ich takmer polovica a ich podiel stúpol na </w:t>
      </w:r>
      <w:r w:rsidRPr="00CC3722">
        <w:t xml:space="preserve">úkor tých, </w:t>
      </w:r>
      <w:r w:rsidR="006E06AE">
        <w:t xml:space="preserve">ktorí vedia o poskytovaní prostriedkov Európskou úniou. </w:t>
      </w:r>
    </w:p>
    <w:p w:rsidR="00DE3C9A" w:rsidRPr="00CC3722" w:rsidRDefault="00DE3C9A" w:rsidP="0033631D">
      <w:r>
        <w:t>Čo sa týka povedomia o štrukturálnych fondoch</w:t>
      </w:r>
      <w:r w:rsidR="00D064A9">
        <w:t xml:space="preserve"> EÚ</w:t>
      </w:r>
      <w:r>
        <w:t xml:space="preserve">, </w:t>
      </w:r>
      <w:r w:rsidR="00D064A9">
        <w:t xml:space="preserve">tu naopak povedomie výrazne vzrástlo. Podiel tých, ktorí o nich nepočulo, sa znížil zo 75% </w:t>
      </w:r>
      <w:r w:rsidR="00444ADC">
        <w:t xml:space="preserve">v roku 2011 na štvrtinu v roku 2014. </w:t>
      </w:r>
    </w:p>
    <w:p w:rsidR="0092459F" w:rsidRDefault="0092459F" w:rsidP="0033631D">
      <w:pPr>
        <w:pStyle w:val="popis2"/>
        <w:rPr>
          <w:highlight w:val="yellow"/>
        </w:rPr>
      </w:pPr>
    </w:p>
    <w:p w:rsidR="005F1388" w:rsidRPr="00BC4524" w:rsidRDefault="005F1388" w:rsidP="0033631D">
      <w:pPr>
        <w:pStyle w:val="popis2"/>
      </w:pPr>
      <w:r w:rsidRPr="00375AD2">
        <w:t xml:space="preserve">Graf č. </w:t>
      </w:r>
      <w:r w:rsidR="00647D11">
        <w:fldChar w:fldCharType="begin"/>
      </w:r>
      <w:r w:rsidR="00E80D30">
        <w:instrText xml:space="preserve"> SEQ Graf \* ARABIC </w:instrText>
      </w:r>
      <w:r w:rsidR="00647D11">
        <w:fldChar w:fldCharType="separate"/>
      </w:r>
      <w:r w:rsidR="008B1877">
        <w:rPr>
          <w:noProof/>
        </w:rPr>
        <w:t>22</w:t>
      </w:r>
      <w:r w:rsidR="00647D11">
        <w:rPr>
          <w:noProof/>
        </w:rPr>
        <w:fldChar w:fldCharType="end"/>
      </w:r>
      <w:r w:rsidRPr="00375AD2">
        <w:t xml:space="preserve">: </w:t>
      </w:r>
      <w:r w:rsidR="0092459F" w:rsidRPr="00D064A9">
        <w:t>Povedomie</w:t>
      </w:r>
      <w:r w:rsidR="0092459F" w:rsidRPr="00375AD2">
        <w:t xml:space="preserve"> o poskytovaní prostriedkov na rozvoj </w:t>
      </w:r>
    </w:p>
    <w:p w:rsidR="005226FB" w:rsidRDefault="00F52F88" w:rsidP="0033631D">
      <w:pPr>
        <w:pStyle w:val="Bezriadkovania"/>
      </w:pPr>
      <w:r w:rsidRPr="0092459F">
        <w:t>Q1</w:t>
      </w:r>
      <w:r w:rsidR="0092459F" w:rsidRPr="0092459F">
        <w:t xml:space="preserve">, </w:t>
      </w:r>
      <w:r w:rsidR="00DE5351" w:rsidRPr="0092459F">
        <w:t>N=500</w:t>
      </w:r>
    </w:p>
    <w:p w:rsidR="00990258" w:rsidRPr="0092459F" w:rsidRDefault="00990258" w:rsidP="0033631D">
      <w:pPr>
        <w:pStyle w:val="Bezriadkovania"/>
      </w:pPr>
    </w:p>
    <w:p w:rsidR="00F52F88" w:rsidRDefault="00DE4087" w:rsidP="0033631D">
      <w:pPr>
        <w:rPr>
          <w:rFonts w:cs="Arial"/>
          <w:sz w:val="20"/>
        </w:rPr>
      </w:pPr>
      <w:r w:rsidRPr="0012644D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06930A67" wp14:editId="5202D66D">
            <wp:extent cx="5829300" cy="2943225"/>
            <wp:effectExtent l="0" t="0" r="19050" b="9525"/>
            <wp:docPr id="9" name="Graf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4943CC" w:rsidRDefault="004943CC" w:rsidP="0033631D">
      <w:pPr>
        <w:rPr>
          <w:rFonts w:cs="Arial"/>
          <w:sz w:val="20"/>
        </w:rPr>
      </w:pPr>
    </w:p>
    <w:p w:rsidR="00A10674" w:rsidRDefault="00A10674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5F1388" w:rsidRPr="00BC4524" w:rsidRDefault="005F1388" w:rsidP="0033631D">
      <w:pPr>
        <w:pStyle w:val="popis2"/>
      </w:pPr>
      <w:r w:rsidRPr="00697AD9">
        <w:lastRenderedPageBreak/>
        <w:t xml:space="preserve">Graf č. </w:t>
      </w:r>
      <w:r w:rsidR="00647D11">
        <w:fldChar w:fldCharType="begin"/>
      </w:r>
      <w:r w:rsidR="00E80D30">
        <w:instrText xml:space="preserve"> SEQ Graf \* ARABIC </w:instrText>
      </w:r>
      <w:r w:rsidR="00647D11">
        <w:fldChar w:fldCharType="separate"/>
      </w:r>
      <w:r w:rsidR="008B1877">
        <w:rPr>
          <w:noProof/>
        </w:rPr>
        <w:t>23</w:t>
      </w:r>
      <w:r w:rsidR="00647D11">
        <w:rPr>
          <w:noProof/>
        </w:rPr>
        <w:fldChar w:fldCharType="end"/>
      </w:r>
      <w:r w:rsidRPr="00697AD9">
        <w:t xml:space="preserve">: </w:t>
      </w:r>
      <w:r w:rsidR="00697AD9" w:rsidRPr="00697AD9">
        <w:t xml:space="preserve">Povedomie o štrukturálnych fondoch EÚ </w:t>
      </w:r>
    </w:p>
    <w:p w:rsidR="005226FB" w:rsidRPr="0004473B" w:rsidRDefault="00002A93" w:rsidP="0033631D">
      <w:pPr>
        <w:pStyle w:val="Bezriadkovania"/>
      </w:pPr>
      <w:r w:rsidRPr="0004473B">
        <w:t>Q</w:t>
      </w:r>
      <w:r w:rsidR="00327A01" w:rsidRPr="0004473B">
        <w:t>2</w:t>
      </w:r>
      <w:r w:rsidR="0004473B" w:rsidRPr="0004473B">
        <w:t xml:space="preserve">, </w:t>
      </w:r>
      <w:r w:rsidR="00DE5351" w:rsidRPr="0004473B">
        <w:t>N=500</w:t>
      </w:r>
    </w:p>
    <w:p w:rsidR="003B0446" w:rsidRDefault="00002A93" w:rsidP="0033631D">
      <w:pPr>
        <w:rPr>
          <w:rFonts w:cs="Arial"/>
          <w:sz w:val="20"/>
        </w:rPr>
      </w:pPr>
      <w:r w:rsidRPr="0012644D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51E8F89A" wp14:editId="71960016">
            <wp:extent cx="5486400" cy="3505200"/>
            <wp:effectExtent l="0" t="0" r="19050" b="19050"/>
            <wp:docPr id="8" name="Graf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E33E44" w:rsidRDefault="00E33E44" w:rsidP="0033631D">
      <w:pPr>
        <w:rPr>
          <w:rFonts w:cs="Arial"/>
          <w:sz w:val="20"/>
        </w:rPr>
      </w:pPr>
    </w:p>
    <w:p w:rsidR="00B634C4" w:rsidRDefault="001939EF" w:rsidP="0033631D">
      <w:r>
        <w:t xml:space="preserve">Čo sa týka </w:t>
      </w:r>
      <w:r w:rsidR="00FD5F9E">
        <w:t xml:space="preserve">konkrétnych fondov (resp. ich názvov), najvyššiu znalosť vykazuje </w:t>
      </w:r>
      <w:r w:rsidR="00451D49">
        <w:t xml:space="preserve">Európsky poľnohospodársky fond pre </w:t>
      </w:r>
      <w:r w:rsidR="00D24AAA">
        <w:t>rozvoj vidieka</w:t>
      </w:r>
      <w:r w:rsidR="006F7BAA">
        <w:t xml:space="preserve"> (84 %)</w:t>
      </w:r>
      <w:r w:rsidR="00D24AAA">
        <w:t xml:space="preserve"> a druhý v poradí je Európsky fond regionálneho rozvoja</w:t>
      </w:r>
      <w:r w:rsidR="006F7BAA">
        <w:t xml:space="preserve"> (74 %)</w:t>
      </w:r>
      <w:r w:rsidR="00D24AAA">
        <w:t xml:space="preserve">. </w:t>
      </w:r>
      <w:r w:rsidR="006F7BAA">
        <w:t xml:space="preserve">Najmenej ľudí pozná Európsky fond pre rybolov a Kohézny fond.  </w:t>
      </w:r>
    </w:p>
    <w:p w:rsidR="00D45930" w:rsidRDefault="00D45930" w:rsidP="0033631D">
      <w:r>
        <w:t>Z hľadiska konkrétnych financovaných oblastí má najviac ľudí povedomie o</w:t>
      </w:r>
      <w:r w:rsidR="00D10BCF">
        <w:t xml:space="preserve"> možnosti financovania rozvoja obcí a regiónov (83 %), budovanie ciest a diaľnic (80 %) a vzdelávania (77%). Naopak, najmenej sú známe možnosti </w:t>
      </w:r>
      <w:r w:rsidR="00052075">
        <w:t xml:space="preserve">financovania v oblasti technickej pomoci (37%), podpory zavádzania internetu (38 %) a informatizácie spoločnosti (46%).  </w:t>
      </w:r>
    </w:p>
    <w:p w:rsidR="001939EF" w:rsidRDefault="001939EF" w:rsidP="0033631D"/>
    <w:p w:rsidR="00A10674" w:rsidRDefault="00A10674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5F1388" w:rsidRPr="00BC4524" w:rsidRDefault="005F1388" w:rsidP="0033631D">
      <w:pPr>
        <w:pStyle w:val="popis2"/>
      </w:pPr>
      <w:r w:rsidRPr="006F7BAA">
        <w:lastRenderedPageBreak/>
        <w:t xml:space="preserve">Graf č. </w:t>
      </w:r>
      <w:r w:rsidR="00647D11">
        <w:fldChar w:fldCharType="begin"/>
      </w:r>
      <w:r w:rsidR="00E80D30">
        <w:instrText xml:space="preserve"> SEQ Graf \* ARABIC </w:instrText>
      </w:r>
      <w:r w:rsidR="00647D11">
        <w:fldChar w:fldCharType="separate"/>
      </w:r>
      <w:r w:rsidR="008B1877">
        <w:rPr>
          <w:noProof/>
        </w:rPr>
        <w:t>24</w:t>
      </w:r>
      <w:r w:rsidR="00647D11">
        <w:rPr>
          <w:noProof/>
        </w:rPr>
        <w:fldChar w:fldCharType="end"/>
      </w:r>
      <w:r w:rsidRPr="006F7BAA">
        <w:t xml:space="preserve">: </w:t>
      </w:r>
      <w:r w:rsidR="006F7BAA" w:rsidRPr="006F7BAA">
        <w:t xml:space="preserve">Znalosť konkrétnych </w:t>
      </w:r>
      <w:r w:rsidR="00473766">
        <w:t xml:space="preserve">štrukturálnych </w:t>
      </w:r>
      <w:r w:rsidR="006F7BAA" w:rsidRPr="006F7BAA">
        <w:t xml:space="preserve">fondov </w:t>
      </w:r>
    </w:p>
    <w:p w:rsidR="005226FB" w:rsidRPr="00473766" w:rsidRDefault="00E33E44" w:rsidP="0033631D">
      <w:pPr>
        <w:pStyle w:val="Bezriadkovania"/>
      </w:pPr>
      <w:r w:rsidRPr="00473766">
        <w:t>Q2a</w:t>
      </w:r>
      <w:r w:rsidR="006F7BAA" w:rsidRPr="00473766">
        <w:t xml:space="preserve">, </w:t>
      </w:r>
      <w:r w:rsidR="00DE5351" w:rsidRPr="00473766">
        <w:t>N=369</w:t>
      </w:r>
    </w:p>
    <w:p w:rsidR="00E33E44" w:rsidRDefault="00E33E44" w:rsidP="0033631D">
      <w:pPr>
        <w:rPr>
          <w:rFonts w:cs="Arial"/>
          <w:sz w:val="20"/>
        </w:rPr>
      </w:pPr>
      <w:r w:rsidRPr="0012644D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228E4B86" wp14:editId="47F40D00">
            <wp:extent cx="5486400" cy="3648075"/>
            <wp:effectExtent l="0" t="0" r="19050" b="9525"/>
            <wp:docPr id="11" name="Graf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A10674" w:rsidRDefault="00A10674" w:rsidP="0033631D">
      <w:pPr>
        <w:rPr>
          <w:rFonts w:cs="Arial"/>
          <w:sz w:val="20"/>
        </w:rPr>
      </w:pPr>
    </w:p>
    <w:p w:rsidR="005F1388" w:rsidRPr="00293AE1" w:rsidRDefault="005F1388" w:rsidP="0033631D">
      <w:pPr>
        <w:pStyle w:val="Popis"/>
      </w:pPr>
      <w:r w:rsidRPr="001453E6">
        <w:t xml:space="preserve">Tabuľka č. </w:t>
      </w:r>
      <w:r w:rsidR="00647D11">
        <w:fldChar w:fldCharType="begin"/>
      </w:r>
      <w:r w:rsidR="00E80D30">
        <w:instrText xml:space="preserve"> SEQ Tabuľka \* ARABIC </w:instrText>
      </w:r>
      <w:r w:rsidR="00647D11">
        <w:fldChar w:fldCharType="separate"/>
      </w:r>
      <w:r w:rsidR="008B1877">
        <w:rPr>
          <w:noProof/>
        </w:rPr>
        <w:t>15</w:t>
      </w:r>
      <w:r w:rsidR="00647D11">
        <w:rPr>
          <w:noProof/>
        </w:rPr>
        <w:fldChar w:fldCharType="end"/>
      </w:r>
      <w:r w:rsidRPr="001453E6">
        <w:t xml:space="preserve">: </w:t>
      </w:r>
      <w:r w:rsidR="00473766" w:rsidRPr="001453E6">
        <w:t>Znalosť konkrétnych štrukturálnych fondov</w:t>
      </w:r>
    </w:p>
    <w:p w:rsidR="00473766" w:rsidRDefault="00473766" w:rsidP="0033631D">
      <w:pPr>
        <w:pStyle w:val="Bezriadkovania"/>
      </w:pPr>
    </w:p>
    <w:p w:rsidR="00473766" w:rsidRDefault="00473766" w:rsidP="0033631D">
      <w:pPr>
        <w:pStyle w:val="Bezriadkovania"/>
      </w:pPr>
      <w:r w:rsidRPr="00473766">
        <w:t>Q2a, N=369</w:t>
      </w:r>
    </w:p>
    <w:p w:rsidR="00473766" w:rsidRPr="00473766" w:rsidRDefault="00473766" w:rsidP="0033631D">
      <w:pPr>
        <w:pStyle w:val="Bezriadkovania"/>
      </w:pPr>
    </w:p>
    <w:tbl>
      <w:tblPr>
        <w:tblW w:w="5007" w:type="pct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1"/>
        <w:gridCol w:w="1190"/>
        <w:gridCol w:w="1323"/>
        <w:gridCol w:w="1192"/>
        <w:gridCol w:w="1057"/>
        <w:gridCol w:w="1092"/>
      </w:tblGrid>
      <w:tr w:rsidR="001210A3" w:rsidRPr="004A663A" w:rsidTr="001453E6">
        <w:trPr>
          <w:trHeight w:val="313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3B3B3"/>
            <w:noWrap/>
            <w:vAlign w:val="bottom"/>
          </w:tcPr>
          <w:p w:rsidR="001210A3" w:rsidRPr="004A663A" w:rsidRDefault="001210A3" w:rsidP="0033631D">
            <w:pPr>
              <w:spacing w:line="240" w:lineRule="auto"/>
              <w:rPr>
                <w:rFonts w:eastAsia="Times New Roman" w:cs="Arial"/>
                <w:b/>
                <w:sz w:val="20"/>
                <w:lang w:eastAsia="sk-SK"/>
              </w:rPr>
            </w:pPr>
          </w:p>
          <w:p w:rsidR="001210A3" w:rsidRPr="004A663A" w:rsidRDefault="001210A3" w:rsidP="0033631D">
            <w:pPr>
              <w:spacing w:line="240" w:lineRule="auto"/>
              <w:rPr>
                <w:rFonts w:eastAsia="Times New Roman" w:cs="Arial"/>
                <w:b/>
                <w:sz w:val="20"/>
                <w:lang w:eastAsia="sk-SK"/>
              </w:rPr>
            </w:pPr>
            <w:r w:rsidRPr="004A663A">
              <w:rPr>
                <w:rFonts w:eastAsia="Times New Roman" w:cs="Arial"/>
                <w:b/>
                <w:sz w:val="20"/>
                <w:lang w:eastAsia="sk-SK"/>
              </w:rPr>
              <w:t>O ktorých štrukturálnych fondoch EÚ ste už niekedy počuli?</w:t>
            </w:r>
          </w:p>
          <w:p w:rsidR="001210A3" w:rsidRPr="004A663A" w:rsidRDefault="00434B31" w:rsidP="0033631D">
            <w:pPr>
              <w:spacing w:line="240" w:lineRule="auto"/>
              <w:jc w:val="right"/>
              <w:rPr>
                <w:rFonts w:eastAsia="Times New Roman" w:cs="Arial"/>
                <w:sz w:val="20"/>
                <w:lang w:eastAsia="sk-SK"/>
              </w:rPr>
            </w:pPr>
            <w:r w:rsidRPr="004A663A">
              <w:rPr>
                <w:rFonts w:eastAsia="Times New Roman" w:cs="Arial"/>
                <w:sz w:val="20"/>
                <w:lang w:eastAsia="sk-SK"/>
              </w:rPr>
              <w:t>/1</w:t>
            </w:r>
          </w:p>
        </w:tc>
      </w:tr>
      <w:tr w:rsidR="001210A3" w:rsidRPr="004A663A" w:rsidTr="001453E6">
        <w:trPr>
          <w:trHeight w:val="313"/>
        </w:trPr>
        <w:tc>
          <w:tcPr>
            <w:tcW w:w="1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rPr>
                <w:rFonts w:eastAsia="Times New Roman" w:cs="Arial"/>
                <w:sz w:val="20"/>
                <w:lang w:eastAsia="sk-SK"/>
              </w:rPr>
            </w:pPr>
            <w:r w:rsidRPr="001210A3">
              <w:rPr>
                <w:rFonts w:eastAsia="Times New Roman" w:cs="Arial"/>
                <w:sz w:val="20"/>
                <w:lang w:eastAsia="sk-SK"/>
              </w:rPr>
              <w:t> </w:t>
            </w:r>
          </w:p>
        </w:tc>
        <w:tc>
          <w:tcPr>
            <w:tcW w:w="6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jc w:val="center"/>
              <w:rPr>
                <w:rFonts w:eastAsia="Times New Roman" w:cs="Arial"/>
                <w:i/>
                <w:sz w:val="20"/>
                <w:lang w:eastAsia="sk-SK"/>
              </w:rPr>
            </w:pPr>
            <w:r w:rsidRPr="00F02F8D">
              <w:rPr>
                <w:rFonts w:eastAsia="Times New Roman" w:cs="Arial"/>
                <w:i/>
                <w:sz w:val="20"/>
                <w:lang w:eastAsia="sk-SK"/>
              </w:rPr>
              <w:t>rok 2014</w:t>
            </w:r>
          </w:p>
        </w:tc>
        <w:tc>
          <w:tcPr>
            <w:tcW w:w="7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jc w:val="center"/>
              <w:rPr>
                <w:rFonts w:eastAsia="Times New Roman" w:cs="Arial"/>
                <w:i/>
                <w:sz w:val="20"/>
                <w:lang w:eastAsia="sk-SK"/>
              </w:rPr>
            </w:pPr>
            <w:r w:rsidRPr="001210A3">
              <w:rPr>
                <w:rFonts w:eastAsia="Times New Roman" w:cs="Arial"/>
                <w:i/>
                <w:sz w:val="20"/>
                <w:lang w:eastAsia="sk-SK"/>
              </w:rPr>
              <w:t>rok 2011</w:t>
            </w: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jc w:val="center"/>
              <w:rPr>
                <w:rFonts w:eastAsia="Times New Roman" w:cs="Arial"/>
                <w:i/>
                <w:sz w:val="20"/>
                <w:lang w:eastAsia="sk-SK"/>
              </w:rPr>
            </w:pPr>
            <w:r w:rsidRPr="001210A3">
              <w:rPr>
                <w:rFonts w:eastAsia="Times New Roman" w:cs="Arial"/>
                <w:i/>
                <w:sz w:val="20"/>
                <w:lang w:eastAsia="sk-SK"/>
              </w:rPr>
              <w:t>rok 2008</w:t>
            </w:r>
          </w:p>
        </w:tc>
        <w:tc>
          <w:tcPr>
            <w:tcW w:w="5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10A3" w:rsidRPr="001210A3" w:rsidRDefault="001210A3" w:rsidP="0033631D">
            <w:pPr>
              <w:spacing w:line="240" w:lineRule="auto"/>
              <w:jc w:val="center"/>
              <w:rPr>
                <w:rFonts w:eastAsia="Times New Roman" w:cs="Arial"/>
                <w:i/>
                <w:sz w:val="20"/>
                <w:lang w:eastAsia="sk-SK"/>
              </w:rPr>
            </w:pPr>
            <w:r w:rsidRPr="00F02F8D">
              <w:rPr>
                <w:rFonts w:eastAsia="Times New Roman" w:cs="Arial"/>
                <w:i/>
                <w:sz w:val="20"/>
                <w:lang w:eastAsia="sk-SK"/>
              </w:rPr>
              <w:t>r</w:t>
            </w:r>
            <w:r w:rsidRPr="001210A3">
              <w:rPr>
                <w:rFonts w:eastAsia="Times New Roman" w:cs="Arial"/>
                <w:i/>
                <w:sz w:val="20"/>
                <w:lang w:eastAsia="sk-SK"/>
              </w:rPr>
              <w:t>ozdiel</w:t>
            </w:r>
            <w:r w:rsidRPr="00F02F8D">
              <w:rPr>
                <w:rFonts w:eastAsia="Times New Roman" w:cs="Arial"/>
                <w:i/>
                <w:sz w:val="20"/>
                <w:lang w:eastAsia="sk-SK"/>
              </w:rPr>
              <w:t xml:space="preserve"> r.2014-r.2011</w:t>
            </w:r>
          </w:p>
        </w:tc>
        <w:tc>
          <w:tcPr>
            <w:tcW w:w="5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10A3" w:rsidRPr="004A663A" w:rsidRDefault="001210A3" w:rsidP="0033631D">
            <w:pPr>
              <w:spacing w:line="240" w:lineRule="auto"/>
              <w:jc w:val="center"/>
              <w:rPr>
                <w:rFonts w:eastAsia="Times New Roman" w:cs="Arial"/>
                <w:i/>
                <w:sz w:val="20"/>
                <w:lang w:eastAsia="sk-SK"/>
              </w:rPr>
            </w:pPr>
            <w:r w:rsidRPr="004A663A">
              <w:rPr>
                <w:rFonts w:eastAsia="Times New Roman" w:cs="Arial"/>
                <w:i/>
                <w:sz w:val="20"/>
                <w:lang w:eastAsia="sk-SK"/>
              </w:rPr>
              <w:t>rozdiel r.2011-r.2008</w:t>
            </w:r>
          </w:p>
        </w:tc>
      </w:tr>
      <w:tr w:rsidR="001210A3" w:rsidRPr="00F02F8D" w:rsidTr="001453E6">
        <w:trPr>
          <w:trHeight w:val="639"/>
        </w:trPr>
        <w:tc>
          <w:tcPr>
            <w:tcW w:w="18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rPr>
                <w:rFonts w:eastAsia="Times New Roman" w:cs="Arial"/>
                <w:b/>
                <w:sz w:val="20"/>
                <w:lang w:eastAsia="sk-SK"/>
              </w:rPr>
            </w:pPr>
            <w:r w:rsidRPr="001210A3">
              <w:rPr>
                <w:rFonts w:eastAsia="Times New Roman" w:cs="Arial"/>
                <w:b/>
                <w:sz w:val="20"/>
                <w:lang w:eastAsia="sk-SK"/>
              </w:rPr>
              <w:t>Európsky poľnohospodársky fond pre rozvoj vidieka</w:t>
            </w:r>
          </w:p>
        </w:tc>
        <w:tc>
          <w:tcPr>
            <w:tcW w:w="6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DE5351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84,0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1210A3">
              <w:rPr>
                <w:rFonts w:eastAsia="Times New Roman" w:cs="Arial"/>
                <w:sz w:val="20"/>
                <w:lang w:eastAsia="sk-SK"/>
              </w:rPr>
              <w:t>23,5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1210A3">
              <w:rPr>
                <w:rFonts w:eastAsia="Times New Roman" w:cs="Arial"/>
                <w:sz w:val="20"/>
                <w:lang w:eastAsia="sk-SK"/>
              </w:rPr>
              <w:t>50,6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10A3" w:rsidRPr="001210A3" w:rsidRDefault="00DE5351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60,5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10A3" w:rsidRPr="00F02F8D" w:rsidRDefault="001210A3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F02F8D">
              <w:rPr>
                <w:rFonts w:eastAsia="Times New Roman" w:cs="Arial"/>
                <w:sz w:val="20"/>
                <w:lang w:eastAsia="sk-SK"/>
              </w:rPr>
              <w:t>-27,1</w:t>
            </w:r>
          </w:p>
        </w:tc>
      </w:tr>
      <w:tr w:rsidR="001210A3" w:rsidRPr="00F02F8D" w:rsidTr="001453E6">
        <w:trPr>
          <w:trHeight w:val="604"/>
        </w:trPr>
        <w:tc>
          <w:tcPr>
            <w:tcW w:w="18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rPr>
                <w:rFonts w:eastAsia="Times New Roman" w:cs="Arial"/>
                <w:b/>
                <w:sz w:val="20"/>
                <w:lang w:eastAsia="sk-SK"/>
              </w:rPr>
            </w:pPr>
            <w:r w:rsidRPr="001210A3">
              <w:rPr>
                <w:rFonts w:eastAsia="Times New Roman" w:cs="Arial"/>
                <w:b/>
                <w:sz w:val="20"/>
                <w:lang w:eastAsia="sk-SK"/>
              </w:rPr>
              <w:t>Európsky fond regionálneho rozvoja</w:t>
            </w:r>
          </w:p>
        </w:tc>
        <w:tc>
          <w:tcPr>
            <w:tcW w:w="6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DE5351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74,0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1210A3">
              <w:rPr>
                <w:rFonts w:eastAsia="Times New Roman" w:cs="Arial"/>
                <w:sz w:val="20"/>
                <w:lang w:eastAsia="sk-SK"/>
              </w:rPr>
              <w:t>52,9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1210A3">
              <w:rPr>
                <w:rFonts w:eastAsia="Times New Roman" w:cs="Arial"/>
                <w:sz w:val="20"/>
                <w:lang w:eastAsia="sk-SK"/>
              </w:rPr>
              <w:t>49,4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10A3" w:rsidRPr="001210A3" w:rsidRDefault="00DE5351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21,1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10A3" w:rsidRPr="00F02F8D" w:rsidRDefault="001210A3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F02F8D">
              <w:rPr>
                <w:rFonts w:eastAsia="Times New Roman" w:cs="Arial"/>
                <w:sz w:val="20"/>
                <w:lang w:eastAsia="sk-SK"/>
              </w:rPr>
              <w:t>3,5</w:t>
            </w:r>
          </w:p>
        </w:tc>
      </w:tr>
      <w:tr w:rsidR="001210A3" w:rsidRPr="00F02F8D" w:rsidTr="001453E6">
        <w:trPr>
          <w:trHeight w:val="515"/>
        </w:trPr>
        <w:tc>
          <w:tcPr>
            <w:tcW w:w="18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rPr>
                <w:rFonts w:eastAsia="Times New Roman" w:cs="Arial"/>
                <w:b/>
                <w:sz w:val="20"/>
                <w:lang w:eastAsia="sk-SK"/>
              </w:rPr>
            </w:pPr>
            <w:r w:rsidRPr="001210A3">
              <w:rPr>
                <w:rFonts w:eastAsia="Times New Roman" w:cs="Arial"/>
                <w:b/>
                <w:sz w:val="20"/>
                <w:lang w:eastAsia="sk-SK"/>
              </w:rPr>
              <w:t>Európsky sociálny fond</w:t>
            </w:r>
          </w:p>
        </w:tc>
        <w:tc>
          <w:tcPr>
            <w:tcW w:w="6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DE5351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48,5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1210A3">
              <w:rPr>
                <w:rFonts w:eastAsia="Times New Roman" w:cs="Arial"/>
                <w:sz w:val="20"/>
                <w:lang w:eastAsia="sk-SK"/>
              </w:rPr>
              <w:t>41,1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1210A3">
              <w:rPr>
                <w:rFonts w:eastAsia="Times New Roman" w:cs="Arial"/>
                <w:sz w:val="20"/>
                <w:lang w:eastAsia="sk-SK"/>
              </w:rPr>
              <w:t>24,1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10A3" w:rsidRPr="001210A3" w:rsidRDefault="00DE5351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7,4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10A3" w:rsidRPr="00F02F8D" w:rsidRDefault="001210A3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F02F8D">
              <w:rPr>
                <w:rFonts w:eastAsia="Times New Roman" w:cs="Arial"/>
                <w:sz w:val="20"/>
                <w:lang w:eastAsia="sk-SK"/>
              </w:rPr>
              <w:t>17</w:t>
            </w:r>
          </w:p>
        </w:tc>
      </w:tr>
      <w:tr w:rsidR="001210A3" w:rsidRPr="00F02F8D" w:rsidTr="001453E6">
        <w:trPr>
          <w:trHeight w:val="423"/>
        </w:trPr>
        <w:tc>
          <w:tcPr>
            <w:tcW w:w="18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rPr>
                <w:rFonts w:eastAsia="Times New Roman" w:cs="Arial"/>
                <w:b/>
                <w:sz w:val="20"/>
                <w:lang w:eastAsia="sk-SK"/>
              </w:rPr>
            </w:pPr>
            <w:r w:rsidRPr="001210A3">
              <w:rPr>
                <w:rFonts w:eastAsia="Times New Roman" w:cs="Arial"/>
                <w:b/>
                <w:sz w:val="20"/>
                <w:lang w:eastAsia="sk-SK"/>
              </w:rPr>
              <w:t>Kohézny fond</w:t>
            </w:r>
          </w:p>
        </w:tc>
        <w:tc>
          <w:tcPr>
            <w:tcW w:w="6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DE5351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28,7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1210A3">
              <w:rPr>
                <w:rFonts w:eastAsia="Times New Roman" w:cs="Arial"/>
                <w:sz w:val="20"/>
                <w:lang w:eastAsia="sk-SK"/>
              </w:rPr>
              <w:t>17,6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1210A3">
              <w:rPr>
                <w:rFonts w:eastAsia="Times New Roman" w:cs="Arial"/>
                <w:sz w:val="20"/>
                <w:lang w:eastAsia="sk-SK"/>
              </w:rPr>
              <w:t>3,6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10A3" w:rsidRPr="001210A3" w:rsidRDefault="00DE5351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11,1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10A3" w:rsidRPr="00F02F8D" w:rsidRDefault="001210A3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F02F8D">
              <w:rPr>
                <w:rFonts w:eastAsia="Times New Roman" w:cs="Arial"/>
                <w:sz w:val="20"/>
                <w:lang w:eastAsia="sk-SK"/>
              </w:rPr>
              <w:t>14</w:t>
            </w:r>
          </w:p>
        </w:tc>
      </w:tr>
      <w:tr w:rsidR="001210A3" w:rsidRPr="00F02F8D" w:rsidTr="001453E6">
        <w:trPr>
          <w:trHeight w:val="402"/>
        </w:trPr>
        <w:tc>
          <w:tcPr>
            <w:tcW w:w="18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rPr>
                <w:rFonts w:eastAsia="Times New Roman" w:cs="Arial"/>
                <w:b/>
                <w:sz w:val="20"/>
                <w:lang w:eastAsia="sk-SK"/>
              </w:rPr>
            </w:pPr>
            <w:r w:rsidRPr="001210A3">
              <w:rPr>
                <w:rFonts w:eastAsia="Times New Roman" w:cs="Arial"/>
                <w:b/>
                <w:sz w:val="20"/>
                <w:lang w:eastAsia="sk-SK"/>
              </w:rPr>
              <w:t>Európsky fond pre rybolov</w:t>
            </w:r>
          </w:p>
        </w:tc>
        <w:tc>
          <w:tcPr>
            <w:tcW w:w="6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DE5351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14,6</w:t>
            </w:r>
          </w:p>
        </w:tc>
        <w:tc>
          <w:tcPr>
            <w:tcW w:w="7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1210A3">
              <w:rPr>
                <w:rFonts w:eastAsia="Times New Roman" w:cs="Arial"/>
                <w:sz w:val="20"/>
                <w:lang w:eastAsia="sk-SK"/>
              </w:rPr>
              <w:t>0,0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210A3" w:rsidRPr="001210A3" w:rsidRDefault="001210A3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1210A3">
              <w:rPr>
                <w:rFonts w:eastAsia="Times New Roman" w:cs="Arial"/>
                <w:sz w:val="20"/>
                <w:lang w:eastAsia="sk-SK"/>
              </w:rPr>
              <w:t>2,4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10A3" w:rsidRPr="001210A3" w:rsidRDefault="00DE5351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14,6</w:t>
            </w:r>
          </w:p>
        </w:tc>
        <w:tc>
          <w:tcPr>
            <w:tcW w:w="5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10A3" w:rsidRPr="00F02F8D" w:rsidRDefault="001210A3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F02F8D">
              <w:rPr>
                <w:rFonts w:eastAsia="Times New Roman" w:cs="Arial"/>
                <w:sz w:val="20"/>
                <w:lang w:eastAsia="sk-SK"/>
              </w:rPr>
              <w:t>-2,4</w:t>
            </w:r>
          </w:p>
        </w:tc>
      </w:tr>
    </w:tbl>
    <w:p w:rsidR="004A663A" w:rsidRDefault="004A663A" w:rsidP="0033631D">
      <w:pPr>
        <w:pStyle w:val="Zkladntext3"/>
        <w:rPr>
          <w:rFonts w:cs="Arial"/>
          <w:i/>
          <w:sz w:val="20"/>
          <w:szCs w:val="22"/>
          <w:lang w:eastAsia="sk-SK"/>
        </w:rPr>
      </w:pPr>
    </w:p>
    <w:p w:rsidR="004A663A" w:rsidRPr="00B634C4" w:rsidRDefault="004A663A" w:rsidP="0033631D">
      <w:pPr>
        <w:pStyle w:val="Zkladntext3"/>
        <w:rPr>
          <w:rFonts w:cs="Arial"/>
          <w:i/>
          <w:sz w:val="20"/>
          <w:szCs w:val="22"/>
          <w:lang w:eastAsia="sk-SK"/>
        </w:rPr>
      </w:pPr>
      <w:r w:rsidRPr="00B634C4">
        <w:rPr>
          <w:rFonts w:cs="Arial"/>
          <w:i/>
          <w:sz w:val="20"/>
          <w:szCs w:val="22"/>
          <w:lang w:eastAsia="sk-SK"/>
        </w:rPr>
        <w:t>/1 vzhľadom na možnosť viacerých odpovedí súčet percent presahuje 100</w:t>
      </w:r>
    </w:p>
    <w:p w:rsidR="004A663A" w:rsidRDefault="004A663A" w:rsidP="0033631D">
      <w:pPr>
        <w:rPr>
          <w:rFonts w:cs="Arial"/>
          <w:sz w:val="20"/>
        </w:rPr>
      </w:pPr>
    </w:p>
    <w:p w:rsidR="00B634C4" w:rsidRDefault="00B634C4" w:rsidP="0033631D">
      <w:pPr>
        <w:rPr>
          <w:rFonts w:cs="Arial"/>
          <w:sz w:val="20"/>
        </w:rPr>
      </w:pPr>
    </w:p>
    <w:p w:rsidR="00B634C4" w:rsidRDefault="00B634C4" w:rsidP="0033631D">
      <w:pPr>
        <w:rPr>
          <w:rFonts w:cs="Arial"/>
          <w:sz w:val="20"/>
        </w:rPr>
      </w:pPr>
    </w:p>
    <w:p w:rsidR="005F1388" w:rsidRPr="00BC4524" w:rsidRDefault="005F1388" w:rsidP="0033631D">
      <w:pPr>
        <w:pStyle w:val="popis2"/>
      </w:pPr>
      <w:r w:rsidRPr="004A663A">
        <w:lastRenderedPageBreak/>
        <w:t xml:space="preserve">Graf č. </w:t>
      </w:r>
      <w:r w:rsidR="00647D11">
        <w:fldChar w:fldCharType="begin"/>
      </w:r>
      <w:r w:rsidR="00E80D30">
        <w:instrText xml:space="preserve"> SEQ Graf \* ARABIC </w:instrText>
      </w:r>
      <w:r w:rsidR="00647D11">
        <w:fldChar w:fldCharType="separate"/>
      </w:r>
      <w:r w:rsidR="008B1877">
        <w:rPr>
          <w:noProof/>
        </w:rPr>
        <w:t>25</w:t>
      </w:r>
      <w:r w:rsidR="00647D11">
        <w:rPr>
          <w:noProof/>
        </w:rPr>
        <w:fldChar w:fldCharType="end"/>
      </w:r>
      <w:r w:rsidRPr="004A663A">
        <w:t xml:space="preserve">: </w:t>
      </w:r>
      <w:r w:rsidR="004A663A" w:rsidRPr="004A663A">
        <w:t xml:space="preserve">Znalosť možnosti financovania projektov v konkrétnych oblastiach </w:t>
      </w:r>
    </w:p>
    <w:p w:rsidR="004A663A" w:rsidRPr="003342D1" w:rsidRDefault="00952D33" w:rsidP="0033631D">
      <w:pPr>
        <w:pStyle w:val="Bezriadkovania"/>
      </w:pPr>
      <w:r w:rsidRPr="003342D1">
        <w:t>Q3</w:t>
      </w:r>
      <w:r w:rsidR="004A663A" w:rsidRPr="003342D1">
        <w:t xml:space="preserve">, </w:t>
      </w:r>
      <w:r w:rsidR="00DE5351" w:rsidRPr="003342D1">
        <w:t>N=500</w:t>
      </w:r>
    </w:p>
    <w:p w:rsidR="004A663A" w:rsidRDefault="004A663A" w:rsidP="0033631D">
      <w:pPr>
        <w:pStyle w:val="Bezriadkovania"/>
        <w:rPr>
          <w:b/>
        </w:rPr>
      </w:pPr>
    </w:p>
    <w:p w:rsidR="00952D33" w:rsidRDefault="00434B31" w:rsidP="0033631D">
      <w:pPr>
        <w:pStyle w:val="Bezriadkovania"/>
      </w:pPr>
      <w:r w:rsidRPr="0012644D">
        <w:rPr>
          <w:noProof/>
          <w:szCs w:val="20"/>
          <w:lang w:eastAsia="sk-SK"/>
        </w:rPr>
        <w:drawing>
          <wp:inline distT="0" distB="0" distL="0" distR="0" wp14:anchorId="78A3911D" wp14:editId="3602F6C1">
            <wp:extent cx="5486400" cy="4543425"/>
            <wp:effectExtent l="0" t="0" r="19050" b="9525"/>
            <wp:docPr id="13" name="Graf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B634C4" w:rsidRDefault="00B634C4" w:rsidP="0033631D">
      <w:pPr>
        <w:rPr>
          <w:rFonts w:cs="Arial"/>
          <w:sz w:val="20"/>
        </w:rPr>
      </w:pPr>
    </w:p>
    <w:p w:rsidR="00B634C4" w:rsidRDefault="00B634C4" w:rsidP="0033631D">
      <w:pPr>
        <w:rPr>
          <w:rFonts w:cs="Arial"/>
          <w:sz w:val="20"/>
        </w:rPr>
      </w:pPr>
    </w:p>
    <w:p w:rsidR="00B634C4" w:rsidRDefault="00B634C4" w:rsidP="0033631D">
      <w:pPr>
        <w:rPr>
          <w:rFonts w:cs="Arial"/>
          <w:sz w:val="20"/>
        </w:rPr>
      </w:pPr>
    </w:p>
    <w:p w:rsidR="00B634C4" w:rsidRDefault="00B634C4" w:rsidP="0033631D">
      <w:pPr>
        <w:rPr>
          <w:rFonts w:cs="Arial"/>
          <w:sz w:val="20"/>
        </w:rPr>
      </w:pPr>
    </w:p>
    <w:p w:rsidR="00B634C4" w:rsidRDefault="00B634C4" w:rsidP="0033631D">
      <w:pPr>
        <w:rPr>
          <w:rFonts w:cs="Arial"/>
          <w:sz w:val="20"/>
        </w:rPr>
      </w:pPr>
    </w:p>
    <w:p w:rsidR="00B634C4" w:rsidRDefault="00B634C4" w:rsidP="0033631D">
      <w:pPr>
        <w:rPr>
          <w:rFonts w:cs="Arial"/>
          <w:sz w:val="20"/>
        </w:rPr>
      </w:pPr>
    </w:p>
    <w:p w:rsidR="00B634C4" w:rsidRDefault="00B634C4" w:rsidP="0033631D">
      <w:pPr>
        <w:rPr>
          <w:rFonts w:cs="Arial"/>
          <w:sz w:val="20"/>
        </w:rPr>
      </w:pPr>
    </w:p>
    <w:p w:rsidR="00B634C4" w:rsidRDefault="00B634C4" w:rsidP="0033631D">
      <w:pPr>
        <w:rPr>
          <w:rFonts w:cs="Arial"/>
          <w:sz w:val="20"/>
        </w:rPr>
      </w:pPr>
    </w:p>
    <w:p w:rsidR="00B634C4" w:rsidRDefault="00B634C4" w:rsidP="0033631D">
      <w:pPr>
        <w:rPr>
          <w:rFonts w:cs="Arial"/>
          <w:sz w:val="20"/>
        </w:rPr>
      </w:pPr>
    </w:p>
    <w:p w:rsidR="00B634C4" w:rsidRDefault="00B634C4" w:rsidP="0033631D">
      <w:pPr>
        <w:rPr>
          <w:rFonts w:cs="Arial"/>
          <w:sz w:val="20"/>
        </w:rPr>
      </w:pPr>
    </w:p>
    <w:p w:rsidR="00B634C4" w:rsidRDefault="00B634C4" w:rsidP="0033631D">
      <w:pPr>
        <w:rPr>
          <w:rFonts w:cs="Arial"/>
          <w:sz w:val="20"/>
        </w:rPr>
      </w:pPr>
    </w:p>
    <w:p w:rsidR="00B634C4" w:rsidRDefault="00B634C4" w:rsidP="0033631D">
      <w:pPr>
        <w:rPr>
          <w:rFonts w:cs="Arial"/>
          <w:sz w:val="20"/>
        </w:rPr>
      </w:pPr>
    </w:p>
    <w:p w:rsidR="00B634C4" w:rsidRDefault="00B634C4" w:rsidP="0033631D">
      <w:pPr>
        <w:rPr>
          <w:rFonts w:cs="Arial"/>
          <w:sz w:val="20"/>
        </w:rPr>
      </w:pPr>
    </w:p>
    <w:p w:rsidR="005F1388" w:rsidRPr="00293AE1" w:rsidRDefault="005F1388" w:rsidP="0033631D">
      <w:pPr>
        <w:pStyle w:val="Popis"/>
      </w:pPr>
      <w:r w:rsidRPr="00860BFE">
        <w:lastRenderedPageBreak/>
        <w:t xml:space="preserve">Tabuľka č. </w:t>
      </w:r>
      <w:r w:rsidR="00647D11">
        <w:fldChar w:fldCharType="begin"/>
      </w:r>
      <w:r w:rsidR="00E80D30">
        <w:instrText xml:space="preserve"> SEQ Tabuľka \* ARABIC </w:instrText>
      </w:r>
      <w:r w:rsidR="00647D11">
        <w:fldChar w:fldCharType="separate"/>
      </w:r>
      <w:r w:rsidR="008B1877">
        <w:rPr>
          <w:noProof/>
        </w:rPr>
        <w:t>16</w:t>
      </w:r>
      <w:r w:rsidR="00647D11">
        <w:rPr>
          <w:noProof/>
        </w:rPr>
        <w:fldChar w:fldCharType="end"/>
      </w:r>
      <w:r w:rsidRPr="00860BFE">
        <w:t xml:space="preserve">: </w:t>
      </w:r>
      <w:r w:rsidR="00052075" w:rsidRPr="00860BFE">
        <w:t>Znalosť možnosti financovania projektov v konkrétnych oblastiach</w:t>
      </w:r>
    </w:p>
    <w:p w:rsidR="00052075" w:rsidRDefault="00052075" w:rsidP="0033631D">
      <w:pPr>
        <w:pStyle w:val="Bezriadkovania"/>
      </w:pPr>
    </w:p>
    <w:p w:rsidR="00434B31" w:rsidRDefault="00D829E4" w:rsidP="0033631D">
      <w:pPr>
        <w:pStyle w:val="Bezriadkovania"/>
      </w:pPr>
      <w:r w:rsidRPr="00E80D30">
        <w:t>Q3</w:t>
      </w:r>
      <w:r w:rsidR="00860BFE" w:rsidRPr="00E80D30">
        <w:t>, N=</w:t>
      </w:r>
      <w:r w:rsidR="00E80D30" w:rsidRPr="00E80D30">
        <w:t>500</w:t>
      </w:r>
    </w:p>
    <w:p w:rsidR="00052075" w:rsidRDefault="00052075" w:rsidP="0033631D">
      <w:pPr>
        <w:pStyle w:val="Bezriadkovania"/>
      </w:pPr>
    </w:p>
    <w:tbl>
      <w:tblPr>
        <w:tblW w:w="5026" w:type="pct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33"/>
        <w:gridCol w:w="1141"/>
        <w:gridCol w:w="1141"/>
        <w:gridCol w:w="1141"/>
        <w:gridCol w:w="1139"/>
        <w:gridCol w:w="1065"/>
      </w:tblGrid>
      <w:tr w:rsidR="00434B31" w:rsidRPr="00F02F8D" w:rsidTr="008E2C96">
        <w:trPr>
          <w:trHeight w:val="770"/>
        </w:trPr>
        <w:tc>
          <w:tcPr>
            <w:tcW w:w="4999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3B3B3"/>
            <w:noWrap/>
            <w:vAlign w:val="bottom"/>
          </w:tcPr>
          <w:p w:rsidR="00434B31" w:rsidRPr="00434B31" w:rsidRDefault="00434B31" w:rsidP="0033631D">
            <w:pPr>
              <w:spacing w:line="276" w:lineRule="auto"/>
              <w:rPr>
                <w:rFonts w:eastAsia="Times New Roman" w:cs="Arial"/>
                <w:sz w:val="20"/>
                <w:szCs w:val="20"/>
                <w:lang w:eastAsia="sk-SK"/>
              </w:rPr>
            </w:pPr>
          </w:p>
          <w:p w:rsidR="00434B31" w:rsidRPr="00434B31" w:rsidRDefault="00434B31" w:rsidP="0033631D">
            <w:pPr>
              <w:spacing w:line="276" w:lineRule="auto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  <w:r w:rsidRPr="00434B31">
              <w:rPr>
                <w:rFonts w:eastAsia="Times New Roman" w:cs="Arial"/>
                <w:b/>
                <w:sz w:val="20"/>
                <w:szCs w:val="20"/>
                <w:lang w:eastAsia="sk-SK"/>
              </w:rPr>
              <w:t>Aké projekty je možné financovať z operačných programov, teda z fondov Európskej únie určených pre Slovensko?</w:t>
            </w:r>
          </w:p>
          <w:p w:rsidR="00434B31" w:rsidRPr="00F02F8D" w:rsidRDefault="00434B31" w:rsidP="0033631D">
            <w:pPr>
              <w:spacing w:line="276" w:lineRule="auto"/>
              <w:jc w:val="right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434B31">
              <w:rPr>
                <w:rFonts w:eastAsia="Times New Roman" w:cs="Arial"/>
                <w:sz w:val="20"/>
                <w:szCs w:val="20"/>
                <w:lang w:eastAsia="sk-SK"/>
              </w:rPr>
              <w:t>/1</w:t>
            </w:r>
          </w:p>
        </w:tc>
      </w:tr>
      <w:tr w:rsidR="00F02F8D" w:rsidRPr="00F02F8D" w:rsidTr="006A4AC1">
        <w:trPr>
          <w:trHeight w:val="250"/>
        </w:trPr>
        <w:tc>
          <w:tcPr>
            <w:tcW w:w="19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34B31" w:rsidRPr="00434B31" w:rsidRDefault="00434B31" w:rsidP="0033631D">
            <w:pPr>
              <w:spacing w:line="276" w:lineRule="auto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434B31">
              <w:rPr>
                <w:rFonts w:eastAsia="Times New Roman" w:cs="Arial"/>
                <w:sz w:val="20"/>
                <w:szCs w:val="20"/>
                <w:lang w:eastAsia="sk-SK"/>
              </w:rPr>
              <w:t> 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34B31" w:rsidRPr="00434B31" w:rsidRDefault="00434B31" w:rsidP="0033631D">
            <w:pPr>
              <w:spacing w:line="276" w:lineRule="auto"/>
              <w:jc w:val="center"/>
              <w:rPr>
                <w:rFonts w:eastAsia="Times New Roman" w:cs="Arial"/>
                <w:i/>
                <w:sz w:val="20"/>
                <w:szCs w:val="20"/>
                <w:lang w:eastAsia="sk-SK"/>
              </w:rPr>
            </w:pPr>
            <w:r w:rsidRPr="00F02F8D">
              <w:rPr>
                <w:rFonts w:eastAsia="Times New Roman" w:cs="Arial"/>
                <w:i/>
                <w:sz w:val="20"/>
                <w:szCs w:val="20"/>
                <w:lang w:eastAsia="sk-SK"/>
              </w:rPr>
              <w:t>rok 2014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34B31" w:rsidRPr="00434B31" w:rsidRDefault="00434B31" w:rsidP="0033631D">
            <w:pPr>
              <w:spacing w:line="276" w:lineRule="auto"/>
              <w:jc w:val="center"/>
              <w:rPr>
                <w:rFonts w:eastAsia="Times New Roman" w:cs="Arial"/>
                <w:i/>
                <w:sz w:val="20"/>
                <w:szCs w:val="20"/>
                <w:lang w:eastAsia="sk-SK"/>
              </w:rPr>
            </w:pPr>
            <w:r w:rsidRPr="00434B31">
              <w:rPr>
                <w:rFonts w:eastAsia="Times New Roman" w:cs="Arial"/>
                <w:i/>
                <w:sz w:val="20"/>
                <w:szCs w:val="20"/>
                <w:lang w:eastAsia="sk-SK"/>
              </w:rPr>
              <w:t>rok 2011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34B31" w:rsidRPr="00434B31" w:rsidRDefault="00434B31" w:rsidP="0033631D">
            <w:pPr>
              <w:spacing w:line="276" w:lineRule="auto"/>
              <w:jc w:val="center"/>
              <w:rPr>
                <w:rFonts w:eastAsia="Times New Roman" w:cs="Arial"/>
                <w:i/>
                <w:sz w:val="20"/>
                <w:szCs w:val="20"/>
                <w:lang w:eastAsia="sk-SK"/>
              </w:rPr>
            </w:pPr>
            <w:r w:rsidRPr="00434B31">
              <w:rPr>
                <w:rFonts w:eastAsia="Times New Roman" w:cs="Arial"/>
                <w:i/>
                <w:sz w:val="20"/>
                <w:szCs w:val="20"/>
                <w:lang w:eastAsia="sk-SK"/>
              </w:rPr>
              <w:t>rok 2008</w:t>
            </w:r>
          </w:p>
        </w:tc>
        <w:tc>
          <w:tcPr>
            <w:tcW w:w="6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34B31" w:rsidRPr="001210A3" w:rsidRDefault="00434B31" w:rsidP="0033631D">
            <w:pPr>
              <w:spacing w:line="276" w:lineRule="auto"/>
              <w:jc w:val="center"/>
              <w:rPr>
                <w:rFonts w:eastAsia="Times New Roman" w:cs="Arial"/>
                <w:i/>
                <w:sz w:val="20"/>
                <w:szCs w:val="20"/>
                <w:lang w:eastAsia="sk-SK"/>
              </w:rPr>
            </w:pPr>
            <w:r w:rsidRPr="00F02F8D">
              <w:rPr>
                <w:rFonts w:eastAsia="Times New Roman" w:cs="Arial"/>
                <w:i/>
                <w:sz w:val="20"/>
                <w:szCs w:val="20"/>
                <w:lang w:eastAsia="sk-SK"/>
              </w:rPr>
              <w:t>r</w:t>
            </w:r>
            <w:r w:rsidRPr="001210A3">
              <w:rPr>
                <w:rFonts w:eastAsia="Times New Roman" w:cs="Arial"/>
                <w:i/>
                <w:sz w:val="20"/>
                <w:szCs w:val="20"/>
                <w:lang w:eastAsia="sk-SK"/>
              </w:rPr>
              <w:t>ozdiel</w:t>
            </w:r>
            <w:r w:rsidRPr="00F02F8D">
              <w:rPr>
                <w:rFonts w:eastAsia="Times New Roman" w:cs="Arial"/>
                <w:i/>
                <w:sz w:val="20"/>
                <w:szCs w:val="20"/>
                <w:lang w:eastAsia="sk-SK"/>
              </w:rPr>
              <w:t xml:space="preserve"> r.2014-r.2011</w:t>
            </w:r>
          </w:p>
        </w:tc>
        <w:tc>
          <w:tcPr>
            <w:tcW w:w="5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34B31" w:rsidRPr="00F02F8D" w:rsidRDefault="00434B31" w:rsidP="0033631D">
            <w:pPr>
              <w:spacing w:line="276" w:lineRule="auto"/>
              <w:jc w:val="center"/>
              <w:rPr>
                <w:rFonts w:eastAsia="Times New Roman" w:cs="Arial"/>
                <w:i/>
                <w:sz w:val="20"/>
                <w:szCs w:val="20"/>
                <w:lang w:eastAsia="sk-SK"/>
              </w:rPr>
            </w:pPr>
            <w:r w:rsidRPr="00F02F8D">
              <w:rPr>
                <w:rFonts w:eastAsia="Times New Roman" w:cs="Arial"/>
                <w:i/>
                <w:sz w:val="20"/>
                <w:szCs w:val="20"/>
                <w:lang w:eastAsia="sk-SK"/>
              </w:rPr>
              <w:t>rozdiel r.2011-r.2008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opravy historických budov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69,6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4,9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5,8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64,7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-0,9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pomoc v oblasti zamestnanosti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68,0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4,1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4,8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63,9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-0,7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športové projekty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68,6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4,9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63,7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3,9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budovanie kanalizácie, čistiareň odpadových ...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73,0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9,8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14,2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63,2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-4,4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výskum a vývoj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65,6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4,1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2,2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61,5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1,9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poľnohospodárstvo, priemysel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75,6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15,6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10,2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kultúra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66,0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7,4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1,6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58,6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5,8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rozvoj obce, rozvoj regiónu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83,2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25,4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3,0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57,8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22,4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práca so zdravotne postihnutými ľuďmi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60,8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3,3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57,5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2,3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sociálna pomoc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59,8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4,1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0,6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55,7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3,5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cestovný ruch, turizmus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63,8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9,0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3,8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54,8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5,2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životné prostredie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69,8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15,6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15,2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54,2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0,4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práca s Rómami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58,4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4,9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2,6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53,5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2,3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vzdelávanie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78,6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27,0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18,0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51,6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9,0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zdravotníctvo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60,2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9,0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11,2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51,2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-2,2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budovanie ciest, diaľnic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80,2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29,5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20,0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50,7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9,5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podnikanie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56,4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1,8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50,7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3,9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informatizácia spoločnosti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46,4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44,8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0,4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podpora bývania, opravy domov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56,2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13,1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2,6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43,1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10,5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podpora zavedenia internetu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38,2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0,6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36,6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1,0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technická pomoc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37,2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3,3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3,0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33,9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0,3</w:t>
            </w:r>
          </w:p>
        </w:tc>
      </w:tr>
      <w:tr w:rsidR="00DE5351" w:rsidRPr="00F02F8D" w:rsidTr="006A4AC1">
        <w:trPr>
          <w:trHeight w:val="250"/>
        </w:trPr>
        <w:tc>
          <w:tcPr>
            <w:tcW w:w="19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iné: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2,6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1,8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-3,1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351" w:rsidRDefault="00DE5351" w:rsidP="0033631D">
            <w:pPr>
              <w:spacing w:line="276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3,9</w:t>
            </w:r>
          </w:p>
        </w:tc>
      </w:tr>
    </w:tbl>
    <w:p w:rsidR="00B634C4" w:rsidRPr="00B634C4" w:rsidRDefault="00B634C4" w:rsidP="0033631D">
      <w:pPr>
        <w:pStyle w:val="Zkladntext3"/>
        <w:rPr>
          <w:rFonts w:cs="Arial"/>
          <w:i/>
          <w:sz w:val="20"/>
          <w:szCs w:val="22"/>
          <w:lang w:eastAsia="sk-SK"/>
        </w:rPr>
      </w:pPr>
      <w:r w:rsidRPr="00B634C4">
        <w:rPr>
          <w:rFonts w:cs="Arial"/>
          <w:i/>
          <w:sz w:val="20"/>
          <w:szCs w:val="22"/>
          <w:lang w:eastAsia="sk-SK"/>
        </w:rPr>
        <w:t>/1 vzhľadom na možnosť viacerých odpovedí súčet percent presahuje 100</w:t>
      </w:r>
    </w:p>
    <w:p w:rsidR="00BD60A8" w:rsidRDefault="00BD60A8" w:rsidP="0033631D">
      <w:pPr>
        <w:rPr>
          <w:rFonts w:cs="Arial"/>
          <w:sz w:val="20"/>
        </w:rPr>
      </w:pPr>
    </w:p>
    <w:p w:rsidR="00860BFE" w:rsidRDefault="00860BFE" w:rsidP="0033631D">
      <w:pPr>
        <w:rPr>
          <w:rFonts w:cs="Arial"/>
          <w:sz w:val="20"/>
        </w:rPr>
      </w:pPr>
    </w:p>
    <w:p w:rsidR="00860BFE" w:rsidRDefault="00860BFE" w:rsidP="0033631D">
      <w:pPr>
        <w:spacing w:after="200" w:line="276" w:lineRule="auto"/>
        <w:jc w:val="left"/>
        <w:rPr>
          <w:rFonts w:cs="Arial"/>
          <w:sz w:val="20"/>
        </w:rPr>
      </w:pPr>
      <w:r>
        <w:rPr>
          <w:rFonts w:cs="Arial"/>
          <w:sz w:val="20"/>
        </w:rPr>
        <w:br w:type="page"/>
      </w:r>
    </w:p>
    <w:p w:rsidR="00860BFE" w:rsidRDefault="00860BFE" w:rsidP="0033631D">
      <w:r w:rsidRPr="00236536">
        <w:lastRenderedPageBreak/>
        <w:t xml:space="preserve">Čo sa týka povedomia o nejakých konkrétnych realizovaných projektoch financovaných z Európskej únie, </w:t>
      </w:r>
      <w:r w:rsidR="007812D9" w:rsidRPr="00236536">
        <w:t xml:space="preserve">viac ako </w:t>
      </w:r>
      <w:r w:rsidR="001742CA" w:rsidRPr="00236536">
        <w:t>dve tretiny slovenskej verejnosti vie o nejakom konkrétnom projekte</w:t>
      </w:r>
      <w:r w:rsidR="000A611F" w:rsidRPr="00236536">
        <w:t>. Najviac ľudia poznajú projekty týkajúce sa financovania budovania ciest a diaľnic (43 %), na druhom mieste je financovanie rozvoja obcí a vidieka (40%) a treťou najznámejšou oblasťou je budovanie kanalizácií a čističiek odpadových vôd</w:t>
      </w:r>
      <w:r w:rsidR="0087393C" w:rsidRPr="00236536">
        <w:t xml:space="preserve"> (29 %)</w:t>
      </w:r>
      <w:r w:rsidR="000A611F" w:rsidRPr="00236536">
        <w:t>.</w:t>
      </w:r>
      <w:r w:rsidR="000A611F">
        <w:t xml:space="preserve"> </w:t>
      </w:r>
    </w:p>
    <w:p w:rsidR="00860BFE" w:rsidRDefault="00860BFE" w:rsidP="0033631D"/>
    <w:p w:rsidR="005F1388" w:rsidRPr="00BC4524" w:rsidRDefault="005F1388" w:rsidP="0033631D">
      <w:pPr>
        <w:pStyle w:val="popis2"/>
      </w:pPr>
      <w:r w:rsidRPr="00BD4C2E">
        <w:t xml:space="preserve">Graf č. </w:t>
      </w:r>
      <w:r w:rsidR="00647D11">
        <w:fldChar w:fldCharType="begin"/>
      </w:r>
      <w:r w:rsidR="00E80D30">
        <w:instrText xml:space="preserve"> SEQ Graf \* ARABIC </w:instrText>
      </w:r>
      <w:r w:rsidR="00647D11">
        <w:fldChar w:fldCharType="separate"/>
      </w:r>
      <w:r w:rsidR="008B1877">
        <w:rPr>
          <w:noProof/>
        </w:rPr>
        <w:t>26</w:t>
      </w:r>
      <w:r w:rsidR="00647D11">
        <w:rPr>
          <w:noProof/>
        </w:rPr>
        <w:fldChar w:fldCharType="end"/>
      </w:r>
      <w:r w:rsidRPr="00BD4C2E">
        <w:t xml:space="preserve">: </w:t>
      </w:r>
      <w:r w:rsidR="000810C4" w:rsidRPr="00BD4C2E">
        <w:t>Povedomie o konkrétnych realizovaných projektoch financovaných z EÚ, podľa krajov</w:t>
      </w:r>
    </w:p>
    <w:p w:rsidR="005226FB" w:rsidRDefault="000810C4" w:rsidP="0033631D">
      <w:pPr>
        <w:pStyle w:val="Bezriadkovania"/>
        <w:rPr>
          <w:rFonts w:cs="Arial"/>
        </w:rPr>
      </w:pPr>
      <w:r w:rsidRPr="000810C4">
        <w:rPr>
          <w:rFonts w:cs="Arial"/>
        </w:rPr>
        <w:t xml:space="preserve">Q4, </w:t>
      </w:r>
      <w:r w:rsidR="006A4AC1" w:rsidRPr="000810C4">
        <w:rPr>
          <w:rFonts w:cs="Arial"/>
        </w:rPr>
        <w:t>N=500</w:t>
      </w:r>
    </w:p>
    <w:p w:rsidR="000810C4" w:rsidRPr="000810C4" w:rsidRDefault="000810C4" w:rsidP="0033631D">
      <w:pPr>
        <w:pStyle w:val="Bezriadkovania"/>
      </w:pPr>
    </w:p>
    <w:p w:rsidR="00D776B9" w:rsidRDefault="00D776B9" w:rsidP="0033631D">
      <w:pPr>
        <w:rPr>
          <w:rFonts w:cs="Arial"/>
          <w:sz w:val="20"/>
        </w:rPr>
      </w:pPr>
      <w:r w:rsidRPr="0012644D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2AC10F46" wp14:editId="4B73BD02">
            <wp:extent cx="5486400" cy="3305175"/>
            <wp:effectExtent l="0" t="0" r="19050" b="9525"/>
            <wp:docPr id="15" name="Graf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A10674" w:rsidRDefault="00A10674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5F1388" w:rsidRDefault="005F1388" w:rsidP="0033631D">
      <w:pPr>
        <w:pStyle w:val="popis2"/>
      </w:pPr>
      <w:r w:rsidRPr="001742CA">
        <w:lastRenderedPageBreak/>
        <w:t xml:space="preserve">Graf č. </w:t>
      </w:r>
      <w:r w:rsidR="00647D11">
        <w:fldChar w:fldCharType="begin"/>
      </w:r>
      <w:r w:rsidR="00E80D30">
        <w:instrText xml:space="preserve"> SEQ Graf \* ARABIC </w:instrText>
      </w:r>
      <w:r w:rsidR="00647D11">
        <w:fldChar w:fldCharType="separate"/>
      </w:r>
      <w:r w:rsidR="008B1877">
        <w:rPr>
          <w:noProof/>
        </w:rPr>
        <w:t>27</w:t>
      </w:r>
      <w:r w:rsidR="00647D11">
        <w:rPr>
          <w:noProof/>
        </w:rPr>
        <w:fldChar w:fldCharType="end"/>
      </w:r>
      <w:r w:rsidR="0044588F" w:rsidRPr="001742CA">
        <w:t>: Povedomie o oblasti realizácie konkrétnych realizovaných projekto</w:t>
      </w:r>
      <w:r w:rsidR="001742CA">
        <w:t>v</w:t>
      </w:r>
      <w:r w:rsidR="0044588F" w:rsidRPr="001742CA">
        <w:t xml:space="preserve"> financovaných z EÚ</w:t>
      </w:r>
    </w:p>
    <w:p w:rsidR="00BD4C2E" w:rsidRDefault="00BD4C2E" w:rsidP="0033631D">
      <w:pPr>
        <w:pStyle w:val="Bezriadkovania"/>
      </w:pPr>
      <w:r w:rsidRPr="00BD4C2E">
        <w:t xml:space="preserve">Q4a, </w:t>
      </w:r>
      <w:r w:rsidR="006A4AC1" w:rsidRPr="00BD4C2E">
        <w:t>N=338</w:t>
      </w:r>
    </w:p>
    <w:p w:rsidR="00A97065" w:rsidRDefault="00A97065" w:rsidP="0033631D">
      <w:pPr>
        <w:pStyle w:val="Bezriadkovania"/>
      </w:pPr>
      <w:r w:rsidRPr="0012644D">
        <w:rPr>
          <w:noProof/>
          <w:szCs w:val="20"/>
          <w:lang w:eastAsia="sk-SK"/>
        </w:rPr>
        <w:drawing>
          <wp:inline distT="0" distB="0" distL="0" distR="0" wp14:anchorId="3226C1A1" wp14:editId="13DF1768">
            <wp:extent cx="5486400" cy="4371975"/>
            <wp:effectExtent l="0" t="0" r="19050" b="9525"/>
            <wp:docPr id="14" name="Graf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BD4C2E" w:rsidRDefault="00BD4C2E" w:rsidP="0033631D">
      <w:pPr>
        <w:rPr>
          <w:highlight w:val="yellow"/>
        </w:rPr>
      </w:pPr>
    </w:p>
    <w:p w:rsidR="005F1388" w:rsidRDefault="005F1388" w:rsidP="0033631D">
      <w:pPr>
        <w:pStyle w:val="Popis"/>
      </w:pPr>
      <w:r w:rsidRPr="00E57EBA">
        <w:t xml:space="preserve">Tabuľka č. </w:t>
      </w:r>
      <w:r w:rsidR="00647D11">
        <w:fldChar w:fldCharType="begin"/>
      </w:r>
      <w:r w:rsidR="00E80D30">
        <w:instrText xml:space="preserve"> SEQ Tabuľka \* ARABIC </w:instrText>
      </w:r>
      <w:r w:rsidR="00647D11">
        <w:fldChar w:fldCharType="separate"/>
      </w:r>
      <w:r w:rsidR="008B1877">
        <w:rPr>
          <w:noProof/>
        </w:rPr>
        <w:t>17</w:t>
      </w:r>
      <w:r w:rsidR="00647D11">
        <w:rPr>
          <w:noProof/>
        </w:rPr>
        <w:fldChar w:fldCharType="end"/>
      </w:r>
      <w:r w:rsidRPr="00E57EBA">
        <w:t xml:space="preserve">: </w:t>
      </w:r>
      <w:r w:rsidR="00E57EBA" w:rsidRPr="00E57EBA">
        <w:t>Povedomie o oblasti realizácie konkrétnych realizovaných projektov financovaných z EÚ</w:t>
      </w:r>
    </w:p>
    <w:p w:rsidR="00E57EBA" w:rsidRDefault="00E57EBA" w:rsidP="0033631D">
      <w:pPr>
        <w:pStyle w:val="Bezriadkovania"/>
      </w:pPr>
    </w:p>
    <w:p w:rsidR="00E57EBA" w:rsidRDefault="00E57EBA" w:rsidP="0033631D">
      <w:pPr>
        <w:pStyle w:val="Bezriadkovania"/>
      </w:pPr>
      <w:r w:rsidRPr="00BD4C2E">
        <w:t>Q4a, N=338</w:t>
      </w:r>
    </w:p>
    <w:p w:rsidR="00D829E4" w:rsidRPr="00E57EBA" w:rsidRDefault="00D829E4" w:rsidP="0033631D">
      <w:pPr>
        <w:pStyle w:val="Bezriadkovania"/>
      </w:pPr>
    </w:p>
    <w:tbl>
      <w:tblPr>
        <w:tblW w:w="9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81"/>
        <w:gridCol w:w="992"/>
        <w:gridCol w:w="993"/>
        <w:gridCol w:w="992"/>
        <w:gridCol w:w="992"/>
        <w:gridCol w:w="992"/>
      </w:tblGrid>
      <w:tr w:rsidR="00D829E4" w:rsidRPr="00D829E4" w:rsidTr="009F5D04">
        <w:trPr>
          <w:trHeight w:val="704"/>
        </w:trPr>
        <w:tc>
          <w:tcPr>
            <w:tcW w:w="9142" w:type="dxa"/>
            <w:gridSpan w:val="6"/>
            <w:shd w:val="clear" w:color="auto" w:fill="B3B3B3"/>
            <w:noWrap/>
            <w:vAlign w:val="bottom"/>
          </w:tcPr>
          <w:p w:rsidR="00D829E4" w:rsidRPr="00E55A62" w:rsidRDefault="00D829E4" w:rsidP="0033631D">
            <w:pPr>
              <w:spacing w:line="240" w:lineRule="auto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</w:p>
          <w:p w:rsidR="00D829E4" w:rsidRPr="00E55A62" w:rsidRDefault="00D829E4" w:rsidP="0033631D">
            <w:pPr>
              <w:spacing w:line="240" w:lineRule="auto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  <w:r w:rsidRPr="00E55A62">
              <w:rPr>
                <w:rFonts w:eastAsia="Times New Roman" w:cs="Arial"/>
                <w:b/>
                <w:sz w:val="20"/>
                <w:szCs w:val="20"/>
                <w:lang w:eastAsia="sk-SK"/>
              </w:rPr>
              <w:t>Viete o nejakých konkrétnych projektoch, ktoré boli financované z Európskej únie?</w:t>
            </w:r>
          </w:p>
          <w:p w:rsidR="00D829E4" w:rsidRPr="00E55A62" w:rsidRDefault="00D829E4" w:rsidP="0033631D">
            <w:pPr>
              <w:spacing w:line="240" w:lineRule="auto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  <w:r w:rsidRPr="00E55A62">
              <w:rPr>
                <w:rFonts w:eastAsia="Times New Roman" w:cs="Arial"/>
                <w:b/>
                <w:sz w:val="20"/>
                <w:szCs w:val="20"/>
                <w:lang w:eastAsia="sk-SK"/>
              </w:rPr>
              <w:t>Ak áno, v ktorých oblastiach boli projekty realizované?</w:t>
            </w:r>
          </w:p>
          <w:p w:rsidR="00D829E4" w:rsidRPr="00D829E4" w:rsidRDefault="00D829E4" w:rsidP="0033631D">
            <w:pPr>
              <w:spacing w:line="240" w:lineRule="auto"/>
              <w:jc w:val="right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  <w:r w:rsidRPr="00E55A62">
              <w:rPr>
                <w:rFonts w:eastAsia="Times New Roman" w:cs="Arial"/>
                <w:sz w:val="20"/>
                <w:szCs w:val="20"/>
                <w:lang w:eastAsia="sk-SK"/>
              </w:rPr>
              <w:t xml:space="preserve">/1 </w:t>
            </w:r>
          </w:p>
        </w:tc>
      </w:tr>
      <w:tr w:rsidR="00D829E4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bottom"/>
          </w:tcPr>
          <w:p w:rsidR="00D829E4" w:rsidRPr="00E55A62" w:rsidRDefault="00D829E4" w:rsidP="0033631D">
            <w:pPr>
              <w:spacing w:line="240" w:lineRule="auto"/>
              <w:rPr>
                <w:rFonts w:eastAsia="Times New Roman" w:cs="Arial"/>
                <w:sz w:val="20"/>
                <w:szCs w:val="20"/>
                <w:lang w:eastAsia="sk-SK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D829E4" w:rsidRPr="00E55A62" w:rsidRDefault="00D829E4" w:rsidP="0033631D">
            <w:pPr>
              <w:spacing w:line="240" w:lineRule="auto"/>
              <w:jc w:val="center"/>
              <w:rPr>
                <w:rFonts w:eastAsia="Times New Roman" w:cs="Arial"/>
                <w:i/>
                <w:sz w:val="20"/>
                <w:szCs w:val="20"/>
                <w:lang w:eastAsia="sk-SK"/>
              </w:rPr>
            </w:pPr>
            <w:r w:rsidRPr="00E55A62">
              <w:rPr>
                <w:rFonts w:eastAsia="Times New Roman" w:cs="Arial"/>
                <w:i/>
                <w:sz w:val="20"/>
                <w:szCs w:val="20"/>
                <w:lang w:eastAsia="sk-SK"/>
              </w:rPr>
              <w:t>rok 201</w:t>
            </w:r>
            <w:r w:rsidRPr="00D829E4">
              <w:rPr>
                <w:rFonts w:eastAsia="Times New Roman" w:cs="Arial"/>
                <w:i/>
                <w:sz w:val="20"/>
                <w:szCs w:val="20"/>
                <w:lang w:eastAsia="sk-SK"/>
              </w:rPr>
              <w:t>4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D829E4" w:rsidRPr="00E55A62" w:rsidRDefault="00D829E4" w:rsidP="0033631D">
            <w:pPr>
              <w:spacing w:line="240" w:lineRule="auto"/>
              <w:jc w:val="center"/>
              <w:rPr>
                <w:rFonts w:eastAsia="Times New Roman" w:cs="Arial"/>
                <w:i/>
                <w:sz w:val="20"/>
                <w:szCs w:val="20"/>
                <w:lang w:eastAsia="sk-SK"/>
              </w:rPr>
            </w:pPr>
            <w:r w:rsidRPr="00E55A62">
              <w:rPr>
                <w:rFonts w:eastAsia="Times New Roman" w:cs="Arial"/>
                <w:i/>
                <w:sz w:val="20"/>
                <w:szCs w:val="20"/>
                <w:lang w:eastAsia="sk-SK"/>
              </w:rPr>
              <w:t>rok 2011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D829E4" w:rsidRPr="00E55A62" w:rsidRDefault="00D829E4" w:rsidP="0033631D">
            <w:pPr>
              <w:spacing w:line="240" w:lineRule="auto"/>
              <w:jc w:val="center"/>
              <w:rPr>
                <w:rFonts w:eastAsia="Times New Roman" w:cs="Arial"/>
                <w:i/>
                <w:sz w:val="20"/>
                <w:szCs w:val="20"/>
                <w:lang w:eastAsia="sk-SK"/>
              </w:rPr>
            </w:pPr>
            <w:r w:rsidRPr="00E55A62">
              <w:rPr>
                <w:rFonts w:eastAsia="Times New Roman" w:cs="Arial"/>
                <w:i/>
                <w:sz w:val="20"/>
                <w:szCs w:val="20"/>
                <w:lang w:eastAsia="sk-SK"/>
              </w:rPr>
              <w:t>rok 2008</w:t>
            </w:r>
          </w:p>
        </w:tc>
        <w:tc>
          <w:tcPr>
            <w:tcW w:w="992" w:type="dxa"/>
            <w:vAlign w:val="center"/>
          </w:tcPr>
          <w:p w:rsidR="00D829E4" w:rsidRPr="001210A3" w:rsidRDefault="00D829E4" w:rsidP="0033631D">
            <w:pPr>
              <w:spacing w:line="240" w:lineRule="auto"/>
              <w:jc w:val="center"/>
              <w:rPr>
                <w:rFonts w:eastAsia="Times New Roman" w:cs="Arial"/>
                <w:i/>
                <w:sz w:val="20"/>
                <w:szCs w:val="20"/>
                <w:lang w:eastAsia="sk-SK"/>
              </w:rPr>
            </w:pPr>
            <w:r w:rsidRPr="00D829E4">
              <w:rPr>
                <w:rFonts w:eastAsia="Times New Roman" w:cs="Arial"/>
                <w:i/>
                <w:sz w:val="20"/>
                <w:szCs w:val="20"/>
                <w:lang w:eastAsia="sk-SK"/>
              </w:rPr>
              <w:t>r</w:t>
            </w:r>
            <w:r w:rsidRPr="001210A3">
              <w:rPr>
                <w:rFonts w:eastAsia="Times New Roman" w:cs="Arial"/>
                <w:i/>
                <w:sz w:val="20"/>
                <w:szCs w:val="20"/>
                <w:lang w:eastAsia="sk-SK"/>
              </w:rPr>
              <w:t>ozdiel</w:t>
            </w:r>
            <w:r w:rsidRPr="00D829E4">
              <w:rPr>
                <w:rFonts w:eastAsia="Times New Roman" w:cs="Arial"/>
                <w:i/>
                <w:sz w:val="20"/>
                <w:szCs w:val="20"/>
                <w:lang w:eastAsia="sk-SK"/>
              </w:rPr>
              <w:t xml:space="preserve"> r.2014-r.2011</w:t>
            </w:r>
          </w:p>
        </w:tc>
        <w:tc>
          <w:tcPr>
            <w:tcW w:w="992" w:type="dxa"/>
            <w:vAlign w:val="center"/>
          </w:tcPr>
          <w:p w:rsidR="00D829E4" w:rsidRPr="00D829E4" w:rsidRDefault="00D829E4" w:rsidP="0033631D">
            <w:pPr>
              <w:spacing w:line="240" w:lineRule="auto"/>
              <w:jc w:val="center"/>
              <w:rPr>
                <w:rFonts w:eastAsia="Times New Roman" w:cs="Arial"/>
                <w:i/>
                <w:sz w:val="20"/>
                <w:szCs w:val="20"/>
                <w:lang w:eastAsia="sk-SK"/>
              </w:rPr>
            </w:pPr>
            <w:r w:rsidRPr="00D829E4">
              <w:rPr>
                <w:rFonts w:eastAsia="Times New Roman" w:cs="Arial"/>
                <w:i/>
                <w:sz w:val="20"/>
                <w:szCs w:val="20"/>
                <w:lang w:eastAsia="sk-SK"/>
              </w:rPr>
              <w:t>rozdiel r.2011-r.2008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budovanie ciest, diaľnic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42,6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20,8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9,2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21,8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11,6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rozvoj obce, rozvoj regiónu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40,2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20,8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1,4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19,4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19,4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opravy historických budov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22,2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2,8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4,0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19,4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-1,2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budovanie kanalizácie, čistiareň odpadových vôd a pod.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28,7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10,4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13,4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18,3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-3,0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poľnohospodárstvo, priemysel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23,1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0,6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17,4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5,1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práca s Rómami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17,5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4,7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1,8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12,8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2,9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športové projekty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18,0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1,4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12,3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4,3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životné prostredie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16,6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5,8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10,9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-0,1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lastRenderedPageBreak/>
              <w:t>práca so zdravotne postihnutými ľuďmi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11,5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0,9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0,2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10,6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0,7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cestovný ruch, turizmus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14,5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4,7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9,8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3,7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pomoc v oblasti zamestnanosti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11,2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1,9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9,3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0,7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informatizácia spoločnosti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10,1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0,9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0,6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9,2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0,3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kultúra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19,5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10,4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9,1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9,6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podnikanie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10,1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1,9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8,2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1,9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výskum a vývoj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11,8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4,7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7,1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3,7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zdravotníctvo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9,5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2,8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6,7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1,8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podpora zavedenia internetu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6,5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0,2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6,5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-0,2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sociálna pomoc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10,9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4,7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6,2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3,9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vzdelávanie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26,9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20,8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5,6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6,1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15,2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podpora bývania, opravy domov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20,4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15,1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5,3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14,1</w:t>
            </w:r>
          </w:p>
        </w:tc>
      </w:tr>
      <w:tr w:rsidR="0082388C" w:rsidRPr="00D829E4" w:rsidTr="00D829E4">
        <w:trPr>
          <w:trHeight w:val="313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technická pomoc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5,6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2,8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3,0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2,8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-0,2</w:t>
            </w:r>
          </w:p>
        </w:tc>
      </w:tr>
      <w:tr w:rsidR="0082388C" w:rsidRPr="00D829E4" w:rsidTr="009F5D04">
        <w:trPr>
          <w:trHeight w:val="228"/>
        </w:trPr>
        <w:tc>
          <w:tcPr>
            <w:tcW w:w="4181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Arial"/>
                <w:b/>
                <w:bCs/>
                <w:color w:val="000000"/>
                <w:sz w:val="20"/>
                <w:szCs w:val="20"/>
              </w:rPr>
              <w:t>iné oblasti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993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8,5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-7,3</w:t>
            </w:r>
          </w:p>
        </w:tc>
        <w:tc>
          <w:tcPr>
            <w:tcW w:w="992" w:type="dxa"/>
            <w:vAlign w:val="center"/>
          </w:tcPr>
          <w:p w:rsidR="0082388C" w:rsidRDefault="0082388C" w:rsidP="0033631D">
            <w:pPr>
              <w:spacing w:line="240" w:lineRule="auto"/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3,1</w:t>
            </w:r>
          </w:p>
        </w:tc>
      </w:tr>
    </w:tbl>
    <w:p w:rsidR="000749CE" w:rsidRPr="00B634C4" w:rsidRDefault="000749CE" w:rsidP="0033631D">
      <w:pPr>
        <w:pStyle w:val="Zkladntext3"/>
        <w:rPr>
          <w:rFonts w:cs="Arial"/>
          <w:i/>
          <w:sz w:val="20"/>
          <w:szCs w:val="22"/>
          <w:lang w:eastAsia="sk-SK"/>
        </w:rPr>
      </w:pPr>
      <w:r w:rsidRPr="00B634C4">
        <w:rPr>
          <w:rFonts w:cs="Arial"/>
          <w:i/>
          <w:sz w:val="20"/>
          <w:szCs w:val="22"/>
          <w:lang w:eastAsia="sk-SK"/>
        </w:rPr>
        <w:t>/1 vzhľadom na možnosť viacerých odpovedí súčet percent presahuje 100</w:t>
      </w:r>
    </w:p>
    <w:p w:rsidR="009F5D04" w:rsidRDefault="009F5D04" w:rsidP="0033631D">
      <w:pPr>
        <w:pStyle w:val="Bezriadkovania"/>
      </w:pPr>
    </w:p>
    <w:p w:rsidR="0090745F" w:rsidRDefault="0090745F" w:rsidP="0033631D">
      <w:pPr>
        <w:spacing w:after="200" w:line="276" w:lineRule="auto"/>
        <w:jc w:val="left"/>
        <w:rPr>
          <w:rFonts w:eastAsia="Calibri" w:cs="Times New Roman"/>
          <w:bCs/>
          <w:i/>
          <w:sz w:val="24"/>
          <w:szCs w:val="28"/>
        </w:rPr>
      </w:pPr>
      <w:r>
        <w:br w:type="page"/>
      </w:r>
    </w:p>
    <w:p w:rsidR="009F5D04" w:rsidRDefault="0090745F" w:rsidP="00A10674">
      <w:pPr>
        <w:pStyle w:val="Nadpis3"/>
      </w:pPr>
      <w:bookmarkStart w:id="26" w:name="_Toc410051295"/>
      <w:r>
        <w:lastRenderedPageBreak/>
        <w:t>Povedomie o </w:t>
      </w:r>
      <w:r w:rsidRPr="00A10674">
        <w:t>národnom</w:t>
      </w:r>
      <w:r>
        <w:t xml:space="preserve"> strategickom referenčnom rámci SR </w:t>
      </w:r>
      <w:r w:rsidR="002E55E1">
        <w:t>a o jeho operačných programoch</w:t>
      </w:r>
      <w:bookmarkEnd w:id="26"/>
    </w:p>
    <w:p w:rsidR="0090745F" w:rsidRDefault="0090745F" w:rsidP="0033631D">
      <w:r>
        <w:t xml:space="preserve">Podiel ľudí, ktorí nepoznajú Národný strategický referenčný rámec SR sa oproti údajom z prieskumu z roku 2011 znížil o 8 </w:t>
      </w:r>
      <w:proofErr w:type="spellStart"/>
      <w:r>
        <w:t>p.b</w:t>
      </w:r>
      <w:proofErr w:type="spellEnd"/>
      <w:r>
        <w:t>.</w:t>
      </w:r>
      <w:r w:rsidR="009E1492">
        <w:t xml:space="preserve"> (z 92% na 84%)</w:t>
      </w:r>
      <w:r>
        <w:t>, a to na ú</w:t>
      </w:r>
      <w:r w:rsidR="009E1492">
        <w:t xml:space="preserve">kor </w:t>
      </w:r>
      <w:r>
        <w:t xml:space="preserve">tých, ktorí </w:t>
      </w:r>
      <w:r w:rsidR="009E1492">
        <w:t xml:space="preserve">to </w:t>
      </w:r>
      <w:r>
        <w:t xml:space="preserve">približne vedia. Avšak tých, ktorí presne vedia, o čo ide, je len jedno percento populácie. </w:t>
      </w:r>
    </w:p>
    <w:p w:rsidR="00E11A90" w:rsidRDefault="00E11A90" w:rsidP="0033631D">
      <w:r>
        <w:t xml:space="preserve">Výrazne vyšší podiel v znalosti ukazujú ľudia s vysokoškolským </w:t>
      </w:r>
      <w:r w:rsidR="00C41355">
        <w:t xml:space="preserve">vzdelaním a v mestách nad 100 tis. obyvateľov. Z hľadiska regionálnych rozdielov vyššiu znalosť preukázali aj obyvatelia Prešovského, Košického a Bratislavského kraja. </w:t>
      </w:r>
    </w:p>
    <w:p w:rsidR="00955F9D" w:rsidRDefault="00955F9D" w:rsidP="0033631D">
      <w:pPr>
        <w:rPr>
          <w:rFonts w:cs="Arial"/>
          <w:sz w:val="20"/>
        </w:rPr>
      </w:pPr>
      <w:r>
        <w:t xml:space="preserve">Operačné programy NSRR SR (vo všeobecnosti) pozná iba 8 % ľudí. Z tých, ktorí tieto operačné programy poznajú, je najvyššia znalosť </w:t>
      </w:r>
      <w:r w:rsidR="00637955">
        <w:t xml:space="preserve">pre operačné programy </w:t>
      </w:r>
      <w:r>
        <w:t xml:space="preserve">OP Doprava a OP Vzdelávanie. Najmenej známy je OP Technická pomoc. </w:t>
      </w:r>
    </w:p>
    <w:p w:rsidR="00955F9D" w:rsidRDefault="00955F9D" w:rsidP="0033631D"/>
    <w:p w:rsidR="0090745F" w:rsidRDefault="0090745F" w:rsidP="0033631D"/>
    <w:p w:rsidR="005F1388" w:rsidRPr="00BC4524" w:rsidRDefault="005F1388" w:rsidP="0033631D">
      <w:pPr>
        <w:pStyle w:val="popis2"/>
      </w:pPr>
      <w:r w:rsidRPr="002C1D6B">
        <w:t xml:space="preserve">Graf č. </w:t>
      </w:r>
      <w:r w:rsidR="00647D11">
        <w:fldChar w:fldCharType="begin"/>
      </w:r>
      <w:r w:rsidR="00E80D30">
        <w:instrText xml:space="preserve"> SEQ Graf \* ARABIC </w:instrText>
      </w:r>
      <w:r w:rsidR="00647D11">
        <w:fldChar w:fldCharType="separate"/>
      </w:r>
      <w:r w:rsidR="008B1877">
        <w:rPr>
          <w:noProof/>
        </w:rPr>
        <w:t>28</w:t>
      </w:r>
      <w:r w:rsidR="00647D11">
        <w:rPr>
          <w:noProof/>
        </w:rPr>
        <w:fldChar w:fldCharType="end"/>
      </w:r>
      <w:r w:rsidR="002C1D6B">
        <w:rPr>
          <w:noProof/>
        </w:rPr>
        <w:t>:</w:t>
      </w:r>
      <w:r w:rsidR="0090745F" w:rsidRPr="002C1D6B">
        <w:t>Povedomie o národnom strategickom referenčnom rámci SR</w:t>
      </w:r>
    </w:p>
    <w:p w:rsidR="005226FB" w:rsidRDefault="006412B7" w:rsidP="0033631D">
      <w:pPr>
        <w:pStyle w:val="Bezriadkovania"/>
      </w:pPr>
      <w:r w:rsidRPr="0090745F">
        <w:t>Q5</w:t>
      </w:r>
      <w:r w:rsidR="0090745F" w:rsidRPr="0090745F">
        <w:t xml:space="preserve">, </w:t>
      </w:r>
      <w:r w:rsidR="0082388C" w:rsidRPr="0090745F">
        <w:t>N=500</w:t>
      </w:r>
    </w:p>
    <w:p w:rsidR="0090745F" w:rsidRPr="0090745F" w:rsidRDefault="0090745F" w:rsidP="0033631D">
      <w:pPr>
        <w:pStyle w:val="Bezriadkovania"/>
      </w:pPr>
    </w:p>
    <w:p w:rsidR="009A6D71" w:rsidRDefault="006412B7" w:rsidP="0033631D">
      <w:pPr>
        <w:rPr>
          <w:rFonts w:cs="Arial"/>
          <w:sz w:val="20"/>
        </w:rPr>
      </w:pPr>
      <w:r w:rsidRPr="0012644D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12C80B4D" wp14:editId="1F664538">
            <wp:extent cx="5486400" cy="3505200"/>
            <wp:effectExtent l="0" t="0" r="19050" b="19050"/>
            <wp:docPr id="16" name="Graf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A10674" w:rsidRDefault="00A10674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5F1388" w:rsidRPr="00BC4524" w:rsidRDefault="005F1388" w:rsidP="0033631D">
      <w:pPr>
        <w:pStyle w:val="popis2"/>
      </w:pPr>
      <w:r w:rsidRPr="002C1D6B">
        <w:lastRenderedPageBreak/>
        <w:t xml:space="preserve">Graf č. </w:t>
      </w:r>
      <w:r w:rsidR="00647D11">
        <w:fldChar w:fldCharType="begin"/>
      </w:r>
      <w:r w:rsidR="00E80D30">
        <w:instrText xml:space="preserve"> SEQ Graf \* ARABIC </w:instrText>
      </w:r>
      <w:r w:rsidR="00647D11">
        <w:fldChar w:fldCharType="separate"/>
      </w:r>
      <w:r w:rsidR="008B1877">
        <w:rPr>
          <w:noProof/>
        </w:rPr>
        <w:t>29</w:t>
      </w:r>
      <w:r w:rsidR="00647D11">
        <w:rPr>
          <w:noProof/>
        </w:rPr>
        <w:fldChar w:fldCharType="end"/>
      </w:r>
      <w:r w:rsidRPr="002C1D6B">
        <w:t xml:space="preserve">: </w:t>
      </w:r>
      <w:r w:rsidR="002C1D6B" w:rsidRPr="002C1D6B">
        <w:t>Povedomie o národnom strategickom referenčnom rámci SR, podľa pohlavia, veku, vzdelania</w:t>
      </w:r>
    </w:p>
    <w:p w:rsidR="00AA0A3A" w:rsidRPr="002C1D6B" w:rsidRDefault="003174ED" w:rsidP="0033631D">
      <w:pPr>
        <w:pStyle w:val="Bezriadkovania"/>
      </w:pPr>
      <w:r w:rsidRPr="002C1D6B">
        <w:rPr>
          <w:noProof/>
          <w:szCs w:val="20"/>
          <w:lang w:eastAsia="sk-SK"/>
        </w:rPr>
        <w:drawing>
          <wp:anchor distT="0" distB="0" distL="114300" distR="114300" simplePos="0" relativeHeight="251674624" behindDoc="0" locked="0" layoutInCell="1" allowOverlap="1" wp14:anchorId="317A2A52" wp14:editId="36B64F60">
            <wp:simplePos x="0" y="0"/>
            <wp:positionH relativeFrom="column">
              <wp:posOffset>-4445</wp:posOffset>
            </wp:positionH>
            <wp:positionV relativeFrom="paragraph">
              <wp:posOffset>271780</wp:posOffset>
            </wp:positionV>
            <wp:extent cx="5486400" cy="4857750"/>
            <wp:effectExtent l="0" t="0" r="19050" b="19050"/>
            <wp:wrapSquare wrapText="bothSides"/>
            <wp:docPr id="12" name="Graf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anchor>
        </w:drawing>
      </w:r>
      <w:r w:rsidR="00D440C9" w:rsidRPr="002C1D6B">
        <w:t>Q5</w:t>
      </w:r>
      <w:r w:rsidR="002C1D6B" w:rsidRPr="002C1D6B">
        <w:t>,</w:t>
      </w:r>
      <w:r w:rsidR="0082388C" w:rsidRPr="002C1D6B">
        <w:t>N=500</w:t>
      </w:r>
    </w:p>
    <w:p w:rsidR="00C41355" w:rsidRDefault="00C41355" w:rsidP="0033631D">
      <w:pPr>
        <w:rPr>
          <w:highlight w:val="yellow"/>
        </w:rPr>
      </w:pPr>
    </w:p>
    <w:p w:rsidR="00A10674" w:rsidRDefault="00A10674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C41355" w:rsidRPr="00BC4524" w:rsidRDefault="005F1388" w:rsidP="0033631D">
      <w:pPr>
        <w:pStyle w:val="popis2"/>
      </w:pPr>
      <w:r w:rsidRPr="002E55E1">
        <w:lastRenderedPageBreak/>
        <w:t xml:space="preserve">Graf č. </w:t>
      </w:r>
      <w:r w:rsidR="00647D11">
        <w:fldChar w:fldCharType="begin"/>
      </w:r>
      <w:r w:rsidR="00E80D30">
        <w:instrText xml:space="preserve"> SEQ Graf \* ARABIC </w:instrText>
      </w:r>
      <w:r w:rsidR="00647D11">
        <w:fldChar w:fldCharType="separate"/>
      </w:r>
      <w:r w:rsidR="008B1877">
        <w:rPr>
          <w:noProof/>
        </w:rPr>
        <w:t>30</w:t>
      </w:r>
      <w:r w:rsidR="00647D11">
        <w:rPr>
          <w:noProof/>
        </w:rPr>
        <w:fldChar w:fldCharType="end"/>
      </w:r>
      <w:r w:rsidRPr="002E55E1">
        <w:t xml:space="preserve">: </w:t>
      </w:r>
      <w:r w:rsidR="00C41355" w:rsidRPr="002E55E1">
        <w:t>Povedomie o národnom strategickom referenčnom rámci SR, podľa kraja a veľkosti sídla</w:t>
      </w:r>
    </w:p>
    <w:p w:rsidR="005F1388" w:rsidRPr="00BC4524" w:rsidRDefault="00C41355" w:rsidP="0033631D">
      <w:pPr>
        <w:pStyle w:val="Bezriadkovania"/>
      </w:pPr>
      <w:r w:rsidRPr="002C1D6B">
        <w:t>Q5, N=500</w:t>
      </w:r>
    </w:p>
    <w:p w:rsidR="003174ED" w:rsidRDefault="005226FB" w:rsidP="0033631D">
      <w:pPr>
        <w:pStyle w:val="Bezriadkovania"/>
        <w:rPr>
          <w:noProof/>
          <w:lang w:eastAsia="sk-SK"/>
        </w:rPr>
      </w:pPr>
      <w:r w:rsidRPr="0012644D">
        <w:rPr>
          <w:noProof/>
          <w:lang w:eastAsia="sk-SK"/>
        </w:rPr>
        <w:drawing>
          <wp:anchor distT="0" distB="0" distL="114300" distR="114300" simplePos="0" relativeHeight="251676672" behindDoc="0" locked="0" layoutInCell="1" allowOverlap="1" wp14:anchorId="0B0FE993" wp14:editId="7C805BC1">
            <wp:simplePos x="0" y="0"/>
            <wp:positionH relativeFrom="column">
              <wp:posOffset>-4445</wp:posOffset>
            </wp:positionH>
            <wp:positionV relativeFrom="paragraph">
              <wp:posOffset>172720</wp:posOffset>
            </wp:positionV>
            <wp:extent cx="5486400" cy="4857750"/>
            <wp:effectExtent l="0" t="0" r="19050" b="19050"/>
            <wp:wrapSquare wrapText="bothSides"/>
            <wp:docPr id="17" name="Graf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anchor>
        </w:drawing>
      </w:r>
    </w:p>
    <w:p w:rsidR="005226FB" w:rsidRDefault="005226FB" w:rsidP="0033631D">
      <w:pPr>
        <w:rPr>
          <w:rFonts w:cs="Arial"/>
          <w:sz w:val="20"/>
        </w:rPr>
      </w:pPr>
    </w:p>
    <w:p w:rsidR="002E55E1" w:rsidRDefault="002E55E1" w:rsidP="0033631D">
      <w:pPr>
        <w:rPr>
          <w:rFonts w:cs="Arial"/>
          <w:sz w:val="20"/>
        </w:rPr>
      </w:pPr>
    </w:p>
    <w:p w:rsidR="00A10674" w:rsidRDefault="00A10674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5F1388" w:rsidRPr="00BC4524" w:rsidRDefault="005F1388" w:rsidP="0033631D">
      <w:pPr>
        <w:pStyle w:val="popis2"/>
      </w:pPr>
      <w:r w:rsidRPr="00955F9D">
        <w:lastRenderedPageBreak/>
        <w:t xml:space="preserve">Graf č. </w:t>
      </w:r>
      <w:r w:rsidR="00647D11">
        <w:fldChar w:fldCharType="begin"/>
      </w:r>
      <w:r w:rsidR="00E80D30">
        <w:instrText xml:space="preserve"> SEQ Graf \* ARABIC </w:instrText>
      </w:r>
      <w:r w:rsidR="00647D11">
        <w:fldChar w:fldCharType="separate"/>
      </w:r>
      <w:r w:rsidR="008B1877">
        <w:rPr>
          <w:noProof/>
        </w:rPr>
        <w:t>31</w:t>
      </w:r>
      <w:r w:rsidR="00647D11">
        <w:rPr>
          <w:noProof/>
        </w:rPr>
        <w:fldChar w:fldCharType="end"/>
      </w:r>
      <w:r w:rsidRPr="00955F9D">
        <w:t xml:space="preserve">: </w:t>
      </w:r>
      <w:r w:rsidR="003A76EC" w:rsidRPr="00955F9D">
        <w:t>Povedomie o operačných programoch</w:t>
      </w:r>
    </w:p>
    <w:p w:rsidR="007A30FB" w:rsidRDefault="007A30FB" w:rsidP="0033631D">
      <w:pPr>
        <w:pStyle w:val="Bezriadkovania"/>
        <w:rPr>
          <w:rFonts w:cs="Arial"/>
        </w:rPr>
      </w:pPr>
      <w:r w:rsidRPr="005226FB">
        <w:rPr>
          <w:rFonts w:cs="Arial"/>
        </w:rPr>
        <w:t>Q6</w:t>
      </w:r>
      <w:r w:rsidR="003A76EC">
        <w:rPr>
          <w:rFonts w:cs="Arial"/>
        </w:rPr>
        <w:t>, N=500</w:t>
      </w:r>
    </w:p>
    <w:p w:rsidR="00814288" w:rsidRPr="005226FB" w:rsidRDefault="00814288" w:rsidP="0033631D">
      <w:pPr>
        <w:pStyle w:val="Bezriadkovania"/>
        <w:rPr>
          <w:rFonts w:cs="Arial"/>
        </w:rPr>
      </w:pPr>
    </w:p>
    <w:p w:rsidR="009A61A3" w:rsidRDefault="009A61A3" w:rsidP="0033631D">
      <w:pPr>
        <w:rPr>
          <w:rFonts w:cs="Arial"/>
          <w:sz w:val="20"/>
        </w:rPr>
      </w:pPr>
      <w:r w:rsidRPr="0012644D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634CF385" wp14:editId="1A2731A0">
            <wp:extent cx="5486400" cy="2276475"/>
            <wp:effectExtent l="0" t="0" r="19050" b="9525"/>
            <wp:docPr id="21" name="Graf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3174ED" w:rsidRDefault="003174ED" w:rsidP="0033631D">
      <w:pPr>
        <w:rPr>
          <w:rFonts w:cs="Arial"/>
          <w:sz w:val="20"/>
        </w:rPr>
      </w:pPr>
    </w:p>
    <w:p w:rsidR="005F1388" w:rsidRPr="00BC4524" w:rsidRDefault="005F1388" w:rsidP="0033631D">
      <w:pPr>
        <w:pStyle w:val="popis2"/>
      </w:pPr>
      <w:r w:rsidRPr="003B2D40">
        <w:t xml:space="preserve">Graf č. </w:t>
      </w:r>
      <w:r w:rsidR="00647D11">
        <w:fldChar w:fldCharType="begin"/>
      </w:r>
      <w:r w:rsidR="00E80D30">
        <w:instrText xml:space="preserve"> SEQ Graf \* ARABIC </w:instrText>
      </w:r>
      <w:r w:rsidR="00647D11">
        <w:fldChar w:fldCharType="separate"/>
      </w:r>
      <w:r w:rsidR="008B1877">
        <w:rPr>
          <w:noProof/>
        </w:rPr>
        <w:t>32</w:t>
      </w:r>
      <w:r w:rsidR="00647D11">
        <w:rPr>
          <w:noProof/>
        </w:rPr>
        <w:fldChar w:fldCharType="end"/>
      </w:r>
      <w:r w:rsidRPr="003B2D40">
        <w:t xml:space="preserve">: </w:t>
      </w:r>
      <w:r w:rsidR="00814288" w:rsidRPr="003B2D40">
        <w:t>Povedomie o</w:t>
      </w:r>
      <w:r w:rsidR="00815AEC">
        <w:t xml:space="preserve"> konkrétnych </w:t>
      </w:r>
      <w:r w:rsidR="00814288" w:rsidRPr="003B2D40">
        <w:t>operačných programoch</w:t>
      </w:r>
    </w:p>
    <w:p w:rsidR="00955F9D" w:rsidRPr="00955F9D" w:rsidRDefault="0064344F" w:rsidP="0033631D">
      <w:pPr>
        <w:pStyle w:val="Bezriadkovania"/>
      </w:pPr>
      <w:r w:rsidRPr="00955F9D">
        <w:t>Q6a</w:t>
      </w:r>
      <w:r w:rsidR="00955F9D" w:rsidRPr="00955F9D">
        <w:t xml:space="preserve">, </w:t>
      </w:r>
      <w:r w:rsidR="0082388C" w:rsidRPr="00955F9D">
        <w:t>N=41</w:t>
      </w:r>
    </w:p>
    <w:p w:rsidR="00955F9D" w:rsidRDefault="00955F9D" w:rsidP="0033631D">
      <w:pPr>
        <w:pStyle w:val="Bezriadkovania"/>
        <w:rPr>
          <w:b/>
        </w:rPr>
      </w:pPr>
    </w:p>
    <w:p w:rsidR="0064344F" w:rsidRDefault="0064344F" w:rsidP="0033631D">
      <w:pPr>
        <w:pStyle w:val="Bezriadkovania"/>
      </w:pPr>
      <w:r w:rsidRPr="0012644D">
        <w:rPr>
          <w:noProof/>
          <w:szCs w:val="20"/>
          <w:lang w:eastAsia="sk-SK"/>
        </w:rPr>
        <w:drawing>
          <wp:inline distT="0" distB="0" distL="0" distR="0" wp14:anchorId="6CA787B6" wp14:editId="720E40FB">
            <wp:extent cx="5486400" cy="4467225"/>
            <wp:effectExtent l="0" t="0" r="19050" b="9525"/>
            <wp:docPr id="22" name="Graf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815AEC" w:rsidRDefault="00815AEC" w:rsidP="0033631D">
      <w:pPr>
        <w:rPr>
          <w:highlight w:val="yellow"/>
        </w:rPr>
      </w:pPr>
    </w:p>
    <w:p w:rsidR="00A10674" w:rsidRDefault="00A10674">
      <w:pPr>
        <w:spacing w:after="200" w:line="276" w:lineRule="auto"/>
        <w:jc w:val="left"/>
        <w:rPr>
          <w:rFonts w:eastAsia="Calibri" w:cs="Times New Roman"/>
          <w:b/>
          <w:bCs/>
          <w:sz w:val="18"/>
          <w:szCs w:val="18"/>
        </w:rPr>
      </w:pPr>
      <w:r>
        <w:br w:type="page"/>
      </w:r>
    </w:p>
    <w:p w:rsidR="005F1388" w:rsidRPr="00293AE1" w:rsidRDefault="005F1388" w:rsidP="0033631D">
      <w:pPr>
        <w:pStyle w:val="Popis"/>
      </w:pPr>
      <w:r w:rsidRPr="00881C81">
        <w:lastRenderedPageBreak/>
        <w:t xml:space="preserve">Tabuľka č. </w:t>
      </w:r>
      <w:r w:rsidR="00647D11">
        <w:fldChar w:fldCharType="begin"/>
      </w:r>
      <w:r w:rsidR="00E80D30">
        <w:instrText xml:space="preserve"> SEQ Tabuľka \* ARABIC </w:instrText>
      </w:r>
      <w:r w:rsidR="00647D11">
        <w:fldChar w:fldCharType="separate"/>
      </w:r>
      <w:r w:rsidR="008B1877">
        <w:rPr>
          <w:noProof/>
        </w:rPr>
        <w:t>18</w:t>
      </w:r>
      <w:r w:rsidR="00647D11">
        <w:rPr>
          <w:noProof/>
        </w:rPr>
        <w:fldChar w:fldCharType="end"/>
      </w:r>
      <w:r w:rsidRPr="00881C81">
        <w:t xml:space="preserve">: </w:t>
      </w:r>
      <w:r w:rsidR="00815AEC" w:rsidRPr="00881C81">
        <w:t>Povedomie o konkrétnych operačných programoch</w:t>
      </w:r>
    </w:p>
    <w:p w:rsidR="00815AEC" w:rsidRDefault="00815AEC" w:rsidP="0033631D">
      <w:pPr>
        <w:pStyle w:val="Bezriadkovania"/>
        <w:rPr>
          <w:rFonts w:cs="Arial"/>
        </w:rPr>
      </w:pPr>
    </w:p>
    <w:p w:rsidR="00E75D2F" w:rsidRPr="009F5D04" w:rsidRDefault="00815AEC" w:rsidP="0033631D">
      <w:pPr>
        <w:pStyle w:val="Bezriadkovania"/>
        <w:rPr>
          <w:rFonts w:cs="Arial"/>
        </w:rPr>
      </w:pPr>
      <w:r>
        <w:rPr>
          <w:rFonts w:cs="Arial"/>
        </w:rPr>
        <w:t>Q6a</w:t>
      </w:r>
    </w:p>
    <w:p w:rsidR="009F5D04" w:rsidRPr="009F5D04" w:rsidRDefault="009F5D04" w:rsidP="0033631D">
      <w:pPr>
        <w:pStyle w:val="Bezriadkovania"/>
        <w:rPr>
          <w:rFonts w:cs="Arial"/>
        </w:rPr>
      </w:pPr>
    </w:p>
    <w:tbl>
      <w:tblPr>
        <w:tblW w:w="9356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28"/>
        <w:gridCol w:w="992"/>
        <w:gridCol w:w="992"/>
        <w:gridCol w:w="1134"/>
        <w:gridCol w:w="1276"/>
        <w:gridCol w:w="1134"/>
      </w:tblGrid>
      <w:tr w:rsidR="00E75D2F" w:rsidRPr="008A7049" w:rsidTr="008A7049">
        <w:trPr>
          <w:trHeight w:val="255"/>
        </w:trPr>
        <w:tc>
          <w:tcPr>
            <w:tcW w:w="6946" w:type="dxa"/>
            <w:gridSpan w:val="4"/>
            <w:shd w:val="clear" w:color="auto" w:fill="B3B3B3"/>
            <w:noWrap/>
            <w:vAlign w:val="bottom"/>
          </w:tcPr>
          <w:p w:rsidR="00E75D2F" w:rsidRPr="00E75D2F" w:rsidRDefault="00E75D2F" w:rsidP="0033631D">
            <w:pPr>
              <w:spacing w:line="240" w:lineRule="auto"/>
              <w:rPr>
                <w:rFonts w:eastAsia="Times New Roman" w:cs="Arial"/>
                <w:sz w:val="20"/>
                <w:szCs w:val="20"/>
                <w:lang w:eastAsia="sk-SK"/>
              </w:rPr>
            </w:pPr>
          </w:p>
          <w:p w:rsidR="00E75D2F" w:rsidRPr="00E75D2F" w:rsidRDefault="00E75D2F" w:rsidP="0033631D">
            <w:pPr>
              <w:spacing w:line="240" w:lineRule="auto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b/>
                <w:sz w:val="20"/>
                <w:szCs w:val="20"/>
                <w:lang w:eastAsia="sk-SK"/>
              </w:rPr>
              <w:t>Poradie podľa známosti jednotlivých operačných programov</w:t>
            </w:r>
          </w:p>
          <w:p w:rsidR="00E75D2F" w:rsidRPr="00E75D2F" w:rsidRDefault="00E75D2F" w:rsidP="0033631D">
            <w:pPr>
              <w:spacing w:line="240" w:lineRule="auto"/>
              <w:rPr>
                <w:rFonts w:eastAsia="Times New Roman" w:cs="Arial"/>
                <w:sz w:val="20"/>
                <w:szCs w:val="20"/>
                <w:lang w:eastAsia="sk-SK"/>
              </w:rPr>
            </w:pPr>
          </w:p>
        </w:tc>
        <w:tc>
          <w:tcPr>
            <w:tcW w:w="1276" w:type="dxa"/>
            <w:shd w:val="clear" w:color="auto" w:fill="B3B3B3"/>
          </w:tcPr>
          <w:p w:rsidR="00E75D2F" w:rsidRPr="008A7049" w:rsidRDefault="00E75D2F" w:rsidP="0033631D">
            <w:pPr>
              <w:spacing w:line="240" w:lineRule="auto"/>
              <w:rPr>
                <w:rFonts w:eastAsia="Times New Roman" w:cs="Arial"/>
                <w:sz w:val="20"/>
                <w:szCs w:val="20"/>
                <w:lang w:eastAsia="sk-SK"/>
              </w:rPr>
            </w:pPr>
          </w:p>
        </w:tc>
        <w:tc>
          <w:tcPr>
            <w:tcW w:w="1134" w:type="dxa"/>
            <w:shd w:val="clear" w:color="auto" w:fill="B3B3B3"/>
          </w:tcPr>
          <w:p w:rsidR="00E75D2F" w:rsidRPr="008A7049" w:rsidRDefault="00E75D2F" w:rsidP="0033631D">
            <w:pPr>
              <w:spacing w:line="240" w:lineRule="auto"/>
              <w:rPr>
                <w:rFonts w:eastAsia="Times New Roman" w:cs="Arial"/>
                <w:sz w:val="20"/>
                <w:szCs w:val="20"/>
                <w:lang w:eastAsia="sk-SK"/>
              </w:rPr>
            </w:pPr>
          </w:p>
        </w:tc>
      </w:tr>
      <w:tr w:rsidR="008A7049" w:rsidRPr="008A7049" w:rsidTr="008A7049">
        <w:trPr>
          <w:trHeight w:val="255"/>
        </w:trPr>
        <w:tc>
          <w:tcPr>
            <w:tcW w:w="3828" w:type="dxa"/>
            <w:shd w:val="clear" w:color="auto" w:fill="auto"/>
            <w:noWrap/>
            <w:vAlign w:val="bottom"/>
          </w:tcPr>
          <w:p w:rsidR="00E75D2F" w:rsidRPr="00E75D2F" w:rsidRDefault="00E75D2F" w:rsidP="0033631D">
            <w:pPr>
              <w:spacing w:line="240" w:lineRule="auto"/>
              <w:rPr>
                <w:rFonts w:eastAsia="Times New Roman" w:cs="Arial"/>
                <w:sz w:val="20"/>
                <w:szCs w:val="20"/>
                <w:lang w:eastAsia="sk-SK"/>
              </w:rPr>
            </w:pP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75D2F" w:rsidRPr="00E75D2F" w:rsidRDefault="00E75D2F" w:rsidP="0033631D">
            <w:pPr>
              <w:spacing w:line="240" w:lineRule="auto"/>
              <w:rPr>
                <w:rFonts w:eastAsia="Times New Roman" w:cs="Arial"/>
                <w:i/>
                <w:sz w:val="20"/>
                <w:szCs w:val="20"/>
                <w:lang w:eastAsia="sk-SK"/>
              </w:rPr>
            </w:pPr>
            <w:r w:rsidRPr="008A7049">
              <w:rPr>
                <w:rFonts w:eastAsia="Times New Roman" w:cs="Arial"/>
                <w:i/>
                <w:sz w:val="20"/>
                <w:szCs w:val="20"/>
                <w:lang w:eastAsia="sk-SK"/>
              </w:rPr>
              <w:t>Poradie v roku 2014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E75D2F" w:rsidRPr="00E75D2F" w:rsidRDefault="00E75D2F" w:rsidP="0033631D">
            <w:pPr>
              <w:spacing w:line="240" w:lineRule="auto"/>
              <w:rPr>
                <w:rFonts w:eastAsia="Times New Roman" w:cs="Arial"/>
                <w:i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i/>
                <w:sz w:val="20"/>
                <w:szCs w:val="20"/>
                <w:lang w:eastAsia="sk-SK"/>
              </w:rPr>
              <w:t>Poradie v roku 2011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E75D2F" w:rsidRPr="00E75D2F" w:rsidRDefault="00E75D2F" w:rsidP="0033631D">
            <w:pPr>
              <w:spacing w:line="240" w:lineRule="auto"/>
              <w:rPr>
                <w:rFonts w:eastAsia="Times New Roman" w:cs="Arial"/>
                <w:i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i/>
                <w:sz w:val="20"/>
                <w:szCs w:val="20"/>
                <w:lang w:eastAsia="sk-SK"/>
              </w:rPr>
              <w:t>Poradie v roku 2008</w:t>
            </w:r>
          </w:p>
        </w:tc>
        <w:tc>
          <w:tcPr>
            <w:tcW w:w="1276" w:type="dxa"/>
            <w:vAlign w:val="bottom"/>
          </w:tcPr>
          <w:p w:rsidR="008A7049" w:rsidRDefault="008A7049" w:rsidP="0033631D">
            <w:pPr>
              <w:spacing w:line="240" w:lineRule="auto"/>
              <w:rPr>
                <w:rFonts w:eastAsia="Times New Roman" w:cs="Arial"/>
                <w:i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i/>
                <w:sz w:val="20"/>
                <w:szCs w:val="20"/>
                <w:lang w:eastAsia="sk-SK"/>
              </w:rPr>
              <w:t>R</w:t>
            </w:r>
            <w:r w:rsidR="00E75D2F" w:rsidRPr="00E75D2F">
              <w:rPr>
                <w:rFonts w:eastAsia="Times New Roman" w:cs="Arial"/>
                <w:i/>
                <w:sz w:val="20"/>
                <w:szCs w:val="20"/>
                <w:lang w:eastAsia="sk-SK"/>
              </w:rPr>
              <w:t>ozdiel v</w:t>
            </w:r>
            <w:r>
              <w:rPr>
                <w:rFonts w:eastAsia="Times New Roman" w:cs="Arial"/>
                <w:i/>
                <w:sz w:val="20"/>
                <w:szCs w:val="20"/>
                <w:lang w:eastAsia="sk-SK"/>
              </w:rPr>
              <w:t> </w:t>
            </w:r>
            <w:r w:rsidR="00E75D2F" w:rsidRPr="00E75D2F">
              <w:rPr>
                <w:rFonts w:eastAsia="Times New Roman" w:cs="Arial"/>
                <w:i/>
                <w:sz w:val="20"/>
                <w:szCs w:val="20"/>
                <w:lang w:eastAsia="sk-SK"/>
              </w:rPr>
              <w:t>poradí</w:t>
            </w:r>
          </w:p>
          <w:p w:rsidR="00E75D2F" w:rsidRPr="00E75D2F" w:rsidRDefault="00E75D2F" w:rsidP="0033631D">
            <w:pPr>
              <w:spacing w:line="240" w:lineRule="auto"/>
              <w:rPr>
                <w:rFonts w:eastAsia="Times New Roman" w:cs="Arial"/>
                <w:i/>
                <w:sz w:val="20"/>
                <w:szCs w:val="20"/>
                <w:lang w:eastAsia="sk-SK"/>
              </w:rPr>
            </w:pPr>
            <w:r w:rsidRPr="008A7049">
              <w:rPr>
                <w:rFonts w:eastAsia="Times New Roman" w:cs="Arial"/>
                <w:i/>
                <w:sz w:val="20"/>
                <w:szCs w:val="20"/>
                <w:lang w:eastAsia="sk-SK"/>
              </w:rPr>
              <w:t>201</w:t>
            </w:r>
            <w:r w:rsidR="008A7049">
              <w:rPr>
                <w:rFonts w:eastAsia="Times New Roman" w:cs="Arial"/>
                <w:i/>
                <w:sz w:val="20"/>
                <w:szCs w:val="20"/>
                <w:lang w:eastAsia="sk-SK"/>
              </w:rPr>
              <w:t>1</w:t>
            </w:r>
            <w:r w:rsidRPr="008A7049">
              <w:rPr>
                <w:rFonts w:eastAsia="Times New Roman" w:cs="Arial"/>
                <w:i/>
                <w:sz w:val="20"/>
                <w:szCs w:val="20"/>
                <w:lang w:eastAsia="sk-SK"/>
              </w:rPr>
              <w:t>-201</w:t>
            </w:r>
            <w:r w:rsidR="008A7049">
              <w:rPr>
                <w:rFonts w:eastAsia="Times New Roman" w:cs="Arial"/>
                <w:i/>
                <w:sz w:val="20"/>
                <w:szCs w:val="20"/>
                <w:lang w:eastAsia="sk-SK"/>
              </w:rPr>
              <w:t>4</w:t>
            </w:r>
          </w:p>
        </w:tc>
        <w:tc>
          <w:tcPr>
            <w:tcW w:w="1134" w:type="dxa"/>
            <w:vAlign w:val="bottom"/>
          </w:tcPr>
          <w:p w:rsidR="00E75D2F" w:rsidRPr="00E75D2F" w:rsidRDefault="008A7049" w:rsidP="0033631D">
            <w:pPr>
              <w:spacing w:line="240" w:lineRule="auto"/>
              <w:rPr>
                <w:rFonts w:eastAsia="Times New Roman" w:cs="Arial"/>
                <w:i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i/>
                <w:sz w:val="20"/>
                <w:szCs w:val="20"/>
                <w:lang w:eastAsia="sk-SK"/>
              </w:rPr>
              <w:t>R</w:t>
            </w:r>
            <w:r w:rsidR="00E75D2F" w:rsidRPr="00E75D2F">
              <w:rPr>
                <w:rFonts w:eastAsia="Times New Roman" w:cs="Arial"/>
                <w:i/>
                <w:sz w:val="20"/>
                <w:szCs w:val="20"/>
                <w:lang w:eastAsia="sk-SK"/>
              </w:rPr>
              <w:t>ozdiel v</w:t>
            </w:r>
            <w:r>
              <w:rPr>
                <w:rFonts w:eastAsia="Times New Roman" w:cs="Arial"/>
                <w:i/>
                <w:sz w:val="20"/>
                <w:szCs w:val="20"/>
                <w:lang w:eastAsia="sk-SK"/>
              </w:rPr>
              <w:t> </w:t>
            </w:r>
            <w:r w:rsidR="00E75D2F" w:rsidRPr="00E75D2F">
              <w:rPr>
                <w:rFonts w:eastAsia="Times New Roman" w:cs="Arial"/>
                <w:i/>
                <w:sz w:val="20"/>
                <w:szCs w:val="20"/>
                <w:lang w:eastAsia="sk-SK"/>
              </w:rPr>
              <w:t>poradí</w:t>
            </w:r>
            <w:r w:rsidR="00E75D2F" w:rsidRPr="008A7049">
              <w:rPr>
                <w:rFonts w:eastAsia="Times New Roman" w:cs="Arial"/>
                <w:i/>
                <w:sz w:val="20"/>
                <w:szCs w:val="20"/>
                <w:lang w:eastAsia="sk-SK"/>
              </w:rPr>
              <w:t>20</w:t>
            </w:r>
            <w:r>
              <w:rPr>
                <w:rFonts w:eastAsia="Times New Roman" w:cs="Arial"/>
                <w:i/>
                <w:sz w:val="20"/>
                <w:szCs w:val="20"/>
                <w:lang w:eastAsia="sk-SK"/>
              </w:rPr>
              <w:t>08-2011</w:t>
            </w:r>
          </w:p>
        </w:tc>
      </w:tr>
      <w:tr w:rsidR="00A94594" w:rsidRPr="008A7049" w:rsidTr="008A7049">
        <w:trPr>
          <w:trHeight w:val="255"/>
        </w:trPr>
        <w:tc>
          <w:tcPr>
            <w:tcW w:w="3828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b/>
                <w:sz w:val="20"/>
                <w:szCs w:val="20"/>
                <w:lang w:eastAsia="sk-SK"/>
              </w:rPr>
              <w:t>OP Doprava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1.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2.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1.</w:t>
            </w:r>
          </w:p>
        </w:tc>
        <w:tc>
          <w:tcPr>
            <w:tcW w:w="1276" w:type="dxa"/>
            <w:vAlign w:val="bottom"/>
          </w:tcPr>
          <w:p w:rsidR="00A94594" w:rsidRPr="00E75D2F" w:rsidRDefault="007C242E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1</w:t>
            </w:r>
          </w:p>
        </w:tc>
        <w:tc>
          <w:tcPr>
            <w:tcW w:w="1134" w:type="dxa"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-1</w:t>
            </w:r>
          </w:p>
        </w:tc>
      </w:tr>
      <w:tr w:rsidR="00A94594" w:rsidRPr="008A7049" w:rsidTr="008A7049">
        <w:trPr>
          <w:trHeight w:val="255"/>
        </w:trPr>
        <w:tc>
          <w:tcPr>
            <w:tcW w:w="3828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b/>
                <w:sz w:val="20"/>
                <w:szCs w:val="20"/>
                <w:lang w:eastAsia="sk-SK"/>
              </w:rPr>
              <w:t>OP Vzdelávanie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2.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6.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2.</w:t>
            </w:r>
          </w:p>
        </w:tc>
        <w:tc>
          <w:tcPr>
            <w:tcW w:w="1276" w:type="dxa"/>
            <w:vAlign w:val="bottom"/>
          </w:tcPr>
          <w:p w:rsidR="00A94594" w:rsidRPr="00E75D2F" w:rsidRDefault="007C242E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4</w:t>
            </w:r>
          </w:p>
        </w:tc>
        <w:tc>
          <w:tcPr>
            <w:tcW w:w="1134" w:type="dxa"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-4</w:t>
            </w:r>
          </w:p>
        </w:tc>
      </w:tr>
      <w:tr w:rsidR="00A94594" w:rsidRPr="008A7049" w:rsidTr="008A7049">
        <w:trPr>
          <w:trHeight w:val="255"/>
        </w:trPr>
        <w:tc>
          <w:tcPr>
            <w:tcW w:w="3828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b/>
                <w:sz w:val="20"/>
                <w:szCs w:val="20"/>
                <w:lang w:eastAsia="sk-SK"/>
              </w:rPr>
              <w:t>OP Zamestnanosť a sociálna inklúzia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3.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5.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6.</w:t>
            </w:r>
          </w:p>
        </w:tc>
        <w:tc>
          <w:tcPr>
            <w:tcW w:w="1276" w:type="dxa"/>
            <w:vAlign w:val="bottom"/>
          </w:tcPr>
          <w:p w:rsidR="00A94594" w:rsidRPr="00E75D2F" w:rsidRDefault="007C242E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2</w:t>
            </w:r>
          </w:p>
        </w:tc>
        <w:tc>
          <w:tcPr>
            <w:tcW w:w="1134" w:type="dxa"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1</w:t>
            </w:r>
          </w:p>
        </w:tc>
      </w:tr>
      <w:tr w:rsidR="00A94594" w:rsidRPr="008A7049" w:rsidTr="008A7049">
        <w:trPr>
          <w:trHeight w:val="255"/>
        </w:trPr>
        <w:tc>
          <w:tcPr>
            <w:tcW w:w="3828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b/>
                <w:sz w:val="20"/>
                <w:szCs w:val="20"/>
                <w:lang w:eastAsia="sk-SK"/>
              </w:rPr>
              <w:t>OP Výskum a vývoj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4.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4.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7.</w:t>
            </w:r>
          </w:p>
        </w:tc>
        <w:tc>
          <w:tcPr>
            <w:tcW w:w="1276" w:type="dxa"/>
            <w:vAlign w:val="bottom"/>
          </w:tcPr>
          <w:p w:rsidR="00A94594" w:rsidRPr="00E75D2F" w:rsidRDefault="007C242E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0</w:t>
            </w:r>
          </w:p>
        </w:tc>
        <w:tc>
          <w:tcPr>
            <w:tcW w:w="1134" w:type="dxa"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3</w:t>
            </w:r>
          </w:p>
        </w:tc>
      </w:tr>
      <w:tr w:rsidR="00A94594" w:rsidRPr="008A7049" w:rsidTr="008A7049">
        <w:trPr>
          <w:trHeight w:val="255"/>
        </w:trPr>
        <w:tc>
          <w:tcPr>
            <w:tcW w:w="3828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b/>
                <w:sz w:val="20"/>
                <w:szCs w:val="20"/>
                <w:lang w:eastAsia="sk-SK"/>
              </w:rPr>
              <w:t>Regionálny operačný program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5.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3.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3.</w:t>
            </w:r>
          </w:p>
        </w:tc>
        <w:tc>
          <w:tcPr>
            <w:tcW w:w="1276" w:type="dxa"/>
            <w:vAlign w:val="bottom"/>
          </w:tcPr>
          <w:p w:rsidR="00A94594" w:rsidRPr="00E75D2F" w:rsidRDefault="007C242E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-2</w:t>
            </w:r>
          </w:p>
        </w:tc>
        <w:tc>
          <w:tcPr>
            <w:tcW w:w="1134" w:type="dxa"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0</w:t>
            </w:r>
          </w:p>
        </w:tc>
      </w:tr>
      <w:tr w:rsidR="00A94594" w:rsidRPr="008A7049" w:rsidTr="008A7049">
        <w:trPr>
          <w:trHeight w:val="255"/>
        </w:trPr>
        <w:tc>
          <w:tcPr>
            <w:tcW w:w="3828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b/>
                <w:sz w:val="20"/>
                <w:szCs w:val="20"/>
                <w:lang w:eastAsia="sk-SK"/>
              </w:rPr>
              <w:t>OP Životné prostredie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6.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1.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4.</w:t>
            </w:r>
          </w:p>
        </w:tc>
        <w:tc>
          <w:tcPr>
            <w:tcW w:w="1276" w:type="dxa"/>
            <w:vAlign w:val="bottom"/>
          </w:tcPr>
          <w:p w:rsidR="00A94594" w:rsidRPr="00E75D2F" w:rsidRDefault="007C242E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-5</w:t>
            </w:r>
          </w:p>
        </w:tc>
        <w:tc>
          <w:tcPr>
            <w:tcW w:w="1134" w:type="dxa"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3</w:t>
            </w:r>
          </w:p>
        </w:tc>
      </w:tr>
      <w:tr w:rsidR="00A94594" w:rsidRPr="008A7049" w:rsidTr="008A7049">
        <w:trPr>
          <w:trHeight w:val="255"/>
        </w:trPr>
        <w:tc>
          <w:tcPr>
            <w:tcW w:w="3828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b/>
                <w:sz w:val="20"/>
                <w:szCs w:val="20"/>
                <w:lang w:eastAsia="sk-SK"/>
              </w:rPr>
              <w:t>OP Informatizácia spoločnosti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7.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9.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9.</w:t>
            </w:r>
          </w:p>
        </w:tc>
        <w:tc>
          <w:tcPr>
            <w:tcW w:w="1276" w:type="dxa"/>
            <w:vAlign w:val="bottom"/>
          </w:tcPr>
          <w:p w:rsidR="00A94594" w:rsidRPr="00E75D2F" w:rsidRDefault="007C242E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2</w:t>
            </w:r>
          </w:p>
        </w:tc>
        <w:tc>
          <w:tcPr>
            <w:tcW w:w="1134" w:type="dxa"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0</w:t>
            </w:r>
          </w:p>
        </w:tc>
      </w:tr>
      <w:tr w:rsidR="00A94594" w:rsidRPr="008A7049" w:rsidTr="008A7049">
        <w:trPr>
          <w:trHeight w:val="255"/>
        </w:trPr>
        <w:tc>
          <w:tcPr>
            <w:tcW w:w="3828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b/>
                <w:sz w:val="20"/>
                <w:szCs w:val="20"/>
                <w:lang w:eastAsia="sk-SK"/>
              </w:rPr>
              <w:t>OP Konkurencieschopnosť a</w:t>
            </w:r>
            <w:r>
              <w:rPr>
                <w:rFonts w:eastAsia="Times New Roman" w:cs="Arial"/>
                <w:b/>
                <w:sz w:val="20"/>
                <w:szCs w:val="20"/>
                <w:lang w:eastAsia="sk-SK"/>
              </w:rPr>
              <w:t> hospodársky rast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8.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8.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8.</w:t>
            </w:r>
          </w:p>
        </w:tc>
        <w:tc>
          <w:tcPr>
            <w:tcW w:w="1276" w:type="dxa"/>
            <w:vAlign w:val="bottom"/>
          </w:tcPr>
          <w:p w:rsidR="00A94594" w:rsidRPr="00E75D2F" w:rsidRDefault="007C242E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0</w:t>
            </w:r>
          </w:p>
        </w:tc>
        <w:tc>
          <w:tcPr>
            <w:tcW w:w="1134" w:type="dxa"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0</w:t>
            </w:r>
          </w:p>
        </w:tc>
      </w:tr>
      <w:tr w:rsidR="00A94594" w:rsidRPr="008A7049" w:rsidTr="008A7049">
        <w:trPr>
          <w:trHeight w:val="255"/>
        </w:trPr>
        <w:tc>
          <w:tcPr>
            <w:tcW w:w="3828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b/>
                <w:sz w:val="20"/>
                <w:szCs w:val="20"/>
                <w:lang w:eastAsia="sk-SK"/>
              </w:rPr>
              <w:t>OP Zdravotníctvo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9.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7.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5.</w:t>
            </w:r>
          </w:p>
        </w:tc>
        <w:tc>
          <w:tcPr>
            <w:tcW w:w="1276" w:type="dxa"/>
            <w:vAlign w:val="bottom"/>
          </w:tcPr>
          <w:p w:rsidR="00A94594" w:rsidRPr="00E75D2F" w:rsidRDefault="007C242E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-2</w:t>
            </w:r>
          </w:p>
        </w:tc>
        <w:tc>
          <w:tcPr>
            <w:tcW w:w="1134" w:type="dxa"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 w:rsidRPr="00E75D2F">
              <w:rPr>
                <w:rFonts w:eastAsia="Times New Roman" w:cs="Arial"/>
                <w:sz w:val="20"/>
                <w:szCs w:val="20"/>
                <w:lang w:eastAsia="sk-SK"/>
              </w:rPr>
              <w:t>-2</w:t>
            </w:r>
          </w:p>
        </w:tc>
      </w:tr>
      <w:tr w:rsidR="00A94594" w:rsidRPr="008A7049" w:rsidTr="008A7049">
        <w:trPr>
          <w:trHeight w:val="255"/>
        </w:trPr>
        <w:tc>
          <w:tcPr>
            <w:tcW w:w="3828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b/>
                <w:sz w:val="20"/>
                <w:szCs w:val="20"/>
                <w:lang w:eastAsia="sk-SK"/>
              </w:rPr>
              <w:t>OP Bratislavský kraj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10.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-</w:t>
            </w:r>
          </w:p>
        </w:tc>
        <w:tc>
          <w:tcPr>
            <w:tcW w:w="1276" w:type="dxa"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-</w:t>
            </w:r>
          </w:p>
        </w:tc>
        <w:tc>
          <w:tcPr>
            <w:tcW w:w="1134" w:type="dxa"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-</w:t>
            </w:r>
          </w:p>
        </w:tc>
      </w:tr>
      <w:tr w:rsidR="00A94594" w:rsidRPr="008A7049" w:rsidTr="008A7049">
        <w:trPr>
          <w:trHeight w:val="255"/>
        </w:trPr>
        <w:tc>
          <w:tcPr>
            <w:tcW w:w="3828" w:type="dxa"/>
            <w:shd w:val="clear" w:color="auto" w:fill="auto"/>
            <w:noWrap/>
            <w:vAlign w:val="bottom"/>
          </w:tcPr>
          <w:p w:rsidR="00A94594" w:rsidRDefault="00A94594" w:rsidP="0033631D">
            <w:pPr>
              <w:spacing w:line="240" w:lineRule="auto"/>
              <w:rPr>
                <w:rFonts w:eastAsia="Times New Roman" w:cs="Arial"/>
                <w:b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b/>
                <w:sz w:val="20"/>
                <w:szCs w:val="20"/>
                <w:lang w:eastAsia="sk-SK"/>
              </w:rPr>
              <w:t>OP Technická pomoc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11.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A94594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A94594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-</w:t>
            </w:r>
          </w:p>
        </w:tc>
        <w:tc>
          <w:tcPr>
            <w:tcW w:w="1276" w:type="dxa"/>
            <w:vAlign w:val="bottom"/>
          </w:tcPr>
          <w:p w:rsidR="00A94594" w:rsidRPr="00E75D2F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-</w:t>
            </w:r>
          </w:p>
        </w:tc>
        <w:tc>
          <w:tcPr>
            <w:tcW w:w="1134" w:type="dxa"/>
            <w:vAlign w:val="bottom"/>
          </w:tcPr>
          <w:p w:rsidR="00A94594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sk-SK"/>
              </w:rPr>
            </w:pPr>
            <w:r>
              <w:rPr>
                <w:rFonts w:eastAsia="Times New Roman" w:cs="Arial"/>
                <w:sz w:val="20"/>
                <w:szCs w:val="20"/>
                <w:lang w:eastAsia="sk-SK"/>
              </w:rPr>
              <w:t>-</w:t>
            </w:r>
          </w:p>
        </w:tc>
      </w:tr>
    </w:tbl>
    <w:p w:rsidR="00E75D2F" w:rsidRDefault="00E75D2F" w:rsidP="0033631D">
      <w:pPr>
        <w:rPr>
          <w:rFonts w:cs="Arial"/>
          <w:sz w:val="20"/>
        </w:rPr>
      </w:pPr>
    </w:p>
    <w:p w:rsidR="00815AEC" w:rsidRPr="00011DBA" w:rsidRDefault="00815AEC" w:rsidP="0033631D">
      <w:pPr>
        <w:pStyle w:val="Nadpis3"/>
      </w:pPr>
      <w:bookmarkStart w:id="27" w:name="_Toc410051296"/>
      <w:r w:rsidRPr="00011DBA">
        <w:t xml:space="preserve">Zdroje informácií </w:t>
      </w:r>
      <w:r w:rsidR="00011DBA" w:rsidRPr="00011DBA">
        <w:t>o finančnej pomoci EÚ na Slovensku</w:t>
      </w:r>
      <w:bookmarkEnd w:id="27"/>
    </w:p>
    <w:p w:rsidR="00011DBA" w:rsidRPr="00C77A57" w:rsidRDefault="00011DBA" w:rsidP="0033631D">
      <w:r w:rsidRPr="00C77A57">
        <w:t>Televízia patrí k najviac využívaným zdrojom informácií o možnosti finančnej podpory z</w:t>
      </w:r>
      <w:r w:rsidR="00F87E04" w:rsidRPr="00C77A57">
        <w:t> </w:t>
      </w:r>
      <w:r w:rsidRPr="00C77A57">
        <w:t>E</w:t>
      </w:r>
      <w:r w:rsidR="00F87E04" w:rsidRPr="00C77A57">
        <w:t>Ú, využíva ju až 83 % ľudí. Druhým najčastejšie využívaním z</w:t>
      </w:r>
      <w:r w:rsidR="00115052">
        <w:t>dr</w:t>
      </w:r>
      <w:r w:rsidR="00F87E04" w:rsidRPr="00C77A57">
        <w:t xml:space="preserve">ojom sú noviny a časopisy (55 %) a využívaný je aj rozhlas (50 %). </w:t>
      </w:r>
    </w:p>
    <w:p w:rsidR="00A10674" w:rsidRDefault="00A10674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  <w:highlight w:val="yellow"/>
        </w:rPr>
      </w:pPr>
      <w:r>
        <w:rPr>
          <w:highlight w:val="yellow"/>
        </w:rPr>
        <w:br w:type="page"/>
      </w:r>
    </w:p>
    <w:p w:rsidR="005F1388" w:rsidRPr="00BC4524" w:rsidRDefault="005F1388" w:rsidP="0033631D">
      <w:pPr>
        <w:pStyle w:val="popis2"/>
      </w:pPr>
      <w:r w:rsidRPr="00236536">
        <w:lastRenderedPageBreak/>
        <w:t xml:space="preserve">Graf č. </w:t>
      </w:r>
      <w:r w:rsidR="00647D11" w:rsidRPr="00236536">
        <w:fldChar w:fldCharType="begin"/>
      </w:r>
      <w:r w:rsidRPr="00236536">
        <w:instrText xml:space="preserve"> SEQ Graf \* ARABIC </w:instrText>
      </w:r>
      <w:r w:rsidR="00647D11" w:rsidRPr="00236536">
        <w:fldChar w:fldCharType="separate"/>
      </w:r>
      <w:r w:rsidR="008B1877">
        <w:rPr>
          <w:noProof/>
        </w:rPr>
        <w:t>33</w:t>
      </w:r>
      <w:r w:rsidR="00647D11" w:rsidRPr="00236536">
        <w:rPr>
          <w:noProof/>
        </w:rPr>
        <w:fldChar w:fldCharType="end"/>
      </w:r>
      <w:r w:rsidRPr="00236536">
        <w:t xml:space="preserve">: </w:t>
      </w:r>
      <w:r w:rsidR="00F87E04" w:rsidRPr="00236536">
        <w:t xml:space="preserve">Zdroje získavania informácií o finančnej pomoci EÚ na Slovensku </w:t>
      </w:r>
    </w:p>
    <w:p w:rsidR="005226FB" w:rsidRDefault="00471108" w:rsidP="0033631D">
      <w:pPr>
        <w:pStyle w:val="Bezriadkovania"/>
      </w:pPr>
      <w:r w:rsidRPr="005226FB">
        <w:rPr>
          <w:rFonts w:cs="Arial"/>
        </w:rPr>
        <w:t>Q7</w:t>
      </w:r>
      <w:r w:rsidR="00815AEC">
        <w:rPr>
          <w:rFonts w:cs="Arial"/>
        </w:rPr>
        <w:t xml:space="preserve">, </w:t>
      </w:r>
      <w:r w:rsidR="00A94594" w:rsidRPr="00A649A7">
        <w:rPr>
          <w:rFonts w:cs="Arial"/>
        </w:rPr>
        <w:t>N=500</w:t>
      </w:r>
    </w:p>
    <w:p w:rsidR="005226FB" w:rsidRDefault="00471108" w:rsidP="0033631D">
      <w:pPr>
        <w:rPr>
          <w:rFonts w:cs="Arial"/>
          <w:sz w:val="20"/>
        </w:rPr>
      </w:pPr>
      <w:r w:rsidRPr="0012644D">
        <w:rPr>
          <w:rFonts w:cs="Arial"/>
          <w:noProof/>
          <w:sz w:val="20"/>
          <w:szCs w:val="20"/>
          <w:lang w:eastAsia="sk-SK"/>
        </w:rPr>
        <w:drawing>
          <wp:anchor distT="0" distB="0" distL="114300" distR="114300" simplePos="0" relativeHeight="251688960" behindDoc="0" locked="0" layoutInCell="1" allowOverlap="1" wp14:anchorId="47DBB1B3" wp14:editId="523CF020">
            <wp:simplePos x="895350" y="1190625"/>
            <wp:positionH relativeFrom="column">
              <wp:align>left</wp:align>
            </wp:positionH>
            <wp:positionV relativeFrom="paragraph">
              <wp:align>top</wp:align>
            </wp:positionV>
            <wp:extent cx="5486400" cy="4933950"/>
            <wp:effectExtent l="0" t="0" r="0" b="0"/>
            <wp:wrapSquare wrapText="bothSides"/>
            <wp:docPr id="23" name="Graf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anchor>
        </w:drawing>
      </w:r>
    </w:p>
    <w:p w:rsidR="005F1388" w:rsidRPr="00996165" w:rsidRDefault="005F1388" w:rsidP="0033631D">
      <w:pPr>
        <w:pStyle w:val="Popis"/>
        <w:rPr>
          <w:sz w:val="20"/>
        </w:rPr>
      </w:pPr>
      <w:r w:rsidRPr="00996165">
        <w:rPr>
          <w:sz w:val="20"/>
        </w:rPr>
        <w:t xml:space="preserve">Tabuľka č. </w:t>
      </w:r>
      <w:r w:rsidR="00647D11" w:rsidRPr="00996165">
        <w:rPr>
          <w:sz w:val="20"/>
        </w:rPr>
        <w:fldChar w:fldCharType="begin"/>
      </w:r>
      <w:r w:rsidRPr="00996165">
        <w:rPr>
          <w:sz w:val="20"/>
        </w:rPr>
        <w:instrText xml:space="preserve"> SEQ Tabuľka \* ARABIC </w:instrText>
      </w:r>
      <w:r w:rsidR="00647D11" w:rsidRPr="00996165">
        <w:rPr>
          <w:sz w:val="20"/>
        </w:rPr>
        <w:fldChar w:fldCharType="separate"/>
      </w:r>
      <w:r w:rsidR="008B1877">
        <w:rPr>
          <w:noProof/>
          <w:sz w:val="20"/>
        </w:rPr>
        <w:t>19</w:t>
      </w:r>
      <w:r w:rsidR="00647D11" w:rsidRPr="00996165">
        <w:rPr>
          <w:noProof/>
          <w:sz w:val="20"/>
        </w:rPr>
        <w:fldChar w:fldCharType="end"/>
      </w:r>
      <w:r w:rsidRPr="00996165">
        <w:rPr>
          <w:sz w:val="20"/>
        </w:rPr>
        <w:t xml:space="preserve">: </w:t>
      </w:r>
      <w:r w:rsidR="00A649A7" w:rsidRPr="00996165">
        <w:rPr>
          <w:sz w:val="20"/>
        </w:rPr>
        <w:t xml:space="preserve">Najčastejšie využívané zdroje na získavanie informácií o finančnej pomoci EÚ na Slovensku podľa sledovaných </w:t>
      </w:r>
      <w:proofErr w:type="spellStart"/>
      <w:r w:rsidR="00A649A7" w:rsidRPr="00996165">
        <w:rPr>
          <w:sz w:val="20"/>
        </w:rPr>
        <w:t>socio</w:t>
      </w:r>
      <w:proofErr w:type="spellEnd"/>
      <w:r w:rsidR="00A649A7" w:rsidRPr="00996165">
        <w:rPr>
          <w:sz w:val="20"/>
        </w:rPr>
        <w:t xml:space="preserve"> demografických skupín</w:t>
      </w:r>
    </w:p>
    <w:p w:rsidR="00A649A7" w:rsidRDefault="00A649A7" w:rsidP="0033631D">
      <w:pPr>
        <w:rPr>
          <w:rFonts w:cs="Arial"/>
          <w:sz w:val="20"/>
        </w:rPr>
      </w:pPr>
    </w:p>
    <w:p w:rsidR="00542C79" w:rsidRDefault="00A649A7" w:rsidP="0033631D">
      <w:pPr>
        <w:rPr>
          <w:rFonts w:cs="Arial"/>
          <w:sz w:val="20"/>
        </w:rPr>
      </w:pPr>
      <w:r>
        <w:rPr>
          <w:rFonts w:cs="Arial"/>
          <w:sz w:val="20"/>
        </w:rPr>
        <w:t xml:space="preserve">Q7, </w:t>
      </w:r>
      <w:r w:rsidRPr="00A649A7">
        <w:rPr>
          <w:rFonts w:cs="Arial"/>
          <w:sz w:val="20"/>
        </w:rPr>
        <w:t>N=500</w:t>
      </w:r>
    </w:p>
    <w:tbl>
      <w:tblPr>
        <w:tblpPr w:leftFromText="141" w:rightFromText="141" w:vertAnchor="text" w:horzAnchor="margin" w:tblpX="70" w:tblpY="173"/>
        <w:tblW w:w="88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395"/>
        <w:gridCol w:w="948"/>
        <w:gridCol w:w="1134"/>
        <w:gridCol w:w="1134"/>
        <w:gridCol w:w="1229"/>
      </w:tblGrid>
      <w:tr w:rsidR="00542C79" w:rsidRPr="00542C79" w:rsidTr="009F5D04">
        <w:trPr>
          <w:trHeight w:val="270"/>
        </w:trPr>
        <w:tc>
          <w:tcPr>
            <w:tcW w:w="8840" w:type="dxa"/>
            <w:gridSpan w:val="5"/>
            <w:shd w:val="clear" w:color="auto" w:fill="B3B3B3"/>
            <w:noWrap/>
            <w:vAlign w:val="center"/>
          </w:tcPr>
          <w:p w:rsidR="00542C79" w:rsidRPr="002A7FC3" w:rsidRDefault="00542C79" w:rsidP="0033631D">
            <w:pPr>
              <w:spacing w:line="240" w:lineRule="auto"/>
              <w:rPr>
                <w:rFonts w:eastAsia="Times New Roman" w:cs="Arial"/>
                <w:b/>
                <w:color w:val="000000"/>
                <w:sz w:val="20"/>
                <w:szCs w:val="20"/>
                <w:lang w:eastAsia="sk-SK"/>
              </w:rPr>
            </w:pPr>
            <w:proofErr w:type="spellStart"/>
            <w:r w:rsidRPr="002A7FC3">
              <w:rPr>
                <w:rFonts w:eastAsia="Times New Roman" w:cs="Arial"/>
                <w:b/>
                <w:color w:val="000000"/>
                <w:sz w:val="20"/>
                <w:szCs w:val="20"/>
                <w:lang w:eastAsia="sk-SK"/>
              </w:rPr>
              <w:t>Využívanosť</w:t>
            </w:r>
            <w:proofErr w:type="spellEnd"/>
            <w:r w:rsidRPr="002A7FC3">
              <w:rPr>
                <w:rFonts w:eastAsia="Times New Roman" w:cs="Arial"/>
                <w:b/>
                <w:color w:val="000000"/>
                <w:sz w:val="20"/>
                <w:szCs w:val="20"/>
                <w:lang w:eastAsia="sk-SK"/>
              </w:rPr>
              <w:t xml:space="preserve"> najčastejšie využívaných zdrojov na získavanie informácií o finančnej pomoci EÚ na Slovensku podľa sledovaných </w:t>
            </w:r>
            <w:proofErr w:type="spellStart"/>
            <w:r w:rsidRPr="002A7FC3">
              <w:rPr>
                <w:rFonts w:eastAsia="Times New Roman" w:cs="Arial"/>
                <w:b/>
                <w:color w:val="000000"/>
                <w:sz w:val="20"/>
                <w:szCs w:val="20"/>
                <w:lang w:eastAsia="sk-SK"/>
              </w:rPr>
              <w:t>socio</w:t>
            </w:r>
            <w:r w:rsidRPr="002A7FC3">
              <w:rPr>
                <w:rFonts w:eastAsia="Times New Roman" w:cs="Arial"/>
                <w:b/>
                <w:color w:val="000000"/>
                <w:sz w:val="20"/>
                <w:szCs w:val="20"/>
                <w:lang w:eastAsia="sk-SK"/>
              </w:rPr>
              <w:noBreakHyphen/>
              <w:t>demografických</w:t>
            </w:r>
            <w:proofErr w:type="spellEnd"/>
            <w:r w:rsidRPr="002A7FC3">
              <w:rPr>
                <w:rFonts w:eastAsia="Times New Roman" w:cs="Arial"/>
                <w:b/>
                <w:color w:val="000000"/>
                <w:sz w:val="20"/>
                <w:szCs w:val="20"/>
                <w:lang w:eastAsia="sk-SK"/>
              </w:rPr>
              <w:t xml:space="preserve"> skupín.</w:t>
            </w:r>
          </w:p>
          <w:p w:rsidR="00542C79" w:rsidRPr="002A7FC3" w:rsidRDefault="00542C79" w:rsidP="0033631D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(údaje v %)</w:t>
            </w:r>
          </w:p>
          <w:p w:rsidR="00542C79" w:rsidRPr="002A7FC3" w:rsidRDefault="00542C79" w:rsidP="0033631D">
            <w:pPr>
              <w:spacing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</w:p>
        </w:tc>
      </w:tr>
      <w:tr w:rsidR="00542C79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542C79" w:rsidRPr="002A7FC3" w:rsidRDefault="00542C79" w:rsidP="00A10674">
            <w:pPr>
              <w:spacing w:line="240" w:lineRule="auto"/>
              <w:jc w:val="left"/>
              <w:rPr>
                <w:rFonts w:eastAsia="Times New Roman" w:cs="Arial"/>
                <w:sz w:val="20"/>
                <w:szCs w:val="20"/>
                <w:lang w:eastAsia="sk-SK"/>
              </w:rPr>
            </w:pPr>
          </w:p>
        </w:tc>
        <w:tc>
          <w:tcPr>
            <w:tcW w:w="948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42C79" w:rsidRPr="002A7FC3" w:rsidRDefault="00542C79" w:rsidP="00A10674">
            <w:pPr>
              <w:spacing w:line="240" w:lineRule="auto"/>
              <w:jc w:val="center"/>
              <w:rPr>
                <w:rFonts w:eastAsia="Times New Roman" w:cs="Arial"/>
                <w:i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i/>
                <w:color w:val="000000"/>
                <w:sz w:val="20"/>
                <w:szCs w:val="20"/>
                <w:lang w:eastAsia="sk-SK"/>
              </w:rPr>
              <w:t>televízia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42C79" w:rsidRPr="002A7FC3" w:rsidRDefault="00542C79" w:rsidP="00A10674">
            <w:pPr>
              <w:spacing w:line="240" w:lineRule="auto"/>
              <w:jc w:val="center"/>
              <w:rPr>
                <w:rFonts w:eastAsia="Times New Roman" w:cs="Arial"/>
                <w:i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i/>
                <w:color w:val="000000"/>
                <w:sz w:val="20"/>
                <w:szCs w:val="20"/>
                <w:lang w:eastAsia="sk-SK"/>
              </w:rPr>
              <w:t>noviny a časopisy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42C79" w:rsidRPr="002A7FC3" w:rsidRDefault="00542C79" w:rsidP="00A10674">
            <w:pPr>
              <w:spacing w:line="240" w:lineRule="auto"/>
              <w:jc w:val="center"/>
              <w:rPr>
                <w:rFonts w:eastAsia="Times New Roman" w:cs="Arial"/>
                <w:i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i/>
                <w:color w:val="000000"/>
                <w:sz w:val="20"/>
                <w:szCs w:val="20"/>
                <w:lang w:eastAsia="sk-SK"/>
              </w:rPr>
              <w:t>rozhlas</w:t>
            </w:r>
          </w:p>
        </w:tc>
        <w:tc>
          <w:tcPr>
            <w:tcW w:w="122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42C79" w:rsidRPr="002A7FC3" w:rsidRDefault="00542C79" w:rsidP="00A10674">
            <w:pPr>
              <w:spacing w:line="240" w:lineRule="auto"/>
              <w:jc w:val="center"/>
              <w:rPr>
                <w:rFonts w:eastAsia="Times New Roman" w:cs="Arial"/>
                <w:i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i/>
                <w:color w:val="000000"/>
                <w:sz w:val="20"/>
                <w:szCs w:val="20"/>
                <w:lang w:eastAsia="sk-SK"/>
              </w:rPr>
              <w:t>internetové portály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muži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79,3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51,7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47,0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61,6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ženy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86,2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57,1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52,2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49,3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veková skupina od 15 do 29 rokov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64,5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35,5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29,1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75,5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veková skupina od 30 do 39 rokov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81,3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44,8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43,8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62,5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lastRenderedPageBreak/>
              <w:t>veková skupina od 40 do 49 rokov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87,9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56,6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52,5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61,6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veková skupina od 50 do 59 rokov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89,9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59,4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59,4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43,5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veková skupina od 60 do 69 rokov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91,7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76,2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65,5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38,1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veková skupina nad 70 rokov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95,2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71,4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64,3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21,4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nižšie ako vysokoškolské vzdelanie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86,2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53,5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50,8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48,3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vysokoškolské vzdelanie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76,6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56,9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47,9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68,3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Bratislavský kraj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86,7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66,7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55,0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50,0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Trnavský kraj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94,5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45,5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45,5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50,9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Trenčiansky kraj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83,1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64,4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54,2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49,2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Nitriansky kraj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83,3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55,6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44,4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59,3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Žilinský kraj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85,1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52,2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46,3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52,2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Banskobystrický kraj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78,6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51,8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48,2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53,6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Prešovský kraj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77,9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53,2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53,2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66,2</w:t>
            </w:r>
          </w:p>
        </w:tc>
      </w:tr>
      <w:tr w:rsidR="00A94594" w:rsidRPr="00542C79" w:rsidTr="00A10674">
        <w:trPr>
          <w:trHeight w:val="270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Košický kraj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77,8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48,6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50,0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55,6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sídla do 1 999 obyvateľov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85,2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52,1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52,8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54,9</w:t>
            </w:r>
          </w:p>
        </w:tc>
      </w:tr>
      <w:tr w:rsidR="00A94594" w:rsidRPr="00542C79" w:rsidTr="00A10674">
        <w:trPr>
          <w:trHeight w:val="255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sídla od 2 000 do 19 999 obyvateľov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84,3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57,9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50,9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50,3</w:t>
            </w:r>
          </w:p>
        </w:tc>
      </w:tr>
      <w:tr w:rsidR="00A94594" w:rsidRPr="00542C79" w:rsidTr="00A10674">
        <w:trPr>
          <w:trHeight w:val="270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sídla od 20 000 do 99 999 obyvateľov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80,6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49,3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47,0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57,5</w:t>
            </w:r>
          </w:p>
        </w:tc>
      </w:tr>
      <w:tr w:rsidR="00A94594" w:rsidRPr="00542C79" w:rsidTr="00A10674">
        <w:trPr>
          <w:trHeight w:val="270"/>
        </w:trPr>
        <w:tc>
          <w:tcPr>
            <w:tcW w:w="4395" w:type="dxa"/>
            <w:shd w:val="clear" w:color="auto" w:fill="auto"/>
            <w:noWrap/>
            <w:vAlign w:val="center"/>
          </w:tcPr>
          <w:p w:rsidR="00A94594" w:rsidRPr="002A7FC3" w:rsidRDefault="00A94594" w:rsidP="00A10674">
            <w:pPr>
              <w:spacing w:line="240" w:lineRule="auto"/>
              <w:jc w:val="left"/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</w:pPr>
            <w:r w:rsidRPr="002A7FC3">
              <w:rPr>
                <w:rFonts w:eastAsia="Times New Roman" w:cs="Arial"/>
                <w:color w:val="000000"/>
                <w:sz w:val="20"/>
                <w:szCs w:val="20"/>
                <w:lang w:eastAsia="sk-SK"/>
              </w:rPr>
              <w:t>sídla od 100 000 obyvateľov</w:t>
            </w:r>
          </w:p>
        </w:tc>
        <w:tc>
          <w:tcPr>
            <w:tcW w:w="948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80,0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63,1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46,2</w:t>
            </w:r>
          </w:p>
        </w:tc>
        <w:tc>
          <w:tcPr>
            <w:tcW w:w="1229" w:type="dxa"/>
            <w:shd w:val="clear" w:color="auto" w:fill="auto"/>
            <w:noWrap/>
            <w:vAlign w:val="center"/>
          </w:tcPr>
          <w:p w:rsidR="00A94594" w:rsidRDefault="00A94594" w:rsidP="00A10674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</w:rPr>
              <w:t>61,5</w:t>
            </w:r>
          </w:p>
        </w:tc>
      </w:tr>
    </w:tbl>
    <w:p w:rsidR="005E05CC" w:rsidRDefault="005E05CC" w:rsidP="0033631D">
      <w:pPr>
        <w:rPr>
          <w:rFonts w:cs="Arial"/>
          <w:sz w:val="20"/>
        </w:rPr>
      </w:pPr>
    </w:p>
    <w:p w:rsidR="00A649A7" w:rsidRPr="00A649A7" w:rsidRDefault="00A649A7" w:rsidP="0033631D">
      <w:pPr>
        <w:rPr>
          <w:rFonts w:cs="Arial"/>
        </w:rPr>
      </w:pPr>
      <w:r>
        <w:rPr>
          <w:rFonts w:cs="Arial"/>
        </w:rPr>
        <w:t xml:space="preserve">Televíziu, noviny, časopisy a rozhlas </w:t>
      </w:r>
      <w:r w:rsidRPr="00A649A7">
        <w:rPr>
          <w:rFonts w:cs="Arial"/>
        </w:rPr>
        <w:t>ako zdroj</w:t>
      </w:r>
      <w:r>
        <w:rPr>
          <w:rFonts w:cs="Arial"/>
        </w:rPr>
        <w:t>e</w:t>
      </w:r>
      <w:r w:rsidRPr="00A649A7">
        <w:rPr>
          <w:rFonts w:cs="Arial"/>
        </w:rPr>
        <w:t xml:space="preserve"> na získavanie informácií o finančnej pomoci EÚ na Slovensku</w:t>
      </w:r>
      <w:r>
        <w:rPr>
          <w:rFonts w:cs="Arial"/>
        </w:rPr>
        <w:t xml:space="preserve"> preferujú viac ženy ako muži, naopak internetové portály sú obľúbené viac u mužov (62%).</w:t>
      </w:r>
      <w:r w:rsidR="00EE53AC">
        <w:rPr>
          <w:rFonts w:cs="Arial"/>
        </w:rPr>
        <w:t>S rastom veku stúpa obľúbenosť televízie (</w:t>
      </w:r>
      <w:r>
        <w:rPr>
          <w:rFonts w:cs="Arial"/>
        </w:rPr>
        <w:t>95% populácie nad 70 rokov využíva najvi</w:t>
      </w:r>
      <w:r w:rsidR="00EE53AC">
        <w:rPr>
          <w:rFonts w:cs="Arial"/>
        </w:rPr>
        <w:t>ac televíziu) a naopak, so zvyšujúcim sa vekom klesá obľúbenosť internetových portálov (76% mladých vo veku od 15 do 29 rokov získava informácie o finančnej pomoci EÚ z internetových portálov)</w:t>
      </w:r>
      <w:r w:rsidRPr="00A649A7">
        <w:rPr>
          <w:rFonts w:cs="Arial"/>
        </w:rPr>
        <w:t>.</w:t>
      </w:r>
    </w:p>
    <w:p w:rsidR="00A10674" w:rsidRDefault="00A10674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rPr>
          <w:sz w:val="20"/>
        </w:rPr>
        <w:br w:type="page"/>
      </w:r>
    </w:p>
    <w:p w:rsidR="005F1388" w:rsidRPr="00996165" w:rsidRDefault="005F1388" w:rsidP="0033631D">
      <w:pPr>
        <w:pStyle w:val="Popis"/>
        <w:rPr>
          <w:sz w:val="20"/>
        </w:rPr>
      </w:pPr>
      <w:r w:rsidRPr="00996165">
        <w:rPr>
          <w:sz w:val="20"/>
        </w:rPr>
        <w:lastRenderedPageBreak/>
        <w:t xml:space="preserve">Tabuľka č. </w:t>
      </w:r>
      <w:r w:rsidR="00647D11" w:rsidRPr="00996165">
        <w:rPr>
          <w:sz w:val="20"/>
        </w:rPr>
        <w:fldChar w:fldCharType="begin"/>
      </w:r>
      <w:r w:rsidRPr="00996165">
        <w:rPr>
          <w:sz w:val="20"/>
        </w:rPr>
        <w:instrText xml:space="preserve"> SEQ Tabuľka \* ARABIC </w:instrText>
      </w:r>
      <w:r w:rsidR="00647D11" w:rsidRPr="00996165">
        <w:rPr>
          <w:sz w:val="20"/>
        </w:rPr>
        <w:fldChar w:fldCharType="separate"/>
      </w:r>
      <w:r w:rsidR="008B1877">
        <w:rPr>
          <w:noProof/>
          <w:sz w:val="20"/>
        </w:rPr>
        <w:t>20</w:t>
      </w:r>
      <w:r w:rsidR="00647D11" w:rsidRPr="00996165">
        <w:rPr>
          <w:noProof/>
          <w:sz w:val="20"/>
        </w:rPr>
        <w:fldChar w:fldCharType="end"/>
      </w:r>
      <w:r w:rsidRPr="00996165">
        <w:rPr>
          <w:sz w:val="20"/>
        </w:rPr>
        <w:t xml:space="preserve">: </w:t>
      </w:r>
      <w:r w:rsidR="00996165" w:rsidRPr="00996165">
        <w:rPr>
          <w:sz w:val="20"/>
        </w:rPr>
        <w:t>Využívanie jednotlivých zdrojov na získavanie informácií o finančnej pomoci EÚ Slovensku</w:t>
      </w:r>
    </w:p>
    <w:p w:rsidR="00996165" w:rsidRDefault="00996165" w:rsidP="0033631D">
      <w:pPr>
        <w:rPr>
          <w:rFonts w:cs="Arial"/>
          <w:sz w:val="20"/>
        </w:rPr>
      </w:pPr>
    </w:p>
    <w:p w:rsidR="009F5D04" w:rsidRDefault="00996165" w:rsidP="0033631D">
      <w:pPr>
        <w:rPr>
          <w:rFonts w:cs="Arial"/>
          <w:sz w:val="20"/>
        </w:rPr>
      </w:pPr>
      <w:r>
        <w:rPr>
          <w:rFonts w:cs="Arial"/>
          <w:sz w:val="20"/>
        </w:rPr>
        <w:t xml:space="preserve">Q7, </w:t>
      </w:r>
      <w:r w:rsidRPr="00A649A7">
        <w:rPr>
          <w:rFonts w:cs="Arial"/>
          <w:sz w:val="20"/>
        </w:rPr>
        <w:t>N=500</w:t>
      </w:r>
    </w:p>
    <w:tbl>
      <w:tblPr>
        <w:tblW w:w="8961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47"/>
        <w:gridCol w:w="1266"/>
        <w:gridCol w:w="1423"/>
        <w:gridCol w:w="1564"/>
        <w:gridCol w:w="1280"/>
        <w:gridCol w:w="1281"/>
      </w:tblGrid>
      <w:tr w:rsidR="00F24CF5" w:rsidRPr="00F24CF5" w:rsidTr="00236536">
        <w:trPr>
          <w:trHeight w:val="306"/>
        </w:trPr>
        <w:tc>
          <w:tcPr>
            <w:tcW w:w="8961" w:type="dxa"/>
            <w:gridSpan w:val="6"/>
            <w:shd w:val="clear" w:color="auto" w:fill="B3B3B3"/>
            <w:noWrap/>
            <w:vAlign w:val="bottom"/>
          </w:tcPr>
          <w:p w:rsidR="00F24CF5" w:rsidRPr="002A7FC3" w:rsidRDefault="00F24CF5" w:rsidP="0033631D">
            <w:pPr>
              <w:spacing w:line="240" w:lineRule="auto"/>
              <w:rPr>
                <w:rFonts w:eastAsia="Times New Roman" w:cs="Arial"/>
                <w:b/>
                <w:sz w:val="20"/>
                <w:lang w:eastAsia="sk-SK"/>
              </w:rPr>
            </w:pPr>
          </w:p>
          <w:p w:rsidR="00F24CF5" w:rsidRPr="002A7FC3" w:rsidRDefault="00F24CF5" w:rsidP="0033631D">
            <w:pPr>
              <w:spacing w:line="240" w:lineRule="auto"/>
              <w:rPr>
                <w:rFonts w:eastAsia="Times New Roman" w:cs="Arial"/>
                <w:b/>
                <w:sz w:val="20"/>
                <w:lang w:eastAsia="sk-SK"/>
              </w:rPr>
            </w:pPr>
            <w:r w:rsidRPr="002A7FC3">
              <w:rPr>
                <w:rFonts w:eastAsia="Times New Roman" w:cs="Arial"/>
                <w:b/>
                <w:sz w:val="20"/>
                <w:lang w:eastAsia="sk-SK"/>
              </w:rPr>
              <w:t>Využívanie jednotlivých zdrojov na získavanie informácií o finančnej pomoci EÚ Slovensku</w:t>
            </w:r>
          </w:p>
          <w:p w:rsidR="00F24CF5" w:rsidRPr="002A7FC3" w:rsidRDefault="00F24CF5" w:rsidP="0033631D">
            <w:pPr>
              <w:spacing w:line="240" w:lineRule="auto"/>
              <w:jc w:val="right"/>
              <w:rPr>
                <w:rFonts w:eastAsia="Times New Roman" w:cs="Arial"/>
                <w:b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(údaje v %)</w:t>
            </w:r>
          </w:p>
        </w:tc>
      </w:tr>
      <w:tr w:rsidR="00F24CF5" w:rsidRPr="00F24CF5" w:rsidTr="00236536">
        <w:trPr>
          <w:trHeight w:val="306"/>
        </w:trPr>
        <w:tc>
          <w:tcPr>
            <w:tcW w:w="2147" w:type="dxa"/>
            <w:shd w:val="clear" w:color="auto" w:fill="auto"/>
            <w:noWrap/>
            <w:vAlign w:val="bottom"/>
          </w:tcPr>
          <w:p w:rsidR="00F24CF5" w:rsidRPr="002A7FC3" w:rsidRDefault="00F24CF5" w:rsidP="0033631D">
            <w:pPr>
              <w:spacing w:line="240" w:lineRule="auto"/>
              <w:rPr>
                <w:rFonts w:eastAsia="Times New Roman" w:cs="Arial"/>
                <w:sz w:val="20"/>
                <w:lang w:eastAsia="sk-SK"/>
              </w:rPr>
            </w:pPr>
          </w:p>
        </w:tc>
        <w:tc>
          <w:tcPr>
            <w:tcW w:w="1266" w:type="dxa"/>
            <w:shd w:val="clear" w:color="auto" w:fill="auto"/>
            <w:noWrap/>
            <w:vAlign w:val="center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i/>
                <w:sz w:val="20"/>
                <w:lang w:eastAsia="sk-SK"/>
              </w:rPr>
            </w:pPr>
            <w:r w:rsidRPr="002A7FC3">
              <w:rPr>
                <w:rFonts w:eastAsia="Times New Roman" w:cs="Arial"/>
                <w:i/>
                <w:sz w:val="20"/>
                <w:lang w:eastAsia="sk-SK"/>
              </w:rPr>
              <w:t>rok 2014</w:t>
            </w:r>
          </w:p>
        </w:tc>
        <w:tc>
          <w:tcPr>
            <w:tcW w:w="1423" w:type="dxa"/>
            <w:shd w:val="clear" w:color="auto" w:fill="auto"/>
            <w:noWrap/>
            <w:vAlign w:val="center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i/>
                <w:sz w:val="20"/>
                <w:lang w:eastAsia="sk-SK"/>
              </w:rPr>
            </w:pPr>
            <w:r w:rsidRPr="002A7FC3">
              <w:rPr>
                <w:rFonts w:eastAsia="Times New Roman" w:cs="Arial"/>
                <w:i/>
                <w:sz w:val="20"/>
                <w:lang w:eastAsia="sk-SK"/>
              </w:rPr>
              <w:t>rok 2011</w:t>
            </w:r>
          </w:p>
        </w:tc>
        <w:tc>
          <w:tcPr>
            <w:tcW w:w="1564" w:type="dxa"/>
            <w:shd w:val="clear" w:color="auto" w:fill="auto"/>
            <w:noWrap/>
            <w:vAlign w:val="center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i/>
                <w:sz w:val="20"/>
                <w:lang w:eastAsia="sk-SK"/>
              </w:rPr>
            </w:pPr>
            <w:r w:rsidRPr="002A7FC3">
              <w:rPr>
                <w:rFonts w:eastAsia="Times New Roman" w:cs="Arial"/>
                <w:i/>
                <w:sz w:val="20"/>
                <w:lang w:eastAsia="sk-SK"/>
              </w:rPr>
              <w:t>rok 2008</w:t>
            </w:r>
          </w:p>
        </w:tc>
        <w:tc>
          <w:tcPr>
            <w:tcW w:w="1280" w:type="dxa"/>
            <w:vAlign w:val="center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i/>
                <w:sz w:val="20"/>
                <w:lang w:eastAsia="sk-SK"/>
              </w:rPr>
            </w:pPr>
            <w:r w:rsidRPr="002A7FC3">
              <w:rPr>
                <w:rFonts w:eastAsia="Times New Roman" w:cs="Arial"/>
                <w:i/>
                <w:sz w:val="20"/>
                <w:lang w:eastAsia="sk-SK"/>
              </w:rPr>
              <w:t>rozdiel 2014-2011</w:t>
            </w:r>
          </w:p>
        </w:tc>
        <w:tc>
          <w:tcPr>
            <w:tcW w:w="1280" w:type="dxa"/>
            <w:vAlign w:val="center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i/>
                <w:sz w:val="20"/>
                <w:lang w:eastAsia="sk-SK"/>
              </w:rPr>
            </w:pPr>
            <w:r w:rsidRPr="002A7FC3">
              <w:rPr>
                <w:rFonts w:eastAsia="Times New Roman" w:cs="Arial"/>
                <w:i/>
                <w:sz w:val="20"/>
                <w:lang w:eastAsia="sk-SK"/>
              </w:rPr>
              <w:t>rozdiel 2011-2008</w:t>
            </w:r>
          </w:p>
        </w:tc>
      </w:tr>
      <w:tr w:rsidR="00F24CF5" w:rsidRPr="00F24CF5" w:rsidTr="00236536">
        <w:trPr>
          <w:trHeight w:val="306"/>
        </w:trPr>
        <w:tc>
          <w:tcPr>
            <w:tcW w:w="2147" w:type="dxa"/>
            <w:shd w:val="clear" w:color="auto" w:fill="auto"/>
            <w:noWrap/>
            <w:vAlign w:val="bottom"/>
          </w:tcPr>
          <w:p w:rsidR="00F24CF5" w:rsidRPr="002A7FC3" w:rsidRDefault="00F24CF5" w:rsidP="0033631D">
            <w:pPr>
              <w:spacing w:line="240" w:lineRule="auto"/>
              <w:rPr>
                <w:rFonts w:eastAsia="Times New Roman" w:cs="Arial"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televízia</w:t>
            </w:r>
          </w:p>
        </w:tc>
        <w:tc>
          <w:tcPr>
            <w:tcW w:w="1266" w:type="dxa"/>
            <w:shd w:val="clear" w:color="auto" w:fill="auto"/>
            <w:noWrap/>
            <w:vAlign w:val="bottom"/>
          </w:tcPr>
          <w:p w:rsidR="00F24CF5" w:rsidRPr="002A7FC3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83,0</w:t>
            </w:r>
          </w:p>
        </w:tc>
        <w:tc>
          <w:tcPr>
            <w:tcW w:w="1423" w:type="dxa"/>
            <w:shd w:val="clear" w:color="auto" w:fill="auto"/>
            <w:noWrap/>
            <w:vAlign w:val="bottom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41,2</w:t>
            </w:r>
          </w:p>
        </w:tc>
        <w:tc>
          <w:tcPr>
            <w:tcW w:w="1564" w:type="dxa"/>
            <w:shd w:val="clear" w:color="auto" w:fill="auto"/>
            <w:noWrap/>
            <w:vAlign w:val="bottom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76,8</w:t>
            </w:r>
          </w:p>
        </w:tc>
        <w:tc>
          <w:tcPr>
            <w:tcW w:w="1280" w:type="dxa"/>
            <w:vAlign w:val="bottom"/>
          </w:tcPr>
          <w:p w:rsidR="00F24CF5" w:rsidRPr="002A7FC3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41,8</w:t>
            </w:r>
          </w:p>
        </w:tc>
        <w:tc>
          <w:tcPr>
            <w:tcW w:w="1280" w:type="dxa"/>
            <w:vAlign w:val="bottom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-35,6</w:t>
            </w:r>
          </w:p>
        </w:tc>
      </w:tr>
      <w:tr w:rsidR="00F24CF5" w:rsidRPr="00F24CF5" w:rsidTr="00236536">
        <w:trPr>
          <w:trHeight w:val="306"/>
        </w:trPr>
        <w:tc>
          <w:tcPr>
            <w:tcW w:w="2147" w:type="dxa"/>
            <w:shd w:val="clear" w:color="auto" w:fill="auto"/>
            <w:noWrap/>
            <w:vAlign w:val="bottom"/>
          </w:tcPr>
          <w:p w:rsidR="00F24CF5" w:rsidRPr="002A7FC3" w:rsidRDefault="00F24CF5" w:rsidP="0033631D">
            <w:pPr>
              <w:spacing w:line="240" w:lineRule="auto"/>
              <w:rPr>
                <w:rFonts w:eastAsia="Times New Roman" w:cs="Arial"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noviny a časopisy</w:t>
            </w:r>
          </w:p>
        </w:tc>
        <w:tc>
          <w:tcPr>
            <w:tcW w:w="1266" w:type="dxa"/>
            <w:shd w:val="clear" w:color="auto" w:fill="auto"/>
            <w:noWrap/>
            <w:vAlign w:val="bottom"/>
          </w:tcPr>
          <w:p w:rsidR="00F24CF5" w:rsidRPr="002A7FC3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54,6</w:t>
            </w:r>
          </w:p>
        </w:tc>
        <w:tc>
          <w:tcPr>
            <w:tcW w:w="1423" w:type="dxa"/>
            <w:shd w:val="clear" w:color="auto" w:fill="auto"/>
            <w:noWrap/>
            <w:vAlign w:val="bottom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21,0</w:t>
            </w:r>
          </w:p>
        </w:tc>
        <w:tc>
          <w:tcPr>
            <w:tcW w:w="1564" w:type="dxa"/>
            <w:shd w:val="clear" w:color="auto" w:fill="auto"/>
            <w:noWrap/>
            <w:vAlign w:val="bottom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50,0</w:t>
            </w:r>
          </w:p>
        </w:tc>
        <w:tc>
          <w:tcPr>
            <w:tcW w:w="1280" w:type="dxa"/>
            <w:vAlign w:val="bottom"/>
          </w:tcPr>
          <w:p w:rsidR="00F24CF5" w:rsidRPr="002A7FC3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33,6</w:t>
            </w:r>
          </w:p>
        </w:tc>
        <w:tc>
          <w:tcPr>
            <w:tcW w:w="1280" w:type="dxa"/>
            <w:vAlign w:val="bottom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-29,0</w:t>
            </w:r>
          </w:p>
        </w:tc>
      </w:tr>
      <w:tr w:rsidR="00F24CF5" w:rsidRPr="00F24CF5" w:rsidTr="00236536">
        <w:trPr>
          <w:trHeight w:val="306"/>
        </w:trPr>
        <w:tc>
          <w:tcPr>
            <w:tcW w:w="2147" w:type="dxa"/>
            <w:shd w:val="clear" w:color="auto" w:fill="auto"/>
            <w:noWrap/>
            <w:vAlign w:val="bottom"/>
          </w:tcPr>
          <w:p w:rsidR="00F24CF5" w:rsidRPr="002A7FC3" w:rsidRDefault="00F24CF5" w:rsidP="0033631D">
            <w:pPr>
              <w:spacing w:line="240" w:lineRule="auto"/>
              <w:rPr>
                <w:rFonts w:eastAsia="Times New Roman" w:cs="Arial"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internetové portály</w:t>
            </w:r>
          </w:p>
        </w:tc>
        <w:tc>
          <w:tcPr>
            <w:tcW w:w="1266" w:type="dxa"/>
            <w:shd w:val="clear" w:color="auto" w:fill="auto"/>
            <w:noWrap/>
            <w:vAlign w:val="bottom"/>
          </w:tcPr>
          <w:p w:rsidR="00F24CF5" w:rsidRPr="002A7FC3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55,0</w:t>
            </w:r>
          </w:p>
        </w:tc>
        <w:tc>
          <w:tcPr>
            <w:tcW w:w="1423" w:type="dxa"/>
            <w:shd w:val="clear" w:color="auto" w:fill="auto"/>
            <w:noWrap/>
            <w:vAlign w:val="bottom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18,0</w:t>
            </w:r>
          </w:p>
        </w:tc>
        <w:tc>
          <w:tcPr>
            <w:tcW w:w="1564" w:type="dxa"/>
            <w:shd w:val="clear" w:color="auto" w:fill="auto"/>
            <w:noWrap/>
            <w:vAlign w:val="bottom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25,2</w:t>
            </w:r>
          </w:p>
        </w:tc>
        <w:tc>
          <w:tcPr>
            <w:tcW w:w="1280" w:type="dxa"/>
            <w:vAlign w:val="bottom"/>
          </w:tcPr>
          <w:p w:rsidR="00F24CF5" w:rsidRPr="002A7FC3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37,0</w:t>
            </w:r>
          </w:p>
        </w:tc>
        <w:tc>
          <w:tcPr>
            <w:tcW w:w="1280" w:type="dxa"/>
            <w:vAlign w:val="bottom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-7,2</w:t>
            </w:r>
          </w:p>
        </w:tc>
      </w:tr>
      <w:tr w:rsidR="00F24CF5" w:rsidRPr="00F24CF5" w:rsidTr="00236536">
        <w:trPr>
          <w:trHeight w:val="306"/>
        </w:trPr>
        <w:tc>
          <w:tcPr>
            <w:tcW w:w="2147" w:type="dxa"/>
            <w:shd w:val="clear" w:color="auto" w:fill="auto"/>
            <w:noWrap/>
            <w:vAlign w:val="bottom"/>
          </w:tcPr>
          <w:p w:rsidR="00F24CF5" w:rsidRPr="002A7FC3" w:rsidRDefault="00F24CF5" w:rsidP="0033631D">
            <w:pPr>
              <w:spacing w:line="240" w:lineRule="auto"/>
              <w:rPr>
                <w:rFonts w:eastAsia="Times New Roman" w:cs="Arial"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rozhlas</w:t>
            </w:r>
          </w:p>
        </w:tc>
        <w:tc>
          <w:tcPr>
            <w:tcW w:w="1266" w:type="dxa"/>
            <w:shd w:val="clear" w:color="auto" w:fill="auto"/>
            <w:noWrap/>
            <w:vAlign w:val="bottom"/>
          </w:tcPr>
          <w:p w:rsidR="00F24CF5" w:rsidRPr="002A7FC3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49,8</w:t>
            </w:r>
          </w:p>
        </w:tc>
        <w:tc>
          <w:tcPr>
            <w:tcW w:w="1423" w:type="dxa"/>
            <w:shd w:val="clear" w:color="auto" w:fill="auto"/>
            <w:noWrap/>
            <w:vAlign w:val="bottom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12,4</w:t>
            </w:r>
          </w:p>
        </w:tc>
        <w:tc>
          <w:tcPr>
            <w:tcW w:w="1564" w:type="dxa"/>
            <w:shd w:val="clear" w:color="auto" w:fill="auto"/>
            <w:noWrap/>
            <w:vAlign w:val="bottom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23,4</w:t>
            </w:r>
          </w:p>
        </w:tc>
        <w:tc>
          <w:tcPr>
            <w:tcW w:w="1280" w:type="dxa"/>
            <w:vAlign w:val="bottom"/>
          </w:tcPr>
          <w:p w:rsidR="00F24CF5" w:rsidRPr="002A7FC3" w:rsidRDefault="00A94594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>
              <w:rPr>
                <w:rFonts w:eastAsia="Times New Roman" w:cs="Arial"/>
                <w:sz w:val="20"/>
                <w:lang w:eastAsia="sk-SK"/>
              </w:rPr>
              <w:t>37,4</w:t>
            </w:r>
          </w:p>
        </w:tc>
        <w:tc>
          <w:tcPr>
            <w:tcW w:w="1280" w:type="dxa"/>
            <w:vAlign w:val="bottom"/>
          </w:tcPr>
          <w:p w:rsidR="00F24CF5" w:rsidRPr="002A7FC3" w:rsidRDefault="00F24CF5" w:rsidP="0033631D">
            <w:pPr>
              <w:spacing w:line="240" w:lineRule="auto"/>
              <w:jc w:val="center"/>
              <w:rPr>
                <w:rFonts w:eastAsia="Times New Roman" w:cs="Arial"/>
                <w:sz w:val="20"/>
                <w:lang w:eastAsia="sk-SK"/>
              </w:rPr>
            </w:pPr>
            <w:r w:rsidRPr="002A7FC3">
              <w:rPr>
                <w:rFonts w:eastAsia="Times New Roman" w:cs="Arial"/>
                <w:sz w:val="20"/>
                <w:lang w:eastAsia="sk-SK"/>
              </w:rPr>
              <w:t>-11,0</w:t>
            </w:r>
          </w:p>
        </w:tc>
      </w:tr>
    </w:tbl>
    <w:p w:rsidR="00F24CF5" w:rsidRDefault="00F24CF5" w:rsidP="0033631D">
      <w:pPr>
        <w:rPr>
          <w:rFonts w:cs="Arial"/>
          <w:sz w:val="20"/>
        </w:rPr>
      </w:pPr>
    </w:p>
    <w:p w:rsidR="00996165" w:rsidRDefault="00996165" w:rsidP="0033631D">
      <w:pPr>
        <w:pStyle w:val="popis2"/>
        <w:rPr>
          <w:highlight w:val="yellow"/>
        </w:rPr>
      </w:pPr>
    </w:p>
    <w:p w:rsidR="00996165" w:rsidRPr="00011DBA" w:rsidRDefault="0052288E" w:rsidP="0033631D">
      <w:pPr>
        <w:pStyle w:val="Nadpis3"/>
      </w:pPr>
      <w:bookmarkStart w:id="28" w:name="_Toc410051297"/>
      <w:r>
        <w:t>Informačný portál o štrukturálnych fondoch EÚ</w:t>
      </w:r>
      <w:bookmarkEnd w:id="28"/>
    </w:p>
    <w:p w:rsidR="007863E2" w:rsidRDefault="007863E2" w:rsidP="0033631D">
      <w:pPr>
        <w:rPr>
          <w:rFonts w:cs="Arial"/>
        </w:rPr>
      </w:pPr>
      <w:r w:rsidRPr="00B84C56">
        <w:rPr>
          <w:rFonts w:cs="Arial"/>
        </w:rPr>
        <w:t>Znalosť Slovákov o informačnom portál</w:t>
      </w:r>
      <w:r w:rsidR="00236536">
        <w:rPr>
          <w:rFonts w:cs="Arial"/>
        </w:rPr>
        <w:t>i</w:t>
      </w:r>
      <w:r w:rsidRPr="00B84C56">
        <w:rPr>
          <w:rFonts w:cs="Arial"/>
        </w:rPr>
        <w:t xml:space="preserve"> o štrukturálnych fondoch EÚ na Slovensku je stále nízka (11%), no oproti minulej vlne zaznamenávame mierny nárast (o 3 </w:t>
      </w:r>
      <w:proofErr w:type="spellStart"/>
      <w:r w:rsidRPr="00B84C56">
        <w:rPr>
          <w:rFonts w:cs="Arial"/>
        </w:rPr>
        <w:t>p.b</w:t>
      </w:r>
      <w:proofErr w:type="spellEnd"/>
      <w:r w:rsidRPr="00B84C56">
        <w:rPr>
          <w:rFonts w:cs="Arial"/>
        </w:rPr>
        <w:t>.).</w:t>
      </w:r>
    </w:p>
    <w:p w:rsidR="007863E2" w:rsidRPr="00B84C56" w:rsidRDefault="007863E2" w:rsidP="0033631D">
      <w:pPr>
        <w:rPr>
          <w:rFonts w:cs="Arial"/>
        </w:rPr>
      </w:pPr>
      <w:r>
        <w:rPr>
          <w:rFonts w:cs="Arial"/>
        </w:rPr>
        <w:t>Najviac sú o portál</w:t>
      </w:r>
      <w:r w:rsidR="00236536">
        <w:rPr>
          <w:rFonts w:cs="Arial"/>
        </w:rPr>
        <w:t>i</w:t>
      </w:r>
      <w:r>
        <w:rPr>
          <w:rFonts w:cs="Arial"/>
        </w:rPr>
        <w:t xml:space="preserve"> informovaní Slováci vo veku od 50 do 69 rokov, najmä vysokoškolsky vzdelaní. Portál najmenej poznajú v Trnavskom a Žilinskom kraji (poznajú ho len 5%, resp. 4% Slovákov).</w:t>
      </w:r>
    </w:p>
    <w:p w:rsidR="007863E2" w:rsidRDefault="007863E2" w:rsidP="0033631D">
      <w:pPr>
        <w:pStyle w:val="popis2"/>
      </w:pPr>
    </w:p>
    <w:p w:rsidR="005F1388" w:rsidRPr="00BC4524" w:rsidRDefault="005F1388" w:rsidP="0033631D">
      <w:pPr>
        <w:pStyle w:val="popis2"/>
      </w:pPr>
      <w:r w:rsidRPr="00B84C56">
        <w:t xml:space="preserve">Graf č. </w:t>
      </w:r>
      <w:r w:rsidR="00647D11" w:rsidRPr="00B84C56">
        <w:fldChar w:fldCharType="begin"/>
      </w:r>
      <w:r w:rsidRPr="00B84C56">
        <w:instrText xml:space="preserve"> SEQ Graf \* ARABIC </w:instrText>
      </w:r>
      <w:r w:rsidR="00647D11" w:rsidRPr="00B84C56">
        <w:fldChar w:fldCharType="separate"/>
      </w:r>
      <w:r w:rsidR="008B1877">
        <w:rPr>
          <w:noProof/>
        </w:rPr>
        <w:t>34</w:t>
      </w:r>
      <w:r w:rsidR="00647D11" w:rsidRPr="00B84C56">
        <w:rPr>
          <w:noProof/>
        </w:rPr>
        <w:fldChar w:fldCharType="end"/>
      </w:r>
      <w:r w:rsidRPr="00B84C56">
        <w:t xml:space="preserve">: </w:t>
      </w:r>
      <w:r w:rsidR="00B84C56" w:rsidRPr="00B84C56">
        <w:t>Povedomie o informačnom portál</w:t>
      </w:r>
      <w:r w:rsidR="00236536">
        <w:t>i</w:t>
      </w:r>
      <w:r w:rsidR="00B84C56" w:rsidRPr="00B84C56">
        <w:t xml:space="preserve"> o štrukturálnych fondoch EÚ na Slovensku</w:t>
      </w:r>
    </w:p>
    <w:p w:rsidR="006C14E3" w:rsidRDefault="006C14E3" w:rsidP="0033631D">
      <w:pPr>
        <w:rPr>
          <w:rFonts w:cs="Arial"/>
          <w:sz w:val="20"/>
        </w:rPr>
      </w:pPr>
      <w:r>
        <w:rPr>
          <w:rFonts w:cs="Arial"/>
          <w:sz w:val="20"/>
        </w:rPr>
        <w:t>Q8</w:t>
      </w:r>
    </w:p>
    <w:p w:rsidR="006C14E3" w:rsidRDefault="00A94594" w:rsidP="0033631D">
      <w:pPr>
        <w:rPr>
          <w:rFonts w:cs="Arial"/>
          <w:sz w:val="20"/>
        </w:rPr>
      </w:pPr>
      <w:r>
        <w:rPr>
          <w:rFonts w:cs="Arial"/>
          <w:b/>
          <w:sz w:val="20"/>
        </w:rPr>
        <w:t>N=500</w:t>
      </w:r>
      <w:r w:rsidR="006C14E3" w:rsidRPr="006C14E3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05374A33" wp14:editId="352631FD">
            <wp:extent cx="5486400" cy="2600325"/>
            <wp:effectExtent l="0" t="0" r="19050" b="9525"/>
            <wp:docPr id="24" name="Graf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98164B" w:rsidRPr="00BC4524" w:rsidRDefault="005F1388" w:rsidP="0033631D">
      <w:pPr>
        <w:pStyle w:val="popis2"/>
      </w:pPr>
      <w:r w:rsidRPr="002908F5">
        <w:lastRenderedPageBreak/>
        <w:t xml:space="preserve">Graf č. </w:t>
      </w:r>
      <w:r w:rsidR="00647D11" w:rsidRPr="002908F5">
        <w:fldChar w:fldCharType="begin"/>
      </w:r>
      <w:r w:rsidRPr="002908F5">
        <w:instrText xml:space="preserve"> SEQ Graf \* ARABIC </w:instrText>
      </w:r>
      <w:r w:rsidR="00647D11" w:rsidRPr="002908F5">
        <w:fldChar w:fldCharType="separate"/>
      </w:r>
      <w:r w:rsidR="008B1877">
        <w:rPr>
          <w:noProof/>
        </w:rPr>
        <w:t>35</w:t>
      </w:r>
      <w:r w:rsidR="00647D11" w:rsidRPr="002908F5">
        <w:rPr>
          <w:noProof/>
        </w:rPr>
        <w:fldChar w:fldCharType="end"/>
      </w:r>
      <w:r w:rsidRPr="002908F5">
        <w:t xml:space="preserve">: </w:t>
      </w:r>
      <w:r w:rsidR="002908F5" w:rsidRPr="002908F5">
        <w:t>Povedomie o informačnom portál</w:t>
      </w:r>
      <w:r w:rsidR="00236536">
        <w:t>i</w:t>
      </w:r>
      <w:r w:rsidR="002908F5" w:rsidRPr="002908F5">
        <w:t xml:space="preserve"> o štrukturálnych fondoch EÚ na </w:t>
      </w:r>
      <w:proofErr w:type="spellStart"/>
      <w:r w:rsidR="002908F5" w:rsidRPr="002908F5">
        <w:t>Slovensku</w:t>
      </w:r>
      <w:r w:rsidR="0098164B">
        <w:t>,</w:t>
      </w:r>
      <w:r w:rsidR="0098164B" w:rsidRPr="002C1D6B">
        <w:t>podľa</w:t>
      </w:r>
      <w:proofErr w:type="spellEnd"/>
      <w:r w:rsidR="0098164B" w:rsidRPr="002C1D6B">
        <w:t xml:space="preserve"> pohlavia, veku, vzdelania</w:t>
      </w:r>
    </w:p>
    <w:p w:rsidR="00A05089" w:rsidRDefault="000749CE" w:rsidP="0033631D">
      <w:pPr>
        <w:pStyle w:val="popis2"/>
        <w:rPr>
          <w:rFonts w:cs="Arial"/>
        </w:rPr>
      </w:pPr>
      <w:r w:rsidRPr="0012644D">
        <w:rPr>
          <w:rFonts w:cs="Arial"/>
          <w:noProof/>
          <w:szCs w:val="20"/>
          <w:lang w:eastAsia="sk-SK"/>
        </w:rPr>
        <w:drawing>
          <wp:anchor distT="0" distB="0" distL="114300" distR="114300" simplePos="0" relativeHeight="251662336" behindDoc="0" locked="0" layoutInCell="1" allowOverlap="1" wp14:anchorId="155877E0" wp14:editId="7DFB925B">
            <wp:simplePos x="0" y="0"/>
            <wp:positionH relativeFrom="column">
              <wp:posOffset>-23495</wp:posOffset>
            </wp:positionH>
            <wp:positionV relativeFrom="paragraph">
              <wp:posOffset>309880</wp:posOffset>
            </wp:positionV>
            <wp:extent cx="5486400" cy="4438650"/>
            <wp:effectExtent l="0" t="0" r="19050" b="19050"/>
            <wp:wrapSquare wrapText="bothSides"/>
            <wp:docPr id="25" name="Graf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anchor>
        </w:drawing>
      </w:r>
      <w:r w:rsidR="00A05089">
        <w:rPr>
          <w:rFonts w:cs="Arial"/>
        </w:rPr>
        <w:t>Q</w:t>
      </w:r>
      <w:r w:rsidR="00D907A7">
        <w:rPr>
          <w:rFonts w:cs="Arial"/>
        </w:rPr>
        <w:t>8</w:t>
      </w:r>
      <w:r w:rsidR="00A94594">
        <w:rPr>
          <w:rFonts w:cs="Arial"/>
          <w:b w:val="0"/>
        </w:rPr>
        <w:t>N=500</w:t>
      </w:r>
    </w:p>
    <w:p w:rsidR="00A10674" w:rsidRDefault="00A10674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98164B" w:rsidRPr="0098164B" w:rsidRDefault="0098164B" w:rsidP="0033631D">
      <w:pPr>
        <w:pStyle w:val="popis2"/>
      </w:pPr>
      <w:r w:rsidRPr="002908F5">
        <w:lastRenderedPageBreak/>
        <w:t xml:space="preserve">Graf č. </w:t>
      </w:r>
      <w:r w:rsidR="00647D11" w:rsidRPr="002908F5">
        <w:fldChar w:fldCharType="begin"/>
      </w:r>
      <w:r w:rsidRPr="002908F5">
        <w:instrText xml:space="preserve"> SEQ Graf \* ARABIC </w:instrText>
      </w:r>
      <w:r w:rsidR="00647D11" w:rsidRPr="002908F5">
        <w:fldChar w:fldCharType="separate"/>
      </w:r>
      <w:r w:rsidR="008B1877">
        <w:rPr>
          <w:noProof/>
        </w:rPr>
        <w:t>36</w:t>
      </w:r>
      <w:r w:rsidR="00647D11" w:rsidRPr="002908F5">
        <w:rPr>
          <w:noProof/>
        </w:rPr>
        <w:fldChar w:fldCharType="end"/>
      </w:r>
      <w:r w:rsidRPr="002908F5">
        <w:t>: Povedomie o informačnom portál</w:t>
      </w:r>
      <w:r w:rsidR="00236536">
        <w:t>i</w:t>
      </w:r>
      <w:r w:rsidRPr="002908F5">
        <w:t xml:space="preserve"> o štrukturálnych fondoch EÚ na Slovensku</w:t>
      </w:r>
      <w:r>
        <w:t>,</w:t>
      </w:r>
      <w:r w:rsidR="00236536">
        <w:t xml:space="preserve"> </w:t>
      </w:r>
      <w:r w:rsidRPr="002E55E1">
        <w:t>podľa kraja a veľkosti sídla</w:t>
      </w:r>
    </w:p>
    <w:p w:rsidR="000749CE" w:rsidRDefault="000749CE" w:rsidP="0033631D">
      <w:pPr>
        <w:pStyle w:val="popis2"/>
        <w:rPr>
          <w:rFonts w:cs="Arial"/>
        </w:rPr>
      </w:pPr>
      <w:r>
        <w:rPr>
          <w:rFonts w:cs="Arial"/>
        </w:rPr>
        <w:t xml:space="preserve">Q8 </w:t>
      </w:r>
      <w:r w:rsidR="00A94594">
        <w:rPr>
          <w:rFonts w:cs="Arial"/>
          <w:b w:val="0"/>
        </w:rPr>
        <w:t>N=500</w:t>
      </w:r>
    </w:p>
    <w:p w:rsidR="00F35671" w:rsidRDefault="00F35671" w:rsidP="0033631D">
      <w:pPr>
        <w:rPr>
          <w:rFonts w:cs="Arial"/>
          <w:sz w:val="20"/>
        </w:rPr>
      </w:pPr>
    </w:p>
    <w:p w:rsidR="00F35671" w:rsidRDefault="00F35671" w:rsidP="0033631D">
      <w:pPr>
        <w:rPr>
          <w:rFonts w:cs="Arial"/>
          <w:sz w:val="20"/>
        </w:rPr>
      </w:pPr>
      <w:r w:rsidRPr="0012644D">
        <w:rPr>
          <w:rFonts w:cs="Arial"/>
          <w:noProof/>
          <w:sz w:val="20"/>
          <w:szCs w:val="20"/>
          <w:lang w:eastAsia="sk-SK"/>
        </w:rPr>
        <w:drawing>
          <wp:anchor distT="0" distB="0" distL="114300" distR="114300" simplePos="0" relativeHeight="251698176" behindDoc="0" locked="0" layoutInCell="1" allowOverlap="1" wp14:anchorId="372A9FED" wp14:editId="79460C1A">
            <wp:simplePos x="0" y="0"/>
            <wp:positionH relativeFrom="column">
              <wp:posOffset>81280</wp:posOffset>
            </wp:positionH>
            <wp:positionV relativeFrom="paragraph">
              <wp:posOffset>106045</wp:posOffset>
            </wp:positionV>
            <wp:extent cx="5486400" cy="4438650"/>
            <wp:effectExtent l="0" t="0" r="19050" b="19050"/>
            <wp:wrapSquare wrapText="bothSides"/>
            <wp:docPr id="38" name="Graf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anchor>
        </w:drawing>
      </w:r>
    </w:p>
    <w:p w:rsidR="00F35671" w:rsidRDefault="00F35671" w:rsidP="0033631D">
      <w:pPr>
        <w:rPr>
          <w:rFonts w:cs="Arial"/>
          <w:sz w:val="20"/>
        </w:rPr>
      </w:pPr>
    </w:p>
    <w:p w:rsidR="00F35671" w:rsidRDefault="00F35671" w:rsidP="0033631D">
      <w:pPr>
        <w:rPr>
          <w:rFonts w:cs="Arial"/>
          <w:sz w:val="20"/>
        </w:rPr>
      </w:pPr>
    </w:p>
    <w:p w:rsidR="00F35671" w:rsidRDefault="00F35671" w:rsidP="0033631D">
      <w:pPr>
        <w:rPr>
          <w:rFonts w:cs="Arial"/>
          <w:sz w:val="20"/>
        </w:rPr>
      </w:pPr>
    </w:p>
    <w:p w:rsidR="00F35671" w:rsidRDefault="00F35671" w:rsidP="0033631D">
      <w:pPr>
        <w:rPr>
          <w:rFonts w:cs="Arial"/>
          <w:sz w:val="20"/>
        </w:rPr>
      </w:pPr>
    </w:p>
    <w:p w:rsidR="00F35671" w:rsidRDefault="00F35671" w:rsidP="0033631D">
      <w:pPr>
        <w:rPr>
          <w:rFonts w:cs="Arial"/>
          <w:sz w:val="20"/>
        </w:rPr>
      </w:pPr>
    </w:p>
    <w:p w:rsidR="00F35671" w:rsidRDefault="00F35671" w:rsidP="0033631D">
      <w:pPr>
        <w:rPr>
          <w:rFonts w:cs="Arial"/>
          <w:sz w:val="20"/>
        </w:rPr>
      </w:pPr>
    </w:p>
    <w:p w:rsidR="00F35671" w:rsidRDefault="00F35671" w:rsidP="0033631D">
      <w:pPr>
        <w:rPr>
          <w:rFonts w:cs="Arial"/>
          <w:sz w:val="20"/>
        </w:rPr>
      </w:pPr>
    </w:p>
    <w:p w:rsidR="00F35671" w:rsidRDefault="00F35671" w:rsidP="0033631D">
      <w:pPr>
        <w:rPr>
          <w:rFonts w:cs="Arial"/>
          <w:sz w:val="20"/>
        </w:rPr>
      </w:pPr>
    </w:p>
    <w:p w:rsidR="00F35671" w:rsidRDefault="00F35671" w:rsidP="0033631D">
      <w:pPr>
        <w:rPr>
          <w:rFonts w:cs="Arial"/>
          <w:sz w:val="20"/>
        </w:rPr>
      </w:pPr>
    </w:p>
    <w:p w:rsidR="00F35671" w:rsidRDefault="00F35671" w:rsidP="0033631D">
      <w:pPr>
        <w:rPr>
          <w:rFonts w:cs="Arial"/>
          <w:sz w:val="20"/>
        </w:rPr>
      </w:pPr>
    </w:p>
    <w:p w:rsidR="00F35671" w:rsidRDefault="00F35671" w:rsidP="0033631D">
      <w:pPr>
        <w:rPr>
          <w:rFonts w:cs="Arial"/>
          <w:sz w:val="20"/>
        </w:rPr>
      </w:pPr>
    </w:p>
    <w:p w:rsidR="00F35671" w:rsidRPr="0098164B" w:rsidRDefault="00F35671" w:rsidP="0033631D">
      <w:pPr>
        <w:pStyle w:val="popis2"/>
        <w:rPr>
          <w:noProof/>
        </w:rPr>
      </w:pPr>
      <w:r w:rsidRPr="002908F5">
        <w:t xml:space="preserve">Graf č. </w:t>
      </w:r>
      <w:r w:rsidR="00647D11" w:rsidRPr="002908F5">
        <w:fldChar w:fldCharType="begin"/>
      </w:r>
      <w:r w:rsidRPr="002908F5">
        <w:instrText xml:space="preserve"> SEQ Graf \* ARABIC </w:instrText>
      </w:r>
      <w:r w:rsidR="00647D11" w:rsidRPr="002908F5">
        <w:fldChar w:fldCharType="separate"/>
      </w:r>
      <w:r w:rsidR="008B1877">
        <w:rPr>
          <w:noProof/>
        </w:rPr>
        <w:t>37</w:t>
      </w:r>
      <w:r w:rsidR="00647D11" w:rsidRPr="002908F5">
        <w:rPr>
          <w:noProof/>
        </w:rPr>
        <w:fldChar w:fldCharType="end"/>
      </w:r>
      <w:r w:rsidRPr="002908F5">
        <w:t>: Návštevnosť</w:t>
      </w:r>
      <w:r>
        <w:t xml:space="preserve"> informačného portálu </w:t>
      </w:r>
      <w:hyperlink r:id="rId53" w:history="1">
        <w:r w:rsidRPr="00F35671">
          <w:rPr>
            <w:rStyle w:val="Hypertextovprepojenie"/>
            <w:color w:val="auto"/>
            <w:sz w:val="20"/>
          </w:rPr>
          <w:t>www.nrsr.sk</w:t>
        </w:r>
      </w:hyperlink>
      <w:r w:rsidRPr="00F35671">
        <w:rPr>
          <w:u w:val="single"/>
        </w:rPr>
        <w:t>.</w:t>
      </w:r>
    </w:p>
    <w:p w:rsidR="00F35671" w:rsidRPr="00A10674" w:rsidRDefault="00A10674" w:rsidP="00A10674">
      <w:pPr>
        <w:rPr>
          <w:sz w:val="20"/>
        </w:rPr>
      </w:pPr>
      <w:r w:rsidRPr="00A10674">
        <w:rPr>
          <w:sz w:val="20"/>
        </w:rPr>
        <w:t xml:space="preserve">Q9, </w:t>
      </w:r>
      <w:r w:rsidR="00F35671" w:rsidRPr="00A10674">
        <w:rPr>
          <w:sz w:val="20"/>
        </w:rPr>
        <w:t>N=57</w:t>
      </w:r>
    </w:p>
    <w:p w:rsidR="00F35671" w:rsidRDefault="00F35671" w:rsidP="0033631D">
      <w:pPr>
        <w:rPr>
          <w:rFonts w:cs="Arial"/>
          <w:sz w:val="20"/>
        </w:rPr>
      </w:pPr>
      <w:r w:rsidRPr="005B7916">
        <w:rPr>
          <w:rFonts w:cs="Arial"/>
          <w:noProof/>
          <w:color w:val="FFFFFF" w:themeColor="background1"/>
          <w:sz w:val="20"/>
          <w:szCs w:val="20"/>
          <w:lang w:eastAsia="sk-SK"/>
        </w:rPr>
        <w:drawing>
          <wp:inline distT="0" distB="0" distL="0" distR="0" wp14:anchorId="0F4B4CD1" wp14:editId="56CE9BB5">
            <wp:extent cx="5486400" cy="3505200"/>
            <wp:effectExtent l="0" t="0" r="19050" b="19050"/>
            <wp:docPr id="26" name="Graf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:rsidR="00F35671" w:rsidRDefault="00F35671" w:rsidP="0033631D">
      <w:pPr>
        <w:rPr>
          <w:rFonts w:cs="Arial"/>
          <w:sz w:val="20"/>
        </w:rPr>
      </w:pPr>
    </w:p>
    <w:p w:rsidR="002908F5" w:rsidRPr="00541652" w:rsidRDefault="002908F5" w:rsidP="0033631D">
      <w:pPr>
        <w:pStyle w:val="popis2"/>
        <w:rPr>
          <w:b w:val="0"/>
          <w:sz w:val="22"/>
        </w:rPr>
      </w:pPr>
      <w:r w:rsidRPr="00541652">
        <w:rPr>
          <w:b w:val="0"/>
          <w:sz w:val="22"/>
        </w:rPr>
        <w:t>Z opýtaných Slovákov, ktorý poznajú informačný portál o štrukturálnych fondoch EÚ na Slovensku (</w:t>
      </w:r>
      <w:hyperlink r:id="rId55" w:history="1">
        <w:r w:rsidRPr="00541652">
          <w:rPr>
            <w:rStyle w:val="Hypertextovprepojenie"/>
            <w:b w:val="0"/>
            <w:sz w:val="22"/>
          </w:rPr>
          <w:t>www.nrsr.sk</w:t>
        </w:r>
      </w:hyperlink>
      <w:r w:rsidR="00541652" w:rsidRPr="00541652">
        <w:rPr>
          <w:b w:val="0"/>
          <w:sz w:val="22"/>
        </w:rPr>
        <w:t>)</w:t>
      </w:r>
      <w:r w:rsidRPr="00541652">
        <w:rPr>
          <w:b w:val="0"/>
          <w:sz w:val="22"/>
        </w:rPr>
        <w:t xml:space="preserve"> ho </w:t>
      </w:r>
      <w:r w:rsidR="00541652" w:rsidRPr="00541652">
        <w:rPr>
          <w:b w:val="0"/>
          <w:sz w:val="22"/>
        </w:rPr>
        <w:t xml:space="preserve">11% </w:t>
      </w:r>
      <w:r w:rsidRPr="00541652">
        <w:rPr>
          <w:b w:val="0"/>
          <w:sz w:val="22"/>
        </w:rPr>
        <w:t xml:space="preserve">navštevuje pravidelne, čo je výrazný nárast oproti </w:t>
      </w:r>
      <w:r w:rsidR="00E525CE">
        <w:rPr>
          <w:b w:val="0"/>
          <w:sz w:val="22"/>
        </w:rPr>
        <w:t>roku 2011</w:t>
      </w:r>
      <w:r w:rsidRPr="00541652">
        <w:rPr>
          <w:b w:val="0"/>
          <w:sz w:val="22"/>
        </w:rPr>
        <w:t xml:space="preserve"> o 8 </w:t>
      </w:r>
      <w:proofErr w:type="spellStart"/>
      <w:r w:rsidRPr="00541652">
        <w:rPr>
          <w:b w:val="0"/>
          <w:sz w:val="22"/>
        </w:rPr>
        <w:t>p.b</w:t>
      </w:r>
      <w:proofErr w:type="spellEnd"/>
      <w:r w:rsidRPr="00541652">
        <w:rPr>
          <w:b w:val="0"/>
          <w:sz w:val="22"/>
        </w:rPr>
        <w:t xml:space="preserve">.  </w:t>
      </w:r>
      <w:r w:rsidR="00541652" w:rsidRPr="00541652">
        <w:rPr>
          <w:b w:val="0"/>
          <w:sz w:val="22"/>
        </w:rPr>
        <w:t>Najčastejšie ho pravidelne navštevujú opýtaní Slováci vo veku od 40 do 49 rokov (25%) a až polovica mladých vo veku od 15 do 29 rokov ho navštívi aspoň občas.</w:t>
      </w:r>
    </w:p>
    <w:p w:rsidR="00454E7F" w:rsidRDefault="00454E7F" w:rsidP="0033631D">
      <w:pPr>
        <w:pStyle w:val="popis2"/>
        <w:rPr>
          <w:highlight w:val="yellow"/>
        </w:rPr>
      </w:pPr>
    </w:p>
    <w:p w:rsidR="00A10674" w:rsidRDefault="00A10674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5F1388" w:rsidRDefault="005F1388" w:rsidP="0033631D">
      <w:pPr>
        <w:pStyle w:val="popis2"/>
      </w:pPr>
      <w:r w:rsidRPr="00646815">
        <w:lastRenderedPageBreak/>
        <w:t xml:space="preserve">Graf č. </w:t>
      </w:r>
      <w:r w:rsidR="00647D11" w:rsidRPr="00646815">
        <w:fldChar w:fldCharType="begin"/>
      </w:r>
      <w:r w:rsidRPr="00646815">
        <w:instrText xml:space="preserve"> SEQ Graf \* ARABIC </w:instrText>
      </w:r>
      <w:r w:rsidR="00647D11" w:rsidRPr="00646815">
        <w:fldChar w:fldCharType="separate"/>
      </w:r>
      <w:r w:rsidR="008B1877">
        <w:rPr>
          <w:noProof/>
        </w:rPr>
        <w:t>38</w:t>
      </w:r>
      <w:r w:rsidR="00647D11" w:rsidRPr="00646815">
        <w:rPr>
          <w:noProof/>
        </w:rPr>
        <w:fldChar w:fldCharType="end"/>
      </w:r>
      <w:r w:rsidRPr="00646815">
        <w:t xml:space="preserve">: </w:t>
      </w:r>
      <w:r w:rsidR="00646815">
        <w:t xml:space="preserve">Úroveň prehľadnosti portálu </w:t>
      </w:r>
      <w:hyperlink r:id="rId56" w:history="1">
        <w:r w:rsidR="00646815" w:rsidRPr="00646815">
          <w:rPr>
            <w:rStyle w:val="Hypertextovprepojenie"/>
            <w:color w:val="auto"/>
            <w:sz w:val="20"/>
          </w:rPr>
          <w:t>www.nrsr.sk</w:t>
        </w:r>
      </w:hyperlink>
    </w:p>
    <w:p w:rsidR="00AC6008" w:rsidRDefault="00AC6008" w:rsidP="00A10674">
      <w:pPr>
        <w:jc w:val="left"/>
        <w:rPr>
          <w:rFonts w:cs="Arial"/>
          <w:sz w:val="20"/>
        </w:rPr>
      </w:pPr>
      <w:r w:rsidRPr="00A10674">
        <w:rPr>
          <w:rFonts w:cs="Arial"/>
          <w:b/>
          <w:sz w:val="20"/>
        </w:rPr>
        <w:t>Q10</w:t>
      </w:r>
      <w:r w:rsidR="00A10674" w:rsidRPr="00A10674">
        <w:rPr>
          <w:rFonts w:cs="Arial"/>
          <w:b/>
          <w:sz w:val="20"/>
        </w:rPr>
        <w:t xml:space="preserve">, </w:t>
      </w:r>
      <w:r w:rsidR="005356EF" w:rsidRPr="00A10674">
        <w:rPr>
          <w:rFonts w:cs="Arial"/>
          <w:b/>
          <w:sz w:val="20"/>
        </w:rPr>
        <w:t>N=37</w:t>
      </w:r>
      <w:r w:rsidRPr="006C14E3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4F3847EB" wp14:editId="3D2BE20E">
            <wp:extent cx="5486400" cy="3276600"/>
            <wp:effectExtent l="0" t="0" r="19050" b="19050"/>
            <wp:docPr id="27" name="Graf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:rsidR="000E091E" w:rsidRPr="00646815" w:rsidRDefault="00E525CE" w:rsidP="0033631D">
      <w:pPr>
        <w:rPr>
          <w:rFonts w:cs="Arial"/>
        </w:rPr>
      </w:pPr>
      <w:r w:rsidRPr="00646815">
        <w:rPr>
          <w:rFonts w:cs="Arial"/>
        </w:rPr>
        <w:t xml:space="preserve">Z opýtaných Slovákov, ktorý aspoň raz navštívili informačný portál o štrukturálnych fondoch EÚ na Slovensku, ho len 5% považuje za veľmi prehľadný, čo je výrazný pokles oproti roku 2011 (27 </w:t>
      </w:r>
      <w:proofErr w:type="spellStart"/>
      <w:r w:rsidRPr="00646815">
        <w:rPr>
          <w:rFonts w:cs="Arial"/>
        </w:rPr>
        <w:t>p.b</w:t>
      </w:r>
      <w:proofErr w:type="spellEnd"/>
      <w:r w:rsidRPr="00646815">
        <w:rPr>
          <w:rFonts w:cs="Arial"/>
        </w:rPr>
        <w:t>.). Na druhej strane však až 81% opýtaných ho považuje za skôr prehľadný</w:t>
      </w:r>
      <w:r w:rsidR="00646815" w:rsidRPr="00646815">
        <w:rPr>
          <w:rFonts w:cs="Arial"/>
        </w:rPr>
        <w:t xml:space="preserve"> (v roku</w:t>
      </w:r>
      <w:r w:rsidRPr="00646815">
        <w:rPr>
          <w:rFonts w:cs="Arial"/>
        </w:rPr>
        <w:t xml:space="preserve"> 2011 </w:t>
      </w:r>
      <w:r w:rsidR="00646815" w:rsidRPr="00646815">
        <w:rPr>
          <w:rFonts w:cs="Arial"/>
        </w:rPr>
        <w:t>ho nepovažoval nikto za skôr prehľadný)</w:t>
      </w:r>
      <w:r w:rsidRPr="00646815">
        <w:rPr>
          <w:rFonts w:cs="Arial"/>
        </w:rPr>
        <w:t>.</w:t>
      </w:r>
    </w:p>
    <w:p w:rsidR="00646815" w:rsidRDefault="00646815" w:rsidP="0033631D">
      <w:pPr>
        <w:pStyle w:val="popis2"/>
        <w:rPr>
          <w:highlight w:val="yellow"/>
        </w:rPr>
      </w:pPr>
    </w:p>
    <w:p w:rsidR="00646815" w:rsidRDefault="00646815" w:rsidP="0033631D">
      <w:pPr>
        <w:pStyle w:val="Nadpis3"/>
      </w:pPr>
      <w:bookmarkStart w:id="29" w:name="_Toc410051298"/>
      <w:r>
        <w:t>Informovanosť o operačných programoch EÚ</w:t>
      </w:r>
      <w:bookmarkEnd w:id="29"/>
    </w:p>
    <w:p w:rsidR="004E472E" w:rsidRPr="004E472E" w:rsidRDefault="004E472E" w:rsidP="0033631D">
      <w:pPr>
        <w:rPr>
          <w:rFonts w:cs="Arial"/>
        </w:rPr>
      </w:pPr>
      <w:r w:rsidRPr="004E472E">
        <w:rPr>
          <w:rFonts w:cs="Arial"/>
        </w:rPr>
        <w:t>Tretina Slovákov sa cíti byť dobre informovaná o operačných programoch (o cieľoch a spôsobe rozdelenia finančných prostriedkov z EÚ určených pre Slovensko). Opýtaný vo veku 70-79 rokov sa cítia byť najviac informovaný o operačných programoch. Najmenej informovaní sú Slováci z Bratislavského kraja (22% opýtaných sa cíti veľmi dobre alebo skôr dobre informovaní).</w:t>
      </w:r>
    </w:p>
    <w:p w:rsidR="00646815" w:rsidRPr="004E472E" w:rsidRDefault="00646815" w:rsidP="0033631D">
      <w:pPr>
        <w:rPr>
          <w:rFonts w:cs="Arial"/>
        </w:rPr>
      </w:pPr>
    </w:p>
    <w:p w:rsidR="00A10674" w:rsidRDefault="00A10674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5F1388" w:rsidRPr="00A77E94" w:rsidRDefault="005F1388" w:rsidP="0033631D">
      <w:pPr>
        <w:pStyle w:val="popis2"/>
      </w:pPr>
      <w:r w:rsidRPr="00A77E94">
        <w:lastRenderedPageBreak/>
        <w:t xml:space="preserve">Graf č. </w:t>
      </w:r>
      <w:r w:rsidR="00647D11" w:rsidRPr="00A77E94">
        <w:fldChar w:fldCharType="begin"/>
      </w:r>
      <w:r w:rsidRPr="00A77E94">
        <w:instrText xml:space="preserve"> SEQ Graf \* ARABIC </w:instrText>
      </w:r>
      <w:r w:rsidR="00647D11" w:rsidRPr="00A77E94">
        <w:fldChar w:fldCharType="separate"/>
      </w:r>
      <w:r w:rsidR="008B1877">
        <w:rPr>
          <w:noProof/>
        </w:rPr>
        <w:t>39</w:t>
      </w:r>
      <w:r w:rsidR="00647D11" w:rsidRPr="00A77E94">
        <w:rPr>
          <w:noProof/>
        </w:rPr>
        <w:fldChar w:fldCharType="end"/>
      </w:r>
      <w:r w:rsidRPr="00A77E94">
        <w:t xml:space="preserve">: </w:t>
      </w:r>
      <w:r w:rsidR="00A77E94" w:rsidRPr="00A77E94">
        <w:t>Miera informovanosti o operačných programoch</w:t>
      </w:r>
    </w:p>
    <w:p w:rsidR="000E091E" w:rsidRDefault="000E091E" w:rsidP="0033631D">
      <w:pPr>
        <w:rPr>
          <w:rFonts w:cs="Arial"/>
          <w:sz w:val="20"/>
        </w:rPr>
      </w:pPr>
      <w:r>
        <w:rPr>
          <w:rFonts w:cs="Arial"/>
          <w:sz w:val="20"/>
        </w:rPr>
        <w:t>Q11</w:t>
      </w:r>
      <w:r w:rsidR="00A10674">
        <w:rPr>
          <w:rFonts w:cs="Arial"/>
          <w:sz w:val="20"/>
        </w:rPr>
        <w:t>, N=500</w:t>
      </w:r>
    </w:p>
    <w:p w:rsidR="000E091E" w:rsidRDefault="000E091E" w:rsidP="0033631D">
      <w:pPr>
        <w:rPr>
          <w:rFonts w:cs="Arial"/>
          <w:sz w:val="20"/>
        </w:rPr>
      </w:pPr>
      <w:r w:rsidRPr="006C14E3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4878002C" wp14:editId="3EAB78DE">
            <wp:extent cx="5486400" cy="3505200"/>
            <wp:effectExtent l="0" t="0" r="19050" b="19050"/>
            <wp:docPr id="28" name="Graf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:rsidR="005F1388" w:rsidRPr="00BC4524" w:rsidRDefault="005F1388" w:rsidP="0033631D">
      <w:pPr>
        <w:pStyle w:val="popis2"/>
      </w:pPr>
      <w:r w:rsidRPr="0098164B">
        <w:t xml:space="preserve">Graf č. </w:t>
      </w:r>
      <w:r w:rsidR="00647D11" w:rsidRPr="0098164B">
        <w:fldChar w:fldCharType="begin"/>
      </w:r>
      <w:r w:rsidRPr="0098164B">
        <w:instrText xml:space="preserve"> SEQ Graf \* ARABIC </w:instrText>
      </w:r>
      <w:r w:rsidR="00647D11" w:rsidRPr="0098164B">
        <w:fldChar w:fldCharType="separate"/>
      </w:r>
      <w:r w:rsidR="008B1877">
        <w:rPr>
          <w:noProof/>
        </w:rPr>
        <w:t>40</w:t>
      </w:r>
      <w:r w:rsidR="00647D11" w:rsidRPr="0098164B">
        <w:rPr>
          <w:noProof/>
        </w:rPr>
        <w:fldChar w:fldCharType="end"/>
      </w:r>
      <w:r w:rsidRPr="0098164B">
        <w:t xml:space="preserve">: </w:t>
      </w:r>
      <w:r w:rsidR="00F35671" w:rsidRPr="0098164B">
        <w:t>Miera informovanosti o operačných programoch</w:t>
      </w:r>
      <w:r w:rsidR="0098164B" w:rsidRPr="0098164B">
        <w:t>, podľa pohlavia, veku a vzdelania</w:t>
      </w:r>
    </w:p>
    <w:p w:rsidR="00835182" w:rsidRDefault="005356EF" w:rsidP="00A10674">
      <w:pPr>
        <w:pStyle w:val="Bezriadkovania"/>
      </w:pPr>
      <w:r w:rsidRPr="00AE553F">
        <w:t>N=500</w:t>
      </w:r>
    </w:p>
    <w:p w:rsidR="00A10674" w:rsidRPr="00AE553F" w:rsidRDefault="00A10674" w:rsidP="00A10674">
      <w:pPr>
        <w:pStyle w:val="Bezriadkovania"/>
      </w:pPr>
      <w:r w:rsidRPr="0012644D">
        <w:rPr>
          <w:noProof/>
          <w:lang w:eastAsia="sk-SK"/>
        </w:rPr>
        <w:drawing>
          <wp:anchor distT="0" distB="0" distL="114300" distR="114300" simplePos="0" relativeHeight="251664384" behindDoc="0" locked="0" layoutInCell="1" allowOverlap="1" wp14:anchorId="0D496EB7" wp14:editId="55292C22">
            <wp:simplePos x="0" y="0"/>
            <wp:positionH relativeFrom="column">
              <wp:posOffset>-33020</wp:posOffset>
            </wp:positionH>
            <wp:positionV relativeFrom="paragraph">
              <wp:posOffset>179705</wp:posOffset>
            </wp:positionV>
            <wp:extent cx="5486400" cy="3914775"/>
            <wp:effectExtent l="0" t="0" r="19050" b="9525"/>
            <wp:wrapSquare wrapText="bothSides"/>
            <wp:docPr id="29" name="Graf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  <wp14:sizeRelV relativeFrom="margin">
              <wp14:pctHeight>0</wp14:pctHeight>
            </wp14:sizeRelV>
          </wp:anchor>
        </w:drawing>
      </w:r>
    </w:p>
    <w:p w:rsidR="005F1388" w:rsidRPr="00BC4524" w:rsidRDefault="005F1388" w:rsidP="0033631D">
      <w:pPr>
        <w:pStyle w:val="popis2"/>
      </w:pPr>
      <w:r w:rsidRPr="0098164B">
        <w:lastRenderedPageBreak/>
        <w:t xml:space="preserve">Graf č. </w:t>
      </w:r>
      <w:r w:rsidR="00647D11" w:rsidRPr="0098164B">
        <w:fldChar w:fldCharType="begin"/>
      </w:r>
      <w:r w:rsidRPr="0098164B">
        <w:instrText xml:space="preserve"> SEQ Graf \* ARABIC </w:instrText>
      </w:r>
      <w:r w:rsidR="00647D11" w:rsidRPr="0098164B">
        <w:fldChar w:fldCharType="separate"/>
      </w:r>
      <w:r w:rsidR="008B1877">
        <w:rPr>
          <w:noProof/>
        </w:rPr>
        <w:t>41</w:t>
      </w:r>
      <w:r w:rsidR="00647D11" w:rsidRPr="0098164B">
        <w:rPr>
          <w:noProof/>
        </w:rPr>
        <w:fldChar w:fldCharType="end"/>
      </w:r>
      <w:r w:rsidRPr="0098164B">
        <w:t xml:space="preserve">: </w:t>
      </w:r>
      <w:r w:rsidR="0098164B" w:rsidRPr="0098164B">
        <w:t xml:space="preserve">Miera informovanosti o operačných programoch, podľa </w:t>
      </w:r>
      <w:r w:rsidR="0098164B">
        <w:t>kraja a veľkosti sídla</w:t>
      </w:r>
    </w:p>
    <w:p w:rsidR="009D75EE" w:rsidRPr="00431291" w:rsidRDefault="00835182" w:rsidP="00431291">
      <w:pPr>
        <w:rPr>
          <w:sz w:val="20"/>
        </w:rPr>
      </w:pPr>
      <w:r w:rsidRPr="00431291">
        <w:rPr>
          <w:noProof/>
          <w:sz w:val="20"/>
          <w:lang w:eastAsia="sk-SK"/>
        </w:rPr>
        <w:drawing>
          <wp:anchor distT="0" distB="0" distL="114300" distR="114300" simplePos="0" relativeHeight="251680768" behindDoc="0" locked="0" layoutInCell="1" allowOverlap="1" wp14:anchorId="1BA64A9C" wp14:editId="5588FE3E">
            <wp:simplePos x="0" y="0"/>
            <wp:positionH relativeFrom="column">
              <wp:posOffset>-4445</wp:posOffset>
            </wp:positionH>
            <wp:positionV relativeFrom="paragraph">
              <wp:posOffset>429895</wp:posOffset>
            </wp:positionV>
            <wp:extent cx="5486400" cy="4714875"/>
            <wp:effectExtent l="0" t="0" r="19050" b="9525"/>
            <wp:wrapSquare wrapText="bothSides"/>
            <wp:docPr id="39" name="Graf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anchor>
        </w:drawing>
      </w:r>
      <w:r w:rsidR="005226FB" w:rsidRPr="00431291">
        <w:rPr>
          <w:sz w:val="20"/>
        </w:rPr>
        <w:t>N</w:t>
      </w:r>
      <w:r w:rsidR="005356EF" w:rsidRPr="00431291">
        <w:rPr>
          <w:sz w:val="20"/>
        </w:rPr>
        <w:t>=500</w:t>
      </w:r>
    </w:p>
    <w:p w:rsidR="009D75EE" w:rsidRDefault="009D75EE" w:rsidP="0033631D">
      <w:pPr>
        <w:rPr>
          <w:rFonts w:cs="Arial"/>
          <w:sz w:val="20"/>
        </w:rPr>
      </w:pPr>
    </w:p>
    <w:p w:rsidR="00431291" w:rsidRDefault="00431291" w:rsidP="0033631D">
      <w:pPr>
        <w:rPr>
          <w:rFonts w:cs="Arial"/>
          <w:sz w:val="20"/>
        </w:rPr>
      </w:pPr>
    </w:p>
    <w:p w:rsidR="00431291" w:rsidRDefault="00431291" w:rsidP="0033631D">
      <w:pPr>
        <w:rPr>
          <w:rFonts w:cs="Arial"/>
          <w:sz w:val="20"/>
        </w:rPr>
      </w:pPr>
    </w:p>
    <w:p w:rsidR="006268CB" w:rsidRDefault="006268CB" w:rsidP="0033631D">
      <w:pPr>
        <w:pStyle w:val="Nadpis3"/>
      </w:pPr>
      <w:bookmarkStart w:id="30" w:name="_Toc410051299"/>
      <w:r>
        <w:t>Subjektívne hodnotenie informácií o operačných programoch</w:t>
      </w:r>
      <w:bookmarkEnd w:id="30"/>
    </w:p>
    <w:p w:rsidR="006268CB" w:rsidRPr="006268CB" w:rsidRDefault="006268CB" w:rsidP="0033631D">
      <w:pPr>
        <w:rPr>
          <w:rFonts w:cs="Arial"/>
        </w:rPr>
      </w:pPr>
      <w:r w:rsidRPr="006268CB">
        <w:rPr>
          <w:rFonts w:cs="Arial"/>
        </w:rPr>
        <w:t>Polovica opýtaných Slovákov považuje informácie o operačných programoch zrozumiteľné. Z respondentov, ktorí sa cítia byť skôr alebo veľmi  dobre informovaní (33%), takmer tri štvrtiny považujú informácie o operačných programoch za zrozumiteľné.</w:t>
      </w:r>
    </w:p>
    <w:p w:rsidR="009D75EE" w:rsidRDefault="009D75EE" w:rsidP="0033631D">
      <w:pPr>
        <w:rPr>
          <w:rFonts w:cs="Arial"/>
          <w:sz w:val="20"/>
        </w:rPr>
      </w:pPr>
    </w:p>
    <w:p w:rsidR="009D75EE" w:rsidRDefault="009D75EE" w:rsidP="0033631D">
      <w:pPr>
        <w:rPr>
          <w:rFonts w:cs="Arial"/>
          <w:sz w:val="20"/>
        </w:rPr>
      </w:pPr>
    </w:p>
    <w:p w:rsidR="009D75EE" w:rsidRDefault="009D75EE" w:rsidP="0033631D">
      <w:pPr>
        <w:rPr>
          <w:rFonts w:cs="Arial"/>
          <w:sz w:val="20"/>
        </w:rPr>
      </w:pPr>
    </w:p>
    <w:p w:rsidR="009D75EE" w:rsidRDefault="009D75EE" w:rsidP="0033631D">
      <w:pPr>
        <w:rPr>
          <w:rFonts w:cs="Arial"/>
          <w:sz w:val="20"/>
        </w:rPr>
      </w:pPr>
    </w:p>
    <w:p w:rsidR="009D75EE" w:rsidRDefault="009D75EE" w:rsidP="0033631D">
      <w:pPr>
        <w:rPr>
          <w:rFonts w:cs="Arial"/>
          <w:sz w:val="20"/>
        </w:rPr>
      </w:pPr>
    </w:p>
    <w:p w:rsidR="005F1388" w:rsidRPr="00BC4524" w:rsidRDefault="005F1388" w:rsidP="0033631D">
      <w:pPr>
        <w:pStyle w:val="popis2"/>
      </w:pPr>
      <w:r w:rsidRPr="004339A0">
        <w:t xml:space="preserve">Graf č. </w:t>
      </w:r>
      <w:r w:rsidR="00647D11" w:rsidRPr="004339A0">
        <w:fldChar w:fldCharType="begin"/>
      </w:r>
      <w:r w:rsidRPr="004339A0">
        <w:instrText xml:space="preserve"> SEQ Graf \* ARABIC </w:instrText>
      </w:r>
      <w:r w:rsidR="00647D11" w:rsidRPr="004339A0">
        <w:fldChar w:fldCharType="separate"/>
      </w:r>
      <w:r w:rsidR="008B1877">
        <w:rPr>
          <w:noProof/>
        </w:rPr>
        <w:t>42</w:t>
      </w:r>
      <w:r w:rsidR="00647D11" w:rsidRPr="004339A0">
        <w:rPr>
          <w:noProof/>
        </w:rPr>
        <w:fldChar w:fldCharType="end"/>
      </w:r>
      <w:r w:rsidRPr="004339A0">
        <w:t xml:space="preserve">: </w:t>
      </w:r>
      <w:r w:rsidR="004339A0" w:rsidRPr="004339A0">
        <w:t>Miera zrozumiteľnosti informácií o operačných programoch</w:t>
      </w:r>
    </w:p>
    <w:p w:rsidR="00715C96" w:rsidRDefault="00715C96" w:rsidP="0033631D">
      <w:pPr>
        <w:rPr>
          <w:rFonts w:cs="Arial"/>
          <w:sz w:val="20"/>
        </w:rPr>
      </w:pPr>
      <w:r>
        <w:rPr>
          <w:rFonts w:cs="Arial"/>
          <w:sz w:val="20"/>
        </w:rPr>
        <w:t>Q12</w:t>
      </w:r>
      <w:r w:rsidR="00431291">
        <w:rPr>
          <w:rFonts w:cs="Arial"/>
          <w:sz w:val="20"/>
        </w:rPr>
        <w:t>, N=500</w:t>
      </w:r>
    </w:p>
    <w:p w:rsidR="00715C96" w:rsidRDefault="00715C96" w:rsidP="0033631D">
      <w:pPr>
        <w:rPr>
          <w:rFonts w:cs="Arial"/>
          <w:sz w:val="20"/>
        </w:rPr>
      </w:pPr>
      <w:r w:rsidRPr="006C14E3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1F336AB2" wp14:editId="12910103">
            <wp:extent cx="5486400" cy="3505200"/>
            <wp:effectExtent l="0" t="0" r="19050" b="19050"/>
            <wp:docPr id="30" name="Graf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6268CB" w:rsidRDefault="006268CB" w:rsidP="0033631D">
      <w:pPr>
        <w:pStyle w:val="popis2"/>
        <w:rPr>
          <w:rFonts w:eastAsiaTheme="minorHAnsi" w:cs="Arial"/>
          <w:b w:val="0"/>
          <w:bCs w:val="0"/>
          <w:szCs w:val="22"/>
        </w:rPr>
      </w:pPr>
    </w:p>
    <w:p w:rsidR="002E55D9" w:rsidRDefault="005F1388" w:rsidP="0033631D">
      <w:pPr>
        <w:pStyle w:val="popis2"/>
        <w:rPr>
          <w:rFonts w:cs="Arial"/>
        </w:rPr>
      </w:pPr>
      <w:r w:rsidRPr="002E55D9">
        <w:t xml:space="preserve">Graf č. </w:t>
      </w:r>
      <w:r w:rsidR="00647D11" w:rsidRPr="002E55D9">
        <w:fldChar w:fldCharType="begin"/>
      </w:r>
      <w:r w:rsidRPr="002E55D9">
        <w:instrText xml:space="preserve"> SEQ Graf \* ARABIC </w:instrText>
      </w:r>
      <w:r w:rsidR="00647D11" w:rsidRPr="002E55D9">
        <w:fldChar w:fldCharType="separate"/>
      </w:r>
      <w:r w:rsidR="008B1877">
        <w:rPr>
          <w:noProof/>
        </w:rPr>
        <w:t>43</w:t>
      </w:r>
      <w:r w:rsidR="00647D11" w:rsidRPr="002E55D9">
        <w:rPr>
          <w:noProof/>
        </w:rPr>
        <w:fldChar w:fldCharType="end"/>
      </w:r>
      <w:r w:rsidRPr="002E55D9">
        <w:t xml:space="preserve">: </w:t>
      </w:r>
      <w:r w:rsidR="002E55D9" w:rsidRPr="004339A0">
        <w:t>Miera zrozumiteľnosti informácií o operačných programoch</w:t>
      </w:r>
      <w:r w:rsidR="002E55D9">
        <w:t xml:space="preserve">, porovnanie všetci a tí, ktorí sa cítia byť </w:t>
      </w:r>
      <w:r w:rsidR="002E55D9" w:rsidRPr="002E55D9">
        <w:t>skôr alebo veľmi  dobre informovan</w:t>
      </w:r>
      <w:r w:rsidR="002E55D9">
        <w:t>í</w:t>
      </w:r>
    </w:p>
    <w:p w:rsidR="00343DAA" w:rsidRPr="006268CB" w:rsidRDefault="006268CB" w:rsidP="0033631D">
      <w:pPr>
        <w:pStyle w:val="popis2"/>
        <w:rPr>
          <w:rFonts w:cs="Arial"/>
          <w:b w:val="0"/>
        </w:rPr>
      </w:pPr>
      <w:r>
        <w:rPr>
          <w:rFonts w:cs="Arial"/>
          <w:b w:val="0"/>
        </w:rPr>
        <w:t>Q12</w:t>
      </w:r>
      <w:r w:rsidR="00473D8C">
        <w:rPr>
          <w:rFonts w:cs="Arial"/>
          <w:b w:val="0"/>
        </w:rPr>
        <w:t>, N=500/167</w:t>
      </w:r>
    </w:p>
    <w:p w:rsidR="0070682F" w:rsidRDefault="0070682F" w:rsidP="0033631D">
      <w:pPr>
        <w:rPr>
          <w:rFonts w:cs="Arial"/>
          <w:sz w:val="20"/>
        </w:rPr>
      </w:pPr>
      <w:r w:rsidRPr="006C14E3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5FE09B77" wp14:editId="46B91A18">
            <wp:extent cx="5486400" cy="2895600"/>
            <wp:effectExtent l="0" t="0" r="19050" b="19050"/>
            <wp:docPr id="31" name="Graf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:rsidR="00AE553F" w:rsidRDefault="00AE553F" w:rsidP="0033631D">
      <w:pPr>
        <w:rPr>
          <w:rFonts w:cs="Arial"/>
          <w:sz w:val="20"/>
        </w:rPr>
      </w:pPr>
    </w:p>
    <w:p w:rsidR="005F1388" w:rsidRPr="009D621B" w:rsidRDefault="005F1388" w:rsidP="0033631D">
      <w:pPr>
        <w:pStyle w:val="popis2"/>
        <w:rPr>
          <w:rFonts w:cs="Arial"/>
        </w:rPr>
      </w:pPr>
      <w:r w:rsidRPr="006268CB">
        <w:t xml:space="preserve">Graf č. </w:t>
      </w:r>
      <w:r w:rsidR="00647D11" w:rsidRPr="006268CB">
        <w:fldChar w:fldCharType="begin"/>
      </w:r>
      <w:r w:rsidRPr="006268CB">
        <w:instrText xml:space="preserve"> SEQ Graf \* ARABIC </w:instrText>
      </w:r>
      <w:r w:rsidR="00647D11" w:rsidRPr="006268CB">
        <w:fldChar w:fldCharType="separate"/>
      </w:r>
      <w:r w:rsidR="008B1877">
        <w:rPr>
          <w:noProof/>
        </w:rPr>
        <w:t>44</w:t>
      </w:r>
      <w:r w:rsidR="00647D11" w:rsidRPr="006268CB">
        <w:rPr>
          <w:noProof/>
        </w:rPr>
        <w:fldChar w:fldCharType="end"/>
      </w:r>
      <w:r w:rsidRPr="006268CB">
        <w:t xml:space="preserve">: </w:t>
      </w:r>
      <w:r w:rsidR="006268CB" w:rsidRPr="006268CB">
        <w:t>Dostupnosť</w:t>
      </w:r>
      <w:r w:rsidR="006268CB">
        <w:t xml:space="preserve"> informácií o operačných programoch</w:t>
      </w:r>
    </w:p>
    <w:p w:rsidR="0001599C" w:rsidRDefault="006A13E2" w:rsidP="0033631D">
      <w:pPr>
        <w:rPr>
          <w:rFonts w:cs="Arial"/>
          <w:sz w:val="20"/>
        </w:rPr>
      </w:pPr>
      <w:r>
        <w:rPr>
          <w:rFonts w:cs="Arial"/>
          <w:sz w:val="20"/>
        </w:rPr>
        <w:t>Q13</w:t>
      </w:r>
      <w:r w:rsidR="00473D8C">
        <w:rPr>
          <w:rFonts w:cs="Arial"/>
          <w:sz w:val="20"/>
        </w:rPr>
        <w:t>, N=500</w:t>
      </w:r>
    </w:p>
    <w:p w:rsidR="006A13E2" w:rsidRDefault="006A13E2" w:rsidP="0033631D">
      <w:pPr>
        <w:rPr>
          <w:rFonts w:cs="Arial"/>
          <w:sz w:val="20"/>
        </w:rPr>
      </w:pPr>
      <w:r w:rsidRPr="006C14E3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462AD9D8" wp14:editId="74F4061D">
            <wp:extent cx="5486400" cy="3505200"/>
            <wp:effectExtent l="0" t="0" r="19050" b="19050"/>
            <wp:docPr id="32" name="Graf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:rsidR="00473D8C" w:rsidRDefault="00473D8C" w:rsidP="0033631D">
      <w:pPr>
        <w:rPr>
          <w:rFonts w:cs="Arial"/>
        </w:rPr>
      </w:pPr>
    </w:p>
    <w:p w:rsidR="009D621B" w:rsidRPr="009D621B" w:rsidRDefault="009D621B" w:rsidP="0033631D">
      <w:pPr>
        <w:rPr>
          <w:rFonts w:cs="Arial"/>
        </w:rPr>
      </w:pPr>
      <w:r w:rsidRPr="009D621B">
        <w:rPr>
          <w:rFonts w:cs="Arial"/>
        </w:rPr>
        <w:t xml:space="preserve">Viac ako polovica opýtaných Slovákov považuje informácie o operačných programoch za dostupné, čo predstavuje pokles o 15 </w:t>
      </w:r>
      <w:proofErr w:type="spellStart"/>
      <w:r w:rsidRPr="009D621B">
        <w:rPr>
          <w:rFonts w:cs="Arial"/>
        </w:rPr>
        <w:t>p.b</w:t>
      </w:r>
      <w:proofErr w:type="spellEnd"/>
      <w:r w:rsidRPr="009D621B">
        <w:rPr>
          <w:rFonts w:cs="Arial"/>
        </w:rPr>
        <w:t xml:space="preserve">., </w:t>
      </w:r>
      <w:proofErr w:type="spellStart"/>
      <w:r w:rsidRPr="009D621B">
        <w:rPr>
          <w:rFonts w:cs="Arial"/>
        </w:rPr>
        <w:t>resp</w:t>
      </w:r>
      <w:proofErr w:type="spellEnd"/>
      <w:r w:rsidRPr="009D621B">
        <w:rPr>
          <w:rFonts w:cs="Arial"/>
        </w:rPr>
        <w:t xml:space="preserve"> o 17 </w:t>
      </w:r>
      <w:proofErr w:type="spellStart"/>
      <w:r w:rsidRPr="009D621B">
        <w:rPr>
          <w:rFonts w:cs="Arial"/>
        </w:rPr>
        <w:t>p.b</w:t>
      </w:r>
      <w:proofErr w:type="spellEnd"/>
      <w:r w:rsidRPr="009D621B">
        <w:rPr>
          <w:rFonts w:cs="Arial"/>
        </w:rPr>
        <w:t>. oproti rokom 2011 a 2008. Z respondentov, ktorí sa cítia byť skôr alebo veľmi  dobre informovaní (tretina z celej vzorky), 87% považuje informácie o operačných programoch za úplne alebo skôr dostupné.</w:t>
      </w:r>
    </w:p>
    <w:p w:rsidR="009D621B" w:rsidRDefault="009D621B" w:rsidP="0033631D">
      <w:pPr>
        <w:rPr>
          <w:rFonts w:cs="Arial"/>
          <w:sz w:val="20"/>
        </w:rPr>
      </w:pPr>
    </w:p>
    <w:p w:rsidR="00473D8C" w:rsidRDefault="00473D8C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5F1388" w:rsidRPr="00676C14" w:rsidRDefault="005F1388" w:rsidP="0033631D">
      <w:pPr>
        <w:pStyle w:val="popis2"/>
        <w:rPr>
          <w:rFonts w:cs="Arial"/>
        </w:rPr>
      </w:pPr>
      <w:r w:rsidRPr="00676C14">
        <w:lastRenderedPageBreak/>
        <w:t xml:space="preserve">Graf č. </w:t>
      </w:r>
      <w:r w:rsidR="00647D11" w:rsidRPr="00676C14">
        <w:fldChar w:fldCharType="begin"/>
      </w:r>
      <w:r w:rsidRPr="00676C14">
        <w:instrText xml:space="preserve"> SEQ Graf \* ARABIC </w:instrText>
      </w:r>
      <w:r w:rsidR="00647D11" w:rsidRPr="00676C14">
        <w:fldChar w:fldCharType="separate"/>
      </w:r>
      <w:r w:rsidR="008B1877">
        <w:rPr>
          <w:noProof/>
        </w:rPr>
        <w:t>45</w:t>
      </w:r>
      <w:r w:rsidR="00647D11" w:rsidRPr="00676C14">
        <w:rPr>
          <w:noProof/>
        </w:rPr>
        <w:fldChar w:fldCharType="end"/>
      </w:r>
      <w:r w:rsidRPr="00676C14">
        <w:t xml:space="preserve">: </w:t>
      </w:r>
      <w:r w:rsidR="009D621B" w:rsidRPr="006268CB">
        <w:t>Dostupnosť</w:t>
      </w:r>
      <w:r w:rsidR="009D621B">
        <w:t xml:space="preserve"> informácií o operačných programoch</w:t>
      </w:r>
      <w:r w:rsidR="00676C14">
        <w:t xml:space="preserve">, porovnanie všetci a tí, ktorí sa cítia byť </w:t>
      </w:r>
      <w:r w:rsidR="00676C14" w:rsidRPr="002E55D9">
        <w:t>skôr alebo veľmi  dobre informovan</w:t>
      </w:r>
      <w:r w:rsidR="00676C14">
        <w:t>í</w:t>
      </w:r>
    </w:p>
    <w:p w:rsidR="001E1744" w:rsidRDefault="00473D8C" w:rsidP="00473D8C">
      <w:pPr>
        <w:jc w:val="left"/>
        <w:rPr>
          <w:rFonts w:cs="Arial"/>
          <w:sz w:val="20"/>
        </w:rPr>
      </w:pPr>
      <w:r w:rsidRPr="00473D8C">
        <w:rPr>
          <w:sz w:val="20"/>
        </w:rPr>
        <w:t xml:space="preserve">Q13, </w:t>
      </w:r>
      <w:r w:rsidR="004C7259" w:rsidRPr="00473D8C">
        <w:rPr>
          <w:sz w:val="20"/>
        </w:rPr>
        <w:t>N=500/167</w:t>
      </w:r>
      <w:r w:rsidR="001E1744" w:rsidRPr="006C14E3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509B6DC9" wp14:editId="75CF9D65">
            <wp:extent cx="5486400" cy="3333750"/>
            <wp:effectExtent l="0" t="0" r="19050" b="19050"/>
            <wp:docPr id="33" name="Graf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473D8C" w:rsidRDefault="00473D8C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</w:p>
    <w:p w:rsidR="005F1388" w:rsidRPr="00BC4524" w:rsidRDefault="005F1388" w:rsidP="0033631D">
      <w:pPr>
        <w:pStyle w:val="popis2"/>
      </w:pPr>
      <w:r w:rsidRPr="00C857CC">
        <w:t xml:space="preserve">Graf č. </w:t>
      </w:r>
      <w:r w:rsidR="00647D11" w:rsidRPr="00C857CC">
        <w:fldChar w:fldCharType="begin"/>
      </w:r>
      <w:r w:rsidRPr="00C857CC">
        <w:instrText xml:space="preserve"> SEQ Graf \* ARABIC </w:instrText>
      </w:r>
      <w:r w:rsidR="00647D11" w:rsidRPr="00C857CC">
        <w:fldChar w:fldCharType="separate"/>
      </w:r>
      <w:r w:rsidR="008B1877">
        <w:rPr>
          <w:noProof/>
        </w:rPr>
        <w:t>46</w:t>
      </w:r>
      <w:r w:rsidR="00647D11" w:rsidRPr="00C857CC">
        <w:rPr>
          <w:noProof/>
        </w:rPr>
        <w:fldChar w:fldCharType="end"/>
      </w:r>
      <w:r w:rsidRPr="00C857CC">
        <w:t xml:space="preserve">: </w:t>
      </w:r>
      <w:r w:rsidR="00C857CC" w:rsidRPr="00C857CC">
        <w:t>Úroveň</w:t>
      </w:r>
      <w:r w:rsidR="00C857CC">
        <w:t xml:space="preserve"> informácií o operačných programoch</w:t>
      </w:r>
    </w:p>
    <w:p w:rsidR="00BA4AE0" w:rsidRDefault="00BA4AE0" w:rsidP="0033631D">
      <w:pPr>
        <w:rPr>
          <w:rFonts w:cs="Arial"/>
          <w:sz w:val="20"/>
        </w:rPr>
      </w:pPr>
      <w:r>
        <w:rPr>
          <w:rFonts w:cs="Arial"/>
          <w:sz w:val="20"/>
        </w:rPr>
        <w:t>Q14</w:t>
      </w:r>
      <w:r w:rsidR="00473D8C">
        <w:rPr>
          <w:rFonts w:cs="Arial"/>
          <w:sz w:val="20"/>
        </w:rPr>
        <w:t>, N=500</w:t>
      </w:r>
    </w:p>
    <w:p w:rsidR="00BA4AE0" w:rsidRDefault="00BA4AE0" w:rsidP="0033631D">
      <w:pPr>
        <w:rPr>
          <w:rFonts w:cs="Arial"/>
          <w:sz w:val="20"/>
        </w:rPr>
      </w:pPr>
      <w:r w:rsidRPr="006C14E3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38D622AE" wp14:editId="09FD31C6">
            <wp:extent cx="5486400" cy="2990850"/>
            <wp:effectExtent l="0" t="0" r="19050" b="19050"/>
            <wp:docPr id="34" name="Graf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473D8C" w:rsidRDefault="00473D8C">
      <w:pPr>
        <w:spacing w:after="200" w:line="276" w:lineRule="auto"/>
        <w:jc w:val="left"/>
        <w:rPr>
          <w:rFonts w:cs="Arial"/>
        </w:rPr>
      </w:pPr>
      <w:r>
        <w:rPr>
          <w:rFonts w:cs="Arial"/>
        </w:rPr>
        <w:br w:type="page"/>
      </w:r>
    </w:p>
    <w:p w:rsidR="00C857CC" w:rsidRPr="00C857CC" w:rsidRDefault="00C857CC" w:rsidP="0033631D">
      <w:pPr>
        <w:rPr>
          <w:rFonts w:cs="Arial"/>
        </w:rPr>
      </w:pPr>
      <w:r w:rsidRPr="00C857CC">
        <w:rPr>
          <w:rFonts w:cs="Arial"/>
        </w:rPr>
        <w:lastRenderedPageBreak/>
        <w:t xml:space="preserve">Viac ako polovica opýtaných Slovákov považuje úroveň informácií o operačných programoch za veľmi alebo skôr dobrú, čo predstavuje pokles oproti roku 2011 a 2008 o 21 </w:t>
      </w:r>
      <w:proofErr w:type="spellStart"/>
      <w:r w:rsidRPr="00C857CC">
        <w:rPr>
          <w:rFonts w:cs="Arial"/>
        </w:rPr>
        <w:t>p.b</w:t>
      </w:r>
      <w:proofErr w:type="spellEnd"/>
      <w:r w:rsidRPr="00C857CC">
        <w:rPr>
          <w:rFonts w:cs="Arial"/>
        </w:rPr>
        <w:t xml:space="preserve">., resp. 26 </w:t>
      </w:r>
      <w:proofErr w:type="spellStart"/>
      <w:r w:rsidRPr="00C857CC">
        <w:rPr>
          <w:rFonts w:cs="Arial"/>
        </w:rPr>
        <w:t>p.b</w:t>
      </w:r>
      <w:proofErr w:type="spellEnd"/>
      <w:r w:rsidRPr="00C857CC">
        <w:rPr>
          <w:rFonts w:cs="Arial"/>
        </w:rPr>
        <w:t>. Z respondentov, ktorí sa cítia byť skôr alebo veľmi  dobre informovaní (tretina z celej vzorky), 84% považuje informácie o operačných programoch za úplne alebo skôr dostupné.</w:t>
      </w:r>
    </w:p>
    <w:p w:rsidR="008D0C2A" w:rsidRDefault="008D0C2A" w:rsidP="0033631D">
      <w:pPr>
        <w:rPr>
          <w:rFonts w:cs="Arial"/>
          <w:sz w:val="20"/>
        </w:rPr>
      </w:pPr>
    </w:p>
    <w:p w:rsidR="005F1388" w:rsidRPr="00C857CC" w:rsidRDefault="005F1388" w:rsidP="0033631D">
      <w:pPr>
        <w:pStyle w:val="popis2"/>
        <w:rPr>
          <w:rFonts w:cs="Arial"/>
        </w:rPr>
      </w:pPr>
      <w:r w:rsidRPr="00C857CC">
        <w:t xml:space="preserve">Graf č. </w:t>
      </w:r>
      <w:r w:rsidR="00647D11" w:rsidRPr="00C857CC">
        <w:fldChar w:fldCharType="begin"/>
      </w:r>
      <w:r w:rsidRPr="00C857CC">
        <w:instrText xml:space="preserve"> SEQ Graf \* ARABIC </w:instrText>
      </w:r>
      <w:r w:rsidR="00647D11" w:rsidRPr="00C857CC">
        <w:fldChar w:fldCharType="separate"/>
      </w:r>
      <w:r w:rsidR="008B1877">
        <w:rPr>
          <w:noProof/>
        </w:rPr>
        <w:t>47</w:t>
      </w:r>
      <w:r w:rsidR="00647D11" w:rsidRPr="00C857CC">
        <w:rPr>
          <w:noProof/>
        </w:rPr>
        <w:fldChar w:fldCharType="end"/>
      </w:r>
      <w:r w:rsidRPr="00C857CC">
        <w:t xml:space="preserve">: </w:t>
      </w:r>
      <w:r w:rsidR="00C857CC" w:rsidRPr="00C857CC">
        <w:t>Úroveň</w:t>
      </w:r>
      <w:r w:rsidR="00C857CC">
        <w:t xml:space="preserve"> informácií o operačných programoch, porovnanie všetci a tí, ktorí sa cítia byť </w:t>
      </w:r>
      <w:r w:rsidR="00C857CC" w:rsidRPr="002E55D9">
        <w:t>skôr alebo veľmi  dobre informovan</w:t>
      </w:r>
      <w:r w:rsidR="00C857CC">
        <w:t>í</w:t>
      </w:r>
    </w:p>
    <w:p w:rsidR="00BA4AE0" w:rsidRDefault="00C857CC" w:rsidP="0033631D">
      <w:pPr>
        <w:rPr>
          <w:rFonts w:cs="Arial"/>
          <w:sz w:val="20"/>
        </w:rPr>
      </w:pPr>
      <w:r>
        <w:rPr>
          <w:rFonts w:cs="Arial"/>
          <w:sz w:val="20"/>
        </w:rPr>
        <w:t>Q14</w:t>
      </w:r>
      <w:r w:rsidR="00473D8C">
        <w:rPr>
          <w:rFonts w:cs="Arial"/>
          <w:sz w:val="20"/>
        </w:rPr>
        <w:t>, N=500/167</w:t>
      </w:r>
    </w:p>
    <w:p w:rsidR="00BA4AE0" w:rsidRDefault="00BA4AE0" w:rsidP="0033631D">
      <w:pPr>
        <w:rPr>
          <w:rFonts w:cs="Arial"/>
          <w:sz w:val="20"/>
        </w:rPr>
      </w:pPr>
      <w:r w:rsidRPr="006C14E3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516B341F" wp14:editId="18BB7623">
            <wp:extent cx="5486400" cy="2371725"/>
            <wp:effectExtent l="0" t="0" r="19050" b="9525"/>
            <wp:docPr id="35" name="Graf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464455" w:rsidRDefault="00464455" w:rsidP="0033631D">
      <w:pPr>
        <w:rPr>
          <w:rFonts w:cs="Arial"/>
          <w:sz w:val="20"/>
        </w:rPr>
      </w:pPr>
    </w:p>
    <w:p w:rsidR="005F1388" w:rsidRPr="00BC4524" w:rsidRDefault="005F1388" w:rsidP="0033631D">
      <w:pPr>
        <w:pStyle w:val="popis2"/>
      </w:pPr>
      <w:r w:rsidRPr="00BF644C">
        <w:t xml:space="preserve">Graf č. </w:t>
      </w:r>
      <w:r w:rsidR="00647D11" w:rsidRPr="00BF644C">
        <w:fldChar w:fldCharType="begin"/>
      </w:r>
      <w:r w:rsidRPr="00BF644C">
        <w:instrText xml:space="preserve"> SEQ Graf \* ARABIC </w:instrText>
      </w:r>
      <w:r w:rsidR="00647D11" w:rsidRPr="00BF644C">
        <w:fldChar w:fldCharType="separate"/>
      </w:r>
      <w:r w:rsidR="008B1877">
        <w:rPr>
          <w:noProof/>
        </w:rPr>
        <w:t>48</w:t>
      </w:r>
      <w:r w:rsidR="00647D11" w:rsidRPr="00BF644C">
        <w:rPr>
          <w:noProof/>
        </w:rPr>
        <w:fldChar w:fldCharType="end"/>
      </w:r>
      <w:r w:rsidRPr="00BF644C">
        <w:t xml:space="preserve">: </w:t>
      </w:r>
      <w:r w:rsidR="00BF644C" w:rsidRPr="00BF644C">
        <w:t>Orientácia</w:t>
      </w:r>
      <w:r w:rsidR="00BF644C">
        <w:t xml:space="preserve"> v problematike finančnej pomoci EÚ Slovensku</w:t>
      </w:r>
    </w:p>
    <w:p w:rsidR="00B34E08" w:rsidRDefault="00464455" w:rsidP="0033631D">
      <w:pPr>
        <w:rPr>
          <w:rFonts w:cs="Arial"/>
          <w:sz w:val="20"/>
        </w:rPr>
      </w:pPr>
      <w:r>
        <w:rPr>
          <w:rFonts w:cs="Arial"/>
          <w:sz w:val="20"/>
        </w:rPr>
        <w:t>Q15</w:t>
      </w:r>
      <w:r w:rsidR="00473D8C">
        <w:rPr>
          <w:rFonts w:cs="Arial"/>
          <w:sz w:val="20"/>
        </w:rPr>
        <w:t>, N=500</w:t>
      </w:r>
    </w:p>
    <w:p w:rsidR="00464455" w:rsidRDefault="00464455" w:rsidP="0033631D">
      <w:pPr>
        <w:rPr>
          <w:rFonts w:cs="Arial"/>
          <w:sz w:val="20"/>
        </w:rPr>
      </w:pPr>
      <w:r w:rsidRPr="006C14E3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6AAFCD44" wp14:editId="75629E83">
            <wp:extent cx="5486400" cy="2933700"/>
            <wp:effectExtent l="0" t="0" r="19050" b="19050"/>
            <wp:docPr id="36" name="Graf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:rsidR="00BF644C" w:rsidRDefault="00BF644C" w:rsidP="0033631D">
      <w:pPr>
        <w:pStyle w:val="popis2"/>
        <w:rPr>
          <w:b w:val="0"/>
          <w:sz w:val="22"/>
        </w:rPr>
      </w:pPr>
      <w:r w:rsidRPr="00BF644C">
        <w:rPr>
          <w:b w:val="0"/>
          <w:sz w:val="22"/>
        </w:rPr>
        <w:lastRenderedPageBreak/>
        <w:t>Viac ako tretina opýtaných Slovákov (38%) sa s veľkými problémami/iba okrajovo dokáže zorientovať v problematike o finančnej pomoci EÚ Slovensku.</w:t>
      </w:r>
      <w:r w:rsidR="004076ED">
        <w:rPr>
          <w:b w:val="0"/>
          <w:sz w:val="22"/>
        </w:rPr>
        <w:t xml:space="preserve"> </w:t>
      </w:r>
      <w:r w:rsidRPr="00BF644C">
        <w:rPr>
          <w:b w:val="0"/>
          <w:sz w:val="22"/>
        </w:rPr>
        <w:t xml:space="preserve">37% sa dokáže v danej problematike zorientovať s malými problémami a bez problémov sa orientuje v problematike o finančnej pomoci EÚ Slovensku len 7% opýtaných, čo je nárast oproti roku 2011 o 7 </w:t>
      </w:r>
      <w:proofErr w:type="spellStart"/>
      <w:r w:rsidRPr="00BF644C">
        <w:rPr>
          <w:b w:val="0"/>
          <w:sz w:val="22"/>
        </w:rPr>
        <w:t>p.b</w:t>
      </w:r>
      <w:proofErr w:type="spellEnd"/>
      <w:r w:rsidRPr="00BF644C">
        <w:rPr>
          <w:b w:val="0"/>
          <w:sz w:val="22"/>
        </w:rPr>
        <w:t xml:space="preserve">. </w:t>
      </w:r>
    </w:p>
    <w:p w:rsidR="00BF644C" w:rsidRDefault="00BF644C" w:rsidP="0033631D"/>
    <w:p w:rsidR="004076ED" w:rsidRPr="00BF644C" w:rsidRDefault="004076ED" w:rsidP="0033631D"/>
    <w:p w:rsidR="00BF644C" w:rsidRDefault="00BF644C" w:rsidP="0033631D">
      <w:pPr>
        <w:pStyle w:val="Nadpis3"/>
      </w:pPr>
      <w:bookmarkStart w:id="31" w:name="_Toc410051300"/>
      <w:r>
        <w:t>Postoj voči činnosti fondov v rámci Európskej únie</w:t>
      </w:r>
      <w:bookmarkEnd w:id="31"/>
    </w:p>
    <w:p w:rsidR="00BF644C" w:rsidRPr="00361E1E" w:rsidRDefault="00D30E56" w:rsidP="0033631D">
      <w:pPr>
        <w:pStyle w:val="popis2"/>
        <w:rPr>
          <w:b w:val="0"/>
          <w:sz w:val="22"/>
        </w:rPr>
      </w:pPr>
      <w:r w:rsidRPr="00361E1E">
        <w:rPr>
          <w:b w:val="0"/>
          <w:sz w:val="22"/>
        </w:rPr>
        <w:t xml:space="preserve">Necelá tretina opýtaných Slovákov považuje činnosť fondov v rámci EÚ za veľmi prospešnú, čo je pokles oproti rokom 2011 a 2008 o 8 </w:t>
      </w:r>
      <w:proofErr w:type="spellStart"/>
      <w:r w:rsidRPr="00361E1E">
        <w:rPr>
          <w:b w:val="0"/>
          <w:sz w:val="22"/>
        </w:rPr>
        <w:t>p.b</w:t>
      </w:r>
      <w:proofErr w:type="spellEnd"/>
      <w:r w:rsidRPr="00361E1E">
        <w:rPr>
          <w:b w:val="0"/>
          <w:sz w:val="22"/>
        </w:rPr>
        <w:t>. resp. o</w:t>
      </w:r>
      <w:r w:rsidR="00361E1E" w:rsidRPr="00361E1E">
        <w:rPr>
          <w:b w:val="0"/>
          <w:sz w:val="22"/>
        </w:rPr>
        <w:t xml:space="preserve"> 15 </w:t>
      </w:r>
      <w:proofErr w:type="spellStart"/>
      <w:r w:rsidR="00361E1E" w:rsidRPr="00361E1E">
        <w:rPr>
          <w:b w:val="0"/>
          <w:sz w:val="22"/>
        </w:rPr>
        <w:t>p.b</w:t>
      </w:r>
      <w:proofErr w:type="spellEnd"/>
      <w:r w:rsidR="00361E1E" w:rsidRPr="00361E1E">
        <w:rPr>
          <w:b w:val="0"/>
          <w:sz w:val="22"/>
        </w:rPr>
        <w:t>. Na druhej strane, viac ako polovica považuje činnosť fondov za skôr prospešnú, čo predstavuje nárast oproti minulým rokom.</w:t>
      </w:r>
      <w:r w:rsidR="003D661A">
        <w:rPr>
          <w:b w:val="0"/>
          <w:sz w:val="22"/>
        </w:rPr>
        <w:t xml:space="preserve"> Činnosť fondov v rámci EÚ považuje za skôr a veľmi prospešnú až 96% opýtaných z Trnavského kraja.</w:t>
      </w:r>
    </w:p>
    <w:p w:rsidR="003D661A" w:rsidRDefault="003D661A" w:rsidP="0033631D">
      <w:pPr>
        <w:pStyle w:val="popis2"/>
      </w:pPr>
    </w:p>
    <w:p w:rsidR="005F1388" w:rsidRPr="00BC4524" w:rsidRDefault="005F1388" w:rsidP="0033631D">
      <w:pPr>
        <w:pStyle w:val="popis2"/>
      </w:pPr>
      <w:r w:rsidRPr="00F14A52">
        <w:t xml:space="preserve">Graf č. </w:t>
      </w:r>
      <w:r w:rsidR="00647D11" w:rsidRPr="00F14A52">
        <w:fldChar w:fldCharType="begin"/>
      </w:r>
      <w:r w:rsidRPr="00F14A52">
        <w:instrText xml:space="preserve"> SEQ Graf \* ARABIC </w:instrText>
      </w:r>
      <w:r w:rsidR="00647D11" w:rsidRPr="00F14A52">
        <w:fldChar w:fldCharType="separate"/>
      </w:r>
      <w:r w:rsidR="008B1877">
        <w:rPr>
          <w:noProof/>
        </w:rPr>
        <w:t>49</w:t>
      </w:r>
      <w:r w:rsidR="00647D11" w:rsidRPr="00F14A52">
        <w:rPr>
          <w:noProof/>
        </w:rPr>
        <w:fldChar w:fldCharType="end"/>
      </w:r>
      <w:r w:rsidRPr="00F14A52">
        <w:t xml:space="preserve">: </w:t>
      </w:r>
      <w:r w:rsidR="00F14A52" w:rsidRPr="00F14A52">
        <w:t>Prospešnosť</w:t>
      </w:r>
      <w:r w:rsidR="00F14A52">
        <w:t xml:space="preserve"> činnosti fondov v rámci EÚ pre Slovensko</w:t>
      </w:r>
    </w:p>
    <w:p w:rsidR="00BA4AE0" w:rsidRDefault="00AA428F" w:rsidP="0033631D">
      <w:pPr>
        <w:rPr>
          <w:rFonts w:cs="Arial"/>
          <w:sz w:val="20"/>
        </w:rPr>
      </w:pPr>
      <w:r>
        <w:rPr>
          <w:rFonts w:cs="Arial"/>
          <w:sz w:val="20"/>
        </w:rPr>
        <w:t>Q16</w:t>
      </w:r>
      <w:r w:rsidR="004076ED">
        <w:rPr>
          <w:rFonts w:cs="Arial"/>
          <w:sz w:val="20"/>
        </w:rPr>
        <w:t>, N=500</w:t>
      </w:r>
    </w:p>
    <w:p w:rsidR="001E1744" w:rsidRDefault="00AA428F" w:rsidP="0033631D">
      <w:pPr>
        <w:rPr>
          <w:rFonts w:cs="Arial"/>
          <w:sz w:val="20"/>
        </w:rPr>
      </w:pPr>
      <w:r w:rsidRPr="006C14E3">
        <w:rPr>
          <w:rFonts w:cs="Arial"/>
          <w:noProof/>
          <w:sz w:val="20"/>
          <w:szCs w:val="20"/>
          <w:lang w:eastAsia="sk-SK"/>
        </w:rPr>
        <w:drawing>
          <wp:inline distT="0" distB="0" distL="0" distR="0" wp14:anchorId="7B2D1F93" wp14:editId="0D214750">
            <wp:extent cx="5486400" cy="3505200"/>
            <wp:effectExtent l="0" t="0" r="19050" b="19050"/>
            <wp:docPr id="37" name="Graf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897DD3" w:rsidRDefault="00897DD3" w:rsidP="0033631D">
      <w:pPr>
        <w:rPr>
          <w:rFonts w:cs="Arial"/>
          <w:sz w:val="20"/>
        </w:rPr>
      </w:pPr>
    </w:p>
    <w:p w:rsidR="005F1388" w:rsidRPr="00BC4524" w:rsidRDefault="005F1388" w:rsidP="0033631D">
      <w:pPr>
        <w:pStyle w:val="popis2"/>
      </w:pPr>
      <w:r w:rsidRPr="00D30E56">
        <w:lastRenderedPageBreak/>
        <w:t xml:space="preserve">Graf č. </w:t>
      </w:r>
      <w:r w:rsidR="00647D11" w:rsidRPr="00D30E56">
        <w:fldChar w:fldCharType="begin"/>
      </w:r>
      <w:r w:rsidRPr="00D30E56">
        <w:instrText xml:space="preserve"> SEQ Graf \* ARABIC </w:instrText>
      </w:r>
      <w:r w:rsidR="00647D11" w:rsidRPr="00D30E56">
        <w:fldChar w:fldCharType="separate"/>
      </w:r>
      <w:r w:rsidR="008B1877">
        <w:rPr>
          <w:noProof/>
        </w:rPr>
        <w:t>50</w:t>
      </w:r>
      <w:r w:rsidR="00647D11" w:rsidRPr="00D30E56">
        <w:rPr>
          <w:noProof/>
        </w:rPr>
        <w:fldChar w:fldCharType="end"/>
      </w:r>
      <w:r w:rsidR="0098164B" w:rsidRPr="00D30E56">
        <w:rPr>
          <w:noProof/>
        </w:rPr>
        <w:t>4</w:t>
      </w:r>
      <w:r w:rsidRPr="00D30E56">
        <w:t xml:space="preserve">: </w:t>
      </w:r>
      <w:r w:rsidR="00D30E56" w:rsidRPr="00D30E56">
        <w:t>Pro</w:t>
      </w:r>
      <w:r w:rsidR="00D30E56" w:rsidRPr="00F14A52">
        <w:t>spešnosť</w:t>
      </w:r>
      <w:r w:rsidR="00D30E56">
        <w:t xml:space="preserve"> činnosti fondov v rámci EÚ pre Slovensko, podľa pohlavia, veku a vzdelania</w:t>
      </w:r>
    </w:p>
    <w:p w:rsidR="00CF25D9" w:rsidRPr="004076ED" w:rsidRDefault="00897DD3" w:rsidP="004076ED">
      <w:r w:rsidRPr="004076ED">
        <w:rPr>
          <w:noProof/>
          <w:sz w:val="20"/>
          <w:lang w:eastAsia="sk-SK"/>
        </w:rPr>
        <w:drawing>
          <wp:anchor distT="0" distB="0" distL="114300" distR="114300" simplePos="0" relativeHeight="251668480" behindDoc="0" locked="0" layoutInCell="1" allowOverlap="1" wp14:anchorId="5F109B58" wp14:editId="1B246F5D">
            <wp:simplePos x="0" y="0"/>
            <wp:positionH relativeFrom="column">
              <wp:posOffset>5080</wp:posOffset>
            </wp:positionH>
            <wp:positionV relativeFrom="paragraph">
              <wp:posOffset>405130</wp:posOffset>
            </wp:positionV>
            <wp:extent cx="5486400" cy="4038600"/>
            <wp:effectExtent l="19050" t="0" r="19050" b="0"/>
            <wp:wrapSquare wrapText="bothSides"/>
            <wp:docPr id="3" name="Graf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anchor>
        </w:drawing>
      </w:r>
      <w:r w:rsidR="00CF25D9" w:rsidRPr="004076ED">
        <w:rPr>
          <w:sz w:val="20"/>
        </w:rPr>
        <w:t>Q1</w:t>
      </w:r>
      <w:r w:rsidR="008A683D" w:rsidRPr="004076ED">
        <w:rPr>
          <w:sz w:val="20"/>
        </w:rPr>
        <w:t>6_2</w:t>
      </w:r>
      <w:r w:rsidR="004076ED" w:rsidRPr="004076ED">
        <w:rPr>
          <w:sz w:val="20"/>
        </w:rPr>
        <w:t xml:space="preserve">, </w:t>
      </w:r>
      <w:r w:rsidR="004C7259" w:rsidRPr="004076ED">
        <w:rPr>
          <w:sz w:val="20"/>
        </w:rPr>
        <w:t>N=500</w:t>
      </w:r>
    </w:p>
    <w:p w:rsidR="00897DD3" w:rsidRDefault="00897DD3" w:rsidP="0033631D">
      <w:pPr>
        <w:rPr>
          <w:rFonts w:cs="Arial"/>
          <w:sz w:val="20"/>
        </w:rPr>
      </w:pPr>
    </w:p>
    <w:p w:rsidR="004076ED" w:rsidRDefault="004076ED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5F1388" w:rsidRPr="00BC4524" w:rsidRDefault="005F1388" w:rsidP="0033631D">
      <w:pPr>
        <w:pStyle w:val="popis2"/>
      </w:pPr>
      <w:r w:rsidRPr="00D30E56">
        <w:lastRenderedPageBreak/>
        <w:t xml:space="preserve">Graf č. </w:t>
      </w:r>
      <w:r w:rsidR="00647D11" w:rsidRPr="00D30E56">
        <w:fldChar w:fldCharType="begin"/>
      </w:r>
      <w:r w:rsidRPr="00D30E56">
        <w:instrText xml:space="preserve"> SEQ Graf \* ARABIC </w:instrText>
      </w:r>
      <w:r w:rsidR="00647D11" w:rsidRPr="00D30E56">
        <w:fldChar w:fldCharType="separate"/>
      </w:r>
      <w:r w:rsidR="008B1877">
        <w:rPr>
          <w:noProof/>
        </w:rPr>
        <w:t>51</w:t>
      </w:r>
      <w:r w:rsidR="00647D11" w:rsidRPr="00D30E56">
        <w:rPr>
          <w:noProof/>
        </w:rPr>
        <w:fldChar w:fldCharType="end"/>
      </w:r>
      <w:r w:rsidRPr="00D30E56">
        <w:t xml:space="preserve">: </w:t>
      </w:r>
      <w:r w:rsidR="00D30E56" w:rsidRPr="00D30E56">
        <w:t>Prospešnosť</w:t>
      </w:r>
      <w:r w:rsidR="00D30E56">
        <w:t xml:space="preserve"> činnosti fondov v rámci EÚ pre Slovensko, podľa kraja a veľkosti sídla</w:t>
      </w:r>
    </w:p>
    <w:p w:rsidR="00897DD3" w:rsidRDefault="00897DD3" w:rsidP="0033631D">
      <w:pPr>
        <w:rPr>
          <w:rFonts w:cs="Arial"/>
          <w:sz w:val="20"/>
        </w:rPr>
      </w:pPr>
      <w:r w:rsidRPr="0012644D">
        <w:rPr>
          <w:noProof/>
          <w:lang w:eastAsia="sk-SK"/>
        </w:rPr>
        <w:drawing>
          <wp:anchor distT="0" distB="0" distL="114300" distR="114300" simplePos="0" relativeHeight="251682816" behindDoc="0" locked="0" layoutInCell="1" allowOverlap="1" wp14:anchorId="39066999" wp14:editId="460DE048">
            <wp:simplePos x="0" y="0"/>
            <wp:positionH relativeFrom="column">
              <wp:posOffset>5080</wp:posOffset>
            </wp:positionH>
            <wp:positionV relativeFrom="paragraph">
              <wp:posOffset>524510</wp:posOffset>
            </wp:positionV>
            <wp:extent cx="5486400" cy="4162425"/>
            <wp:effectExtent l="19050" t="0" r="19050" b="0"/>
            <wp:wrapSquare wrapText="bothSides"/>
            <wp:docPr id="40" name="Graf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</wp:anchor>
        </w:drawing>
      </w:r>
      <w:r>
        <w:rPr>
          <w:rFonts w:cs="Arial"/>
          <w:sz w:val="20"/>
        </w:rPr>
        <w:t>Q16_2</w:t>
      </w:r>
      <w:r w:rsidR="004076ED">
        <w:rPr>
          <w:rFonts w:cs="Arial"/>
          <w:sz w:val="20"/>
        </w:rPr>
        <w:t>,</w:t>
      </w:r>
      <w:r>
        <w:rPr>
          <w:rFonts w:cs="Arial"/>
          <w:sz w:val="20"/>
        </w:rPr>
        <w:t xml:space="preserve"> </w:t>
      </w:r>
      <w:r w:rsidR="004C7259" w:rsidRPr="004076ED">
        <w:rPr>
          <w:rFonts w:cs="Arial"/>
          <w:sz w:val="20"/>
        </w:rPr>
        <w:t>N=500</w:t>
      </w:r>
    </w:p>
    <w:p w:rsidR="00897DD3" w:rsidRDefault="00897DD3" w:rsidP="0033631D">
      <w:pPr>
        <w:pStyle w:val="Bezriadkovania"/>
        <w:rPr>
          <w:rFonts w:cs="Arial"/>
        </w:rPr>
      </w:pPr>
    </w:p>
    <w:p w:rsidR="004076ED" w:rsidRDefault="004076ED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5F1388" w:rsidRPr="00BC4524" w:rsidRDefault="005F1388" w:rsidP="0033631D">
      <w:pPr>
        <w:pStyle w:val="popis2"/>
      </w:pPr>
      <w:r w:rsidRPr="00935CA1">
        <w:lastRenderedPageBreak/>
        <w:t xml:space="preserve">Graf č. </w:t>
      </w:r>
      <w:r w:rsidR="00647D11" w:rsidRPr="00935CA1">
        <w:fldChar w:fldCharType="begin"/>
      </w:r>
      <w:r w:rsidRPr="00935CA1">
        <w:instrText xml:space="preserve"> SEQ Graf \* ARABIC </w:instrText>
      </w:r>
      <w:r w:rsidR="00647D11" w:rsidRPr="00935CA1">
        <w:fldChar w:fldCharType="separate"/>
      </w:r>
      <w:r w:rsidR="008B1877">
        <w:rPr>
          <w:noProof/>
        </w:rPr>
        <w:t>52</w:t>
      </w:r>
      <w:r w:rsidR="00647D11" w:rsidRPr="00935CA1">
        <w:rPr>
          <w:noProof/>
        </w:rPr>
        <w:fldChar w:fldCharType="end"/>
      </w:r>
      <w:r w:rsidRPr="00935CA1">
        <w:t xml:space="preserve">: </w:t>
      </w:r>
      <w:r w:rsidR="00935CA1" w:rsidRPr="00935CA1">
        <w:t>Pocit</w:t>
      </w:r>
      <w:r w:rsidR="00935CA1">
        <w:t>, že Európska únia pomáha Slovensku</w:t>
      </w:r>
    </w:p>
    <w:p w:rsidR="00D85CA6" w:rsidRPr="004076ED" w:rsidRDefault="00D85CA6" w:rsidP="0033631D">
      <w:pPr>
        <w:pStyle w:val="Bezriadkovania"/>
        <w:rPr>
          <w:rFonts w:cs="Arial"/>
        </w:rPr>
      </w:pPr>
      <w:r w:rsidRPr="004076ED">
        <w:rPr>
          <w:rFonts w:cs="Arial"/>
        </w:rPr>
        <w:t>Q17</w:t>
      </w:r>
      <w:r w:rsidR="004076ED" w:rsidRPr="004076ED">
        <w:rPr>
          <w:rFonts w:cs="Arial"/>
        </w:rPr>
        <w:t xml:space="preserve">, </w:t>
      </w:r>
      <w:r w:rsidR="004C7259" w:rsidRPr="004076ED">
        <w:rPr>
          <w:rFonts w:cs="Arial"/>
        </w:rPr>
        <w:t>N=500</w:t>
      </w:r>
    </w:p>
    <w:p w:rsidR="004076ED" w:rsidRPr="004076ED" w:rsidRDefault="004076ED" w:rsidP="0033631D">
      <w:pPr>
        <w:pStyle w:val="Bezriadkovania"/>
        <w:rPr>
          <w:b/>
        </w:rPr>
      </w:pPr>
    </w:p>
    <w:p w:rsidR="00D85CA6" w:rsidRDefault="00D85CA6" w:rsidP="0033631D">
      <w:pPr>
        <w:pStyle w:val="Bezriadkovania"/>
        <w:rPr>
          <w:rFonts w:cs="Arial"/>
        </w:rPr>
      </w:pPr>
      <w:r w:rsidRPr="006C14E3">
        <w:rPr>
          <w:rFonts w:cs="Arial"/>
          <w:noProof/>
          <w:szCs w:val="20"/>
          <w:lang w:eastAsia="sk-SK"/>
        </w:rPr>
        <w:drawing>
          <wp:inline distT="0" distB="0" distL="0" distR="0" wp14:anchorId="1D6211DC" wp14:editId="5653E762">
            <wp:extent cx="5486400" cy="3505200"/>
            <wp:effectExtent l="0" t="0" r="19050" b="19050"/>
            <wp:docPr id="5" name="Graf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inline>
        </w:drawing>
      </w:r>
    </w:p>
    <w:p w:rsidR="004076ED" w:rsidRDefault="004076ED" w:rsidP="0033631D">
      <w:pPr>
        <w:pStyle w:val="Bezriadkovania"/>
        <w:spacing w:line="480" w:lineRule="auto"/>
        <w:rPr>
          <w:rFonts w:eastAsia="Calibri" w:cs="Times New Roman"/>
          <w:bCs/>
          <w:sz w:val="22"/>
          <w:szCs w:val="18"/>
        </w:rPr>
      </w:pPr>
    </w:p>
    <w:p w:rsidR="00D85CA6" w:rsidRPr="00935CA1" w:rsidRDefault="00935CA1" w:rsidP="0033631D">
      <w:pPr>
        <w:pStyle w:val="Bezriadkovania"/>
        <w:spacing w:line="480" w:lineRule="auto"/>
        <w:rPr>
          <w:rFonts w:eastAsia="Calibri" w:cs="Times New Roman"/>
          <w:bCs/>
          <w:sz w:val="22"/>
          <w:szCs w:val="18"/>
        </w:rPr>
      </w:pPr>
      <w:r w:rsidRPr="00935CA1">
        <w:rPr>
          <w:rFonts w:eastAsia="Calibri" w:cs="Times New Roman"/>
          <w:bCs/>
          <w:sz w:val="22"/>
          <w:szCs w:val="18"/>
        </w:rPr>
        <w:t>83% opýtaných Slovákov má pocit, že Európska únia pomáha Slovensku, čo je mierny nárast oproti roku 2011. O pomoci EÚ Slovensku sú presvedčení najmä starší ľudia vo veku od 70 do 79 rokov (95%).</w:t>
      </w:r>
    </w:p>
    <w:p w:rsidR="00D85CA6" w:rsidRPr="00935CA1" w:rsidRDefault="00D85CA6" w:rsidP="0033631D">
      <w:pPr>
        <w:pStyle w:val="Bezriadkovania"/>
        <w:rPr>
          <w:rFonts w:eastAsia="Calibri" w:cs="Times New Roman"/>
          <w:bCs/>
          <w:sz w:val="22"/>
          <w:szCs w:val="18"/>
        </w:rPr>
      </w:pPr>
    </w:p>
    <w:p w:rsidR="004076ED" w:rsidRDefault="004076ED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5F1388" w:rsidRPr="00BC4524" w:rsidRDefault="005F1388" w:rsidP="0033631D">
      <w:pPr>
        <w:pStyle w:val="popis2"/>
      </w:pPr>
      <w:r w:rsidRPr="00935CA1">
        <w:lastRenderedPageBreak/>
        <w:t xml:space="preserve">Graf č. </w:t>
      </w:r>
      <w:r w:rsidR="00647D11" w:rsidRPr="00935CA1">
        <w:fldChar w:fldCharType="begin"/>
      </w:r>
      <w:r w:rsidRPr="00935CA1">
        <w:instrText xml:space="preserve"> SEQ Graf \* ARABIC </w:instrText>
      </w:r>
      <w:r w:rsidR="00647D11" w:rsidRPr="00935CA1">
        <w:fldChar w:fldCharType="separate"/>
      </w:r>
      <w:r w:rsidR="008B1877">
        <w:rPr>
          <w:noProof/>
        </w:rPr>
        <w:t>53</w:t>
      </w:r>
      <w:r w:rsidR="00647D11" w:rsidRPr="00935CA1">
        <w:rPr>
          <w:noProof/>
        </w:rPr>
        <w:fldChar w:fldCharType="end"/>
      </w:r>
      <w:r w:rsidRPr="00935CA1">
        <w:t xml:space="preserve">: </w:t>
      </w:r>
      <w:r w:rsidR="00935CA1" w:rsidRPr="00935CA1">
        <w:t>Pocit</w:t>
      </w:r>
      <w:r w:rsidR="00935CA1">
        <w:t>, že Európska únia pomáha Slovensku, podľa pohlavia, veku a vzdelania</w:t>
      </w:r>
    </w:p>
    <w:p w:rsidR="000209AB" w:rsidRPr="004076ED" w:rsidRDefault="00432324" w:rsidP="0033631D">
      <w:pPr>
        <w:rPr>
          <w:rFonts w:cs="Arial"/>
          <w:sz w:val="20"/>
        </w:rPr>
      </w:pPr>
      <w:r w:rsidRPr="004076ED">
        <w:rPr>
          <w:noProof/>
          <w:lang w:eastAsia="sk-SK"/>
        </w:rPr>
        <w:drawing>
          <wp:anchor distT="0" distB="0" distL="114300" distR="114300" simplePos="0" relativeHeight="251670528" behindDoc="0" locked="0" layoutInCell="1" allowOverlap="1" wp14:anchorId="54DB130F" wp14:editId="7376FC77">
            <wp:simplePos x="0" y="0"/>
            <wp:positionH relativeFrom="column">
              <wp:posOffset>24130</wp:posOffset>
            </wp:positionH>
            <wp:positionV relativeFrom="paragraph">
              <wp:posOffset>389255</wp:posOffset>
            </wp:positionV>
            <wp:extent cx="5486400" cy="3762375"/>
            <wp:effectExtent l="0" t="0" r="19050" b="9525"/>
            <wp:wrapSquare wrapText="bothSides"/>
            <wp:docPr id="10" name="Graf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  <wp14:sizeRelV relativeFrom="margin">
              <wp14:pctHeight>0</wp14:pctHeight>
            </wp14:sizeRelV>
          </wp:anchor>
        </w:drawing>
      </w:r>
      <w:r w:rsidR="000209AB" w:rsidRPr="004076ED">
        <w:rPr>
          <w:rFonts w:cs="Arial"/>
          <w:sz w:val="20"/>
        </w:rPr>
        <w:t>Q17_2</w:t>
      </w:r>
      <w:r w:rsidR="004076ED" w:rsidRPr="004076ED">
        <w:rPr>
          <w:rFonts w:cs="Arial"/>
          <w:sz w:val="20"/>
        </w:rPr>
        <w:t>,</w:t>
      </w:r>
      <w:r w:rsidR="00935CA1" w:rsidRPr="004076ED">
        <w:rPr>
          <w:rFonts w:cs="Arial"/>
          <w:sz w:val="20"/>
        </w:rPr>
        <w:t xml:space="preserve"> </w:t>
      </w:r>
      <w:r w:rsidR="004C7259" w:rsidRPr="004076ED">
        <w:rPr>
          <w:rFonts w:cs="Arial"/>
          <w:sz w:val="20"/>
        </w:rPr>
        <w:t>N=500</w:t>
      </w:r>
    </w:p>
    <w:p w:rsidR="000209AB" w:rsidRDefault="000209AB" w:rsidP="0033631D">
      <w:pPr>
        <w:pStyle w:val="Bezriadkovania"/>
        <w:rPr>
          <w:rFonts w:cs="Arial"/>
        </w:rPr>
      </w:pPr>
    </w:p>
    <w:p w:rsidR="00935CA1" w:rsidRPr="00BC4524" w:rsidRDefault="005F1388" w:rsidP="0033631D">
      <w:pPr>
        <w:pStyle w:val="popis2"/>
      </w:pPr>
      <w:r w:rsidRPr="00935CA1">
        <w:t xml:space="preserve">Graf č. </w:t>
      </w:r>
      <w:r w:rsidR="00647D11" w:rsidRPr="00935CA1">
        <w:fldChar w:fldCharType="begin"/>
      </w:r>
      <w:r w:rsidRPr="00935CA1">
        <w:instrText xml:space="preserve"> SEQ Graf \* ARABIC </w:instrText>
      </w:r>
      <w:r w:rsidR="00647D11" w:rsidRPr="00935CA1">
        <w:fldChar w:fldCharType="separate"/>
      </w:r>
      <w:r w:rsidR="008B1877">
        <w:rPr>
          <w:noProof/>
        </w:rPr>
        <w:t>54</w:t>
      </w:r>
      <w:r w:rsidR="00647D11" w:rsidRPr="00935CA1">
        <w:rPr>
          <w:noProof/>
        </w:rPr>
        <w:fldChar w:fldCharType="end"/>
      </w:r>
      <w:r w:rsidRPr="00935CA1">
        <w:t xml:space="preserve">: </w:t>
      </w:r>
      <w:r w:rsidR="00935CA1" w:rsidRPr="00935CA1">
        <w:t>Pocit, že Európska</w:t>
      </w:r>
      <w:r w:rsidR="00935CA1">
        <w:t xml:space="preserve"> únia pomáha Slovensku, podľa kraja a veľkosti sídla</w:t>
      </w:r>
    </w:p>
    <w:p w:rsidR="00D93F16" w:rsidRPr="004076ED" w:rsidRDefault="00432324" w:rsidP="0033631D">
      <w:pPr>
        <w:pStyle w:val="popis2"/>
        <w:rPr>
          <w:rFonts w:cs="Arial"/>
          <w:b w:val="0"/>
        </w:rPr>
      </w:pPr>
      <w:r w:rsidRPr="004076ED">
        <w:rPr>
          <w:b w:val="0"/>
          <w:noProof/>
          <w:lang w:eastAsia="sk-SK"/>
        </w:rPr>
        <w:drawing>
          <wp:anchor distT="0" distB="0" distL="114300" distR="114300" simplePos="0" relativeHeight="251684864" behindDoc="0" locked="0" layoutInCell="1" allowOverlap="1" wp14:anchorId="0AA950A1" wp14:editId="1C86F294">
            <wp:simplePos x="0" y="0"/>
            <wp:positionH relativeFrom="column">
              <wp:posOffset>24130</wp:posOffset>
            </wp:positionH>
            <wp:positionV relativeFrom="paragraph">
              <wp:posOffset>389890</wp:posOffset>
            </wp:positionV>
            <wp:extent cx="5486400" cy="3667125"/>
            <wp:effectExtent l="0" t="0" r="19050" b="9525"/>
            <wp:wrapSquare wrapText="bothSides"/>
            <wp:docPr id="41" name="Graf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  <wp14:sizeRelV relativeFrom="margin">
              <wp14:pctHeight>0</wp14:pctHeight>
            </wp14:sizeRelV>
          </wp:anchor>
        </w:drawing>
      </w:r>
      <w:r w:rsidRPr="004076ED">
        <w:rPr>
          <w:rFonts w:cs="Arial"/>
          <w:b w:val="0"/>
        </w:rPr>
        <w:t xml:space="preserve">Q17_2 </w:t>
      </w:r>
    </w:p>
    <w:p w:rsidR="00D93F16" w:rsidRPr="00D93F16" w:rsidRDefault="00D93F16" w:rsidP="0033631D">
      <w:pPr>
        <w:pStyle w:val="Bezriadkovania"/>
        <w:rPr>
          <w:rFonts w:cs="Arial"/>
          <w:b/>
        </w:rPr>
      </w:pPr>
    </w:p>
    <w:p w:rsidR="005F1388" w:rsidRPr="00BC4524" w:rsidRDefault="005F1388" w:rsidP="0033631D">
      <w:pPr>
        <w:pStyle w:val="popis2"/>
      </w:pPr>
      <w:r w:rsidRPr="007B3FC4">
        <w:t xml:space="preserve">Graf č. </w:t>
      </w:r>
      <w:r w:rsidR="00647D11" w:rsidRPr="007B3FC4">
        <w:fldChar w:fldCharType="begin"/>
      </w:r>
      <w:r w:rsidRPr="007B3FC4">
        <w:instrText xml:space="preserve"> SEQ Graf \* ARABIC </w:instrText>
      </w:r>
      <w:r w:rsidR="00647D11" w:rsidRPr="007B3FC4">
        <w:fldChar w:fldCharType="separate"/>
      </w:r>
      <w:r w:rsidR="008B1877">
        <w:rPr>
          <w:noProof/>
        </w:rPr>
        <w:t>55</w:t>
      </w:r>
      <w:r w:rsidR="00647D11" w:rsidRPr="007B3FC4">
        <w:rPr>
          <w:noProof/>
        </w:rPr>
        <w:fldChar w:fldCharType="end"/>
      </w:r>
      <w:r w:rsidRPr="007B3FC4">
        <w:t xml:space="preserve">: </w:t>
      </w:r>
      <w:r w:rsidR="007B3FC4" w:rsidRPr="007B3FC4">
        <w:t>Úroveň</w:t>
      </w:r>
      <w:r w:rsidR="007B3FC4">
        <w:t xml:space="preserve"> informácií o novom programovom období</w:t>
      </w:r>
    </w:p>
    <w:p w:rsidR="00E00DDC" w:rsidRPr="004076ED" w:rsidRDefault="004076ED" w:rsidP="0033631D">
      <w:pPr>
        <w:pStyle w:val="Bezriadkovania"/>
        <w:rPr>
          <w:rFonts w:cs="Arial"/>
        </w:rPr>
      </w:pPr>
      <w:r w:rsidRPr="004076ED">
        <w:rPr>
          <w:rFonts w:cs="Arial"/>
        </w:rPr>
        <w:t xml:space="preserve">Q18, </w:t>
      </w:r>
      <w:r w:rsidR="007A14ED" w:rsidRPr="004076ED">
        <w:rPr>
          <w:rFonts w:cs="Arial"/>
        </w:rPr>
        <w:t>N=500</w:t>
      </w:r>
    </w:p>
    <w:p w:rsidR="004076ED" w:rsidRPr="00D93F16" w:rsidRDefault="004076ED" w:rsidP="0033631D">
      <w:pPr>
        <w:pStyle w:val="Bezriadkovania"/>
        <w:rPr>
          <w:rFonts w:cs="Arial"/>
          <w:b/>
        </w:rPr>
      </w:pPr>
    </w:p>
    <w:p w:rsidR="00E00DDC" w:rsidRDefault="00E00DDC" w:rsidP="0033631D">
      <w:pPr>
        <w:pStyle w:val="Bezriadkovania"/>
        <w:rPr>
          <w:rFonts w:cs="Arial"/>
        </w:rPr>
      </w:pPr>
      <w:r w:rsidRPr="006C14E3">
        <w:rPr>
          <w:rFonts w:cs="Arial"/>
          <w:noProof/>
          <w:szCs w:val="20"/>
          <w:lang w:eastAsia="sk-SK"/>
        </w:rPr>
        <w:drawing>
          <wp:inline distT="0" distB="0" distL="0" distR="0" wp14:anchorId="5564E29D" wp14:editId="1A56794E">
            <wp:extent cx="5486400" cy="2752725"/>
            <wp:effectExtent l="0" t="0" r="19050" b="9525"/>
            <wp:docPr id="18" name="Graf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</wp:inline>
        </w:drawing>
      </w:r>
    </w:p>
    <w:p w:rsidR="00733170" w:rsidRDefault="00733170" w:rsidP="0033631D">
      <w:pPr>
        <w:pStyle w:val="Bezriadkovania"/>
        <w:rPr>
          <w:rFonts w:cs="Arial"/>
        </w:rPr>
      </w:pPr>
    </w:p>
    <w:p w:rsidR="004076ED" w:rsidRDefault="004076ED" w:rsidP="0033631D">
      <w:pPr>
        <w:pStyle w:val="popis2"/>
        <w:rPr>
          <w:b w:val="0"/>
          <w:sz w:val="22"/>
        </w:rPr>
      </w:pPr>
    </w:p>
    <w:p w:rsidR="007B3FC4" w:rsidRDefault="007B3FC4" w:rsidP="0033631D">
      <w:pPr>
        <w:pStyle w:val="popis2"/>
      </w:pPr>
      <w:r w:rsidRPr="007B3FC4">
        <w:rPr>
          <w:b w:val="0"/>
          <w:sz w:val="22"/>
        </w:rPr>
        <w:t>Takmer polovica opýtaných Slovákov považuje úroveň informácií o novom programovom období za veľmi a skôr dobrú. O dobrej úrovni informácií sú viac presvedčení ľudia s nižším ako vysokoškolským vzdelaním (49%</w:t>
      </w:r>
      <w:r w:rsidR="00BA7A73">
        <w:rPr>
          <w:b w:val="0"/>
          <w:sz w:val="22"/>
        </w:rPr>
        <w:t>, resp. 35%</w:t>
      </w:r>
      <w:r w:rsidRPr="007B3FC4">
        <w:rPr>
          <w:b w:val="0"/>
          <w:sz w:val="22"/>
        </w:rPr>
        <w:t>). Len necelá štvrtina opýtaných Bratislavčanov považuje úroveň informácií o novom programovom období za veľmi a skôr dobrú</w:t>
      </w:r>
      <w:r>
        <w:t>.</w:t>
      </w:r>
    </w:p>
    <w:p w:rsidR="00BA7A73" w:rsidRDefault="00BA7A73" w:rsidP="0033631D">
      <w:pPr>
        <w:pStyle w:val="popis2"/>
      </w:pPr>
    </w:p>
    <w:p w:rsidR="004076ED" w:rsidRDefault="004076ED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5F1388" w:rsidRPr="00BC4524" w:rsidRDefault="005F1388" w:rsidP="0033631D">
      <w:pPr>
        <w:pStyle w:val="popis2"/>
      </w:pPr>
      <w:r w:rsidRPr="007B3FC4">
        <w:lastRenderedPageBreak/>
        <w:t xml:space="preserve">Graf č. </w:t>
      </w:r>
      <w:r w:rsidR="0098164B" w:rsidRPr="007B3FC4">
        <w:t>40</w:t>
      </w:r>
      <w:r w:rsidR="007B3FC4" w:rsidRPr="007B3FC4">
        <w:t>: Úroveň</w:t>
      </w:r>
      <w:r w:rsidR="007B3FC4">
        <w:t xml:space="preserve"> informácií o novom programovom období, podľa pohlavia, veku a vzdelania</w:t>
      </w:r>
    </w:p>
    <w:p w:rsidR="00D93F16" w:rsidRPr="004076ED" w:rsidRDefault="00733170" w:rsidP="0033631D">
      <w:pPr>
        <w:rPr>
          <w:rFonts w:cs="Arial"/>
          <w:sz w:val="20"/>
        </w:rPr>
      </w:pPr>
      <w:r w:rsidRPr="004076ED">
        <w:rPr>
          <w:noProof/>
          <w:lang w:eastAsia="sk-SK"/>
        </w:rPr>
        <w:drawing>
          <wp:anchor distT="0" distB="0" distL="114300" distR="114300" simplePos="0" relativeHeight="251686912" behindDoc="0" locked="0" layoutInCell="1" allowOverlap="1" wp14:anchorId="670BD241" wp14:editId="4B8DF8AE">
            <wp:simplePos x="0" y="0"/>
            <wp:positionH relativeFrom="column">
              <wp:posOffset>24130</wp:posOffset>
            </wp:positionH>
            <wp:positionV relativeFrom="paragraph">
              <wp:posOffset>681355</wp:posOffset>
            </wp:positionV>
            <wp:extent cx="5486400" cy="4010025"/>
            <wp:effectExtent l="0" t="0" r="19050" b="9525"/>
            <wp:wrapSquare wrapText="bothSides"/>
            <wp:docPr id="42" name="Graf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5"/>
              </a:graphicData>
            </a:graphic>
          </wp:anchor>
        </w:drawing>
      </w:r>
      <w:r w:rsidR="007A14ED" w:rsidRPr="004076ED">
        <w:rPr>
          <w:rFonts w:cs="Arial"/>
          <w:sz w:val="20"/>
        </w:rPr>
        <w:t>Q18</w:t>
      </w:r>
      <w:r w:rsidR="007B3FC4" w:rsidRPr="004076ED">
        <w:rPr>
          <w:rFonts w:cs="Arial"/>
          <w:sz w:val="20"/>
        </w:rPr>
        <w:t>_2</w:t>
      </w:r>
      <w:r w:rsidR="004076ED" w:rsidRPr="004076ED">
        <w:rPr>
          <w:rFonts w:cs="Arial"/>
          <w:sz w:val="20"/>
        </w:rPr>
        <w:t xml:space="preserve">, </w:t>
      </w:r>
      <w:r w:rsidR="007A14ED" w:rsidRPr="004076ED">
        <w:rPr>
          <w:rFonts w:cs="Arial"/>
          <w:sz w:val="20"/>
        </w:rPr>
        <w:t>N=500</w:t>
      </w:r>
    </w:p>
    <w:p w:rsidR="00BA7A73" w:rsidRDefault="00BA7A73" w:rsidP="0033631D">
      <w:pPr>
        <w:pStyle w:val="popis2"/>
      </w:pPr>
    </w:p>
    <w:p w:rsidR="004076ED" w:rsidRDefault="004076ED" w:rsidP="004076ED"/>
    <w:p w:rsidR="004076ED" w:rsidRDefault="004076ED" w:rsidP="004076ED"/>
    <w:p w:rsidR="004076ED" w:rsidRDefault="004076ED">
      <w:pPr>
        <w:spacing w:after="200" w:line="276" w:lineRule="auto"/>
        <w:jc w:val="left"/>
        <w:rPr>
          <w:rFonts w:eastAsia="Calibri" w:cs="Times New Roman"/>
          <w:b/>
          <w:bCs/>
          <w:sz w:val="20"/>
          <w:szCs w:val="18"/>
        </w:rPr>
      </w:pPr>
      <w:r>
        <w:br w:type="page"/>
      </w:r>
    </w:p>
    <w:p w:rsidR="005F1388" w:rsidRDefault="005F1388" w:rsidP="0033631D">
      <w:pPr>
        <w:pStyle w:val="popis2"/>
      </w:pPr>
      <w:r w:rsidRPr="007B3FC4">
        <w:lastRenderedPageBreak/>
        <w:t xml:space="preserve">Graf č. </w:t>
      </w:r>
      <w:r w:rsidR="00647D11" w:rsidRPr="007B3FC4">
        <w:fldChar w:fldCharType="begin"/>
      </w:r>
      <w:r w:rsidRPr="007B3FC4">
        <w:instrText xml:space="preserve"> SEQ Graf \* ARABIC </w:instrText>
      </w:r>
      <w:r w:rsidR="00647D11" w:rsidRPr="007B3FC4">
        <w:fldChar w:fldCharType="separate"/>
      </w:r>
      <w:r w:rsidR="008B1877">
        <w:rPr>
          <w:noProof/>
        </w:rPr>
        <w:t>56</w:t>
      </w:r>
      <w:r w:rsidR="00647D11" w:rsidRPr="007B3FC4">
        <w:rPr>
          <w:noProof/>
        </w:rPr>
        <w:fldChar w:fldCharType="end"/>
      </w:r>
      <w:r w:rsidRPr="007B3FC4">
        <w:t xml:space="preserve">: </w:t>
      </w:r>
      <w:r w:rsidR="007B3FC4" w:rsidRPr="007B3FC4">
        <w:t>Úroveň</w:t>
      </w:r>
      <w:r w:rsidR="007B3FC4">
        <w:t xml:space="preserve"> informácií o novom programovom období, podľa kraja a veľkosti sídla</w:t>
      </w:r>
    </w:p>
    <w:p w:rsidR="004B55D1" w:rsidRDefault="004076ED" w:rsidP="004076ED">
      <w:pPr>
        <w:rPr>
          <w:rFonts w:cs="Arial"/>
          <w:b/>
        </w:rPr>
      </w:pPr>
      <w:r w:rsidRPr="004076ED">
        <w:rPr>
          <w:sz w:val="20"/>
        </w:rPr>
        <w:t>Q18_2, N=500</w:t>
      </w:r>
      <w:r w:rsidR="00D93F16" w:rsidRPr="00D93F16">
        <w:rPr>
          <w:rFonts w:cs="Arial"/>
          <w:b/>
          <w:noProof/>
          <w:lang w:eastAsia="sk-SK"/>
        </w:rPr>
        <w:drawing>
          <wp:anchor distT="0" distB="0" distL="114300" distR="114300" simplePos="0" relativeHeight="251687936" behindDoc="0" locked="0" layoutInCell="1" allowOverlap="1" wp14:anchorId="7040FC74" wp14:editId="0821DE16">
            <wp:simplePos x="0" y="0"/>
            <wp:positionH relativeFrom="column">
              <wp:posOffset>24130</wp:posOffset>
            </wp:positionH>
            <wp:positionV relativeFrom="paragraph">
              <wp:posOffset>320040</wp:posOffset>
            </wp:positionV>
            <wp:extent cx="5486400" cy="4010025"/>
            <wp:effectExtent l="0" t="0" r="19050" b="9525"/>
            <wp:wrapSquare wrapText="bothSides"/>
            <wp:docPr id="43" name="Graf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anchor>
        </w:drawing>
      </w:r>
    </w:p>
    <w:p w:rsidR="004B55D1" w:rsidRDefault="004B55D1" w:rsidP="0033631D">
      <w:pPr>
        <w:pStyle w:val="Bezriadkovania"/>
        <w:rPr>
          <w:rFonts w:cs="Arial"/>
          <w:b/>
        </w:rPr>
      </w:pPr>
    </w:p>
    <w:p w:rsidR="004B55D1" w:rsidRDefault="004B55D1" w:rsidP="0033631D">
      <w:pPr>
        <w:pStyle w:val="Bezriadkovania"/>
        <w:rPr>
          <w:rFonts w:cs="Arial"/>
          <w:b/>
        </w:rPr>
      </w:pPr>
    </w:p>
    <w:p w:rsidR="004B55D1" w:rsidRDefault="004B55D1" w:rsidP="0033631D">
      <w:pPr>
        <w:pStyle w:val="Bezriadkovania"/>
        <w:rPr>
          <w:rFonts w:cs="Arial"/>
          <w:b/>
        </w:rPr>
      </w:pPr>
    </w:p>
    <w:p w:rsidR="005368DD" w:rsidRPr="005368DD" w:rsidRDefault="008B1877" w:rsidP="005368DD">
      <w:pPr>
        <w:pStyle w:val="Nadpis2"/>
      </w:pPr>
      <w:bookmarkStart w:id="32" w:name="_Toc410051301"/>
      <w:r>
        <w:rPr>
          <w:lang w:val="sk-SK"/>
        </w:rPr>
        <w:t xml:space="preserve">Zhrnutie hlavných </w:t>
      </w:r>
      <w:r w:rsidR="005368DD">
        <w:t>výsledk</w:t>
      </w:r>
      <w:r>
        <w:rPr>
          <w:lang w:val="sk-SK"/>
        </w:rPr>
        <w:t>ov</w:t>
      </w:r>
      <w:bookmarkEnd w:id="32"/>
    </w:p>
    <w:p w:rsidR="00031AA6" w:rsidRDefault="00031AA6" w:rsidP="00031AA6">
      <w:r>
        <w:t xml:space="preserve">Výberová vzorka pozostávala z 500 respondentov vo veku 15 až 79 rokov. Na prieskume sa zúčastnilo 54% žien, 46% vzorky tvorili muži. </w:t>
      </w:r>
    </w:p>
    <w:p w:rsidR="00031AA6" w:rsidRDefault="00031AA6" w:rsidP="00031AA6">
      <w:r w:rsidRPr="00CC3722">
        <w:t xml:space="preserve">Oproti údajom v roku 2011 výrazne </w:t>
      </w:r>
      <w:r w:rsidRPr="00885D8A">
        <w:rPr>
          <w:b/>
        </w:rPr>
        <w:t>vzrástol podiel</w:t>
      </w:r>
      <w:r w:rsidRPr="00CC3722">
        <w:t xml:space="preserve"> respondentov, </w:t>
      </w:r>
      <w:r w:rsidRPr="00885D8A">
        <w:rPr>
          <w:b/>
        </w:rPr>
        <w:t>ktorí síce vedia, že Európska únia poskytuje finančné prostriedky na rozvoj, ale nevedia o tom bližšie</w:t>
      </w:r>
      <w:r>
        <w:t xml:space="preserve">. </w:t>
      </w:r>
      <w:r w:rsidRPr="00885D8A">
        <w:rPr>
          <w:b/>
        </w:rPr>
        <w:t>Je ich takmer polovica</w:t>
      </w:r>
      <w:r>
        <w:t xml:space="preserve"> a ich podiel stúpol na </w:t>
      </w:r>
      <w:r w:rsidRPr="00CC3722">
        <w:t xml:space="preserve">úkor tých, </w:t>
      </w:r>
      <w:r>
        <w:t xml:space="preserve">ktorí vedia o poskytovaní prostriedkov Európskou úniou. </w:t>
      </w:r>
    </w:p>
    <w:p w:rsidR="00031AA6" w:rsidRDefault="00031AA6" w:rsidP="00031AA6">
      <w:r>
        <w:t xml:space="preserve">Čo sa týka </w:t>
      </w:r>
      <w:r w:rsidRPr="00885D8A">
        <w:rPr>
          <w:b/>
        </w:rPr>
        <w:t>povedomia o štrukturálnych fondoch EÚ</w:t>
      </w:r>
      <w:r>
        <w:t xml:space="preserve">, tu povedomie výrazne </w:t>
      </w:r>
      <w:r w:rsidRPr="00885D8A">
        <w:rPr>
          <w:b/>
        </w:rPr>
        <w:t>vzrástlo</w:t>
      </w:r>
      <w:r>
        <w:t>.</w:t>
      </w:r>
    </w:p>
    <w:p w:rsidR="00031AA6" w:rsidRPr="00885D8A" w:rsidRDefault="00031AA6" w:rsidP="00031AA6">
      <w:pPr>
        <w:rPr>
          <w:b/>
        </w:rPr>
      </w:pPr>
      <w:r>
        <w:t xml:space="preserve">Z hľadiska </w:t>
      </w:r>
      <w:r w:rsidRPr="00885D8A">
        <w:rPr>
          <w:b/>
        </w:rPr>
        <w:t>konkrétnych fondov</w:t>
      </w:r>
      <w:r>
        <w:t xml:space="preserve"> (resp. ich názvov), najvyššiu znalosť vykazuje </w:t>
      </w:r>
      <w:r w:rsidRPr="00885D8A">
        <w:rPr>
          <w:b/>
        </w:rPr>
        <w:t>Európsky poľnohospodársky fond pre rozvoj vidieka (84 %)</w:t>
      </w:r>
      <w:r>
        <w:t xml:space="preserve"> a druhý v poradí je </w:t>
      </w:r>
      <w:r w:rsidRPr="00885D8A">
        <w:rPr>
          <w:b/>
        </w:rPr>
        <w:t>Európsky fond regionálneho rozvoja (74 %).</w:t>
      </w:r>
    </w:p>
    <w:p w:rsidR="00031AA6" w:rsidRPr="00885D8A" w:rsidRDefault="00031AA6" w:rsidP="00031AA6">
      <w:pPr>
        <w:rPr>
          <w:b/>
        </w:rPr>
      </w:pPr>
      <w:r>
        <w:lastRenderedPageBreak/>
        <w:t xml:space="preserve">Z pohľadu </w:t>
      </w:r>
      <w:r w:rsidRPr="00885D8A">
        <w:rPr>
          <w:b/>
        </w:rPr>
        <w:t>konkrétnych financovaných oblastí</w:t>
      </w:r>
      <w:r>
        <w:t xml:space="preserve"> má najviac ľudí povedomie o možnosti financovania rozvoja </w:t>
      </w:r>
      <w:r w:rsidRPr="00885D8A">
        <w:rPr>
          <w:b/>
        </w:rPr>
        <w:t>obcí a regiónov (83 %)</w:t>
      </w:r>
      <w:r>
        <w:t xml:space="preserve">, </w:t>
      </w:r>
      <w:r w:rsidRPr="00885D8A">
        <w:rPr>
          <w:b/>
        </w:rPr>
        <w:t>budovanie ciest a diaľnic (80 %) a vzdelávania (77%).</w:t>
      </w:r>
    </w:p>
    <w:p w:rsidR="00031AA6" w:rsidRDefault="00031AA6" w:rsidP="00031AA6">
      <w:r>
        <w:t xml:space="preserve">Podiel ľudí, ktorí </w:t>
      </w:r>
      <w:r w:rsidRPr="00885D8A">
        <w:rPr>
          <w:b/>
        </w:rPr>
        <w:t>nepoznajú Národný strategický referenčný rámec SR</w:t>
      </w:r>
      <w:r>
        <w:t xml:space="preserve"> sa oproti údajom z prieskumu z roku 2011 </w:t>
      </w:r>
      <w:r w:rsidRPr="00885D8A">
        <w:rPr>
          <w:b/>
        </w:rPr>
        <w:t xml:space="preserve">znížil </w:t>
      </w:r>
      <w:r>
        <w:t xml:space="preserve">o 8 </w:t>
      </w:r>
      <w:proofErr w:type="spellStart"/>
      <w:r>
        <w:t>p.b</w:t>
      </w:r>
      <w:proofErr w:type="spellEnd"/>
      <w:r>
        <w:t xml:space="preserve">. (z 92% na 84%), a to na úkor tých, ktorí to približne vedia. Avšak tých, ktorí presne vedia, o čo ide, je len jedno percento populácie. </w:t>
      </w:r>
    </w:p>
    <w:p w:rsidR="00031AA6" w:rsidRPr="00885D8A" w:rsidRDefault="00031AA6" w:rsidP="00031AA6">
      <w:pPr>
        <w:rPr>
          <w:b/>
        </w:rPr>
      </w:pPr>
      <w:r w:rsidRPr="00885D8A">
        <w:rPr>
          <w:b/>
        </w:rPr>
        <w:t>Operačné programy NSRR SR</w:t>
      </w:r>
      <w:r>
        <w:t xml:space="preserve"> (vo všeobecnosti) pozná iba </w:t>
      </w:r>
      <w:r>
        <w:rPr>
          <w:b/>
        </w:rPr>
        <w:t>8</w:t>
      </w:r>
      <w:r w:rsidRPr="00885D8A">
        <w:rPr>
          <w:b/>
        </w:rPr>
        <w:t>%</w:t>
      </w:r>
      <w:r>
        <w:t xml:space="preserve"> ľudí. Z tých, ktorí tieto operačné programy poznajú, je najvyššia znalosť pre operačné programy </w:t>
      </w:r>
      <w:r w:rsidRPr="00885D8A">
        <w:rPr>
          <w:b/>
        </w:rPr>
        <w:t>OP Doprava</w:t>
      </w:r>
      <w:r>
        <w:t xml:space="preserve"> a </w:t>
      </w:r>
      <w:r w:rsidRPr="00885D8A">
        <w:rPr>
          <w:b/>
        </w:rPr>
        <w:t>OP Vzdelávanie.</w:t>
      </w:r>
    </w:p>
    <w:p w:rsidR="00031AA6" w:rsidRDefault="00031AA6" w:rsidP="00031AA6">
      <w:r w:rsidRPr="00885D8A">
        <w:rPr>
          <w:b/>
        </w:rPr>
        <w:t>Televízia</w:t>
      </w:r>
      <w:r w:rsidRPr="00C77A57">
        <w:t xml:space="preserve"> patrí k najviac využívaným zdrojom informácií o možnosti finančnej podpory z EÚ, využíva ju až </w:t>
      </w:r>
      <w:r>
        <w:rPr>
          <w:b/>
        </w:rPr>
        <w:t>83</w:t>
      </w:r>
      <w:r w:rsidRPr="00885D8A">
        <w:rPr>
          <w:b/>
        </w:rPr>
        <w:t>%</w:t>
      </w:r>
      <w:r w:rsidRPr="00C77A57">
        <w:t xml:space="preserve"> ľudí. Druhým najčastejšie využívaním z</w:t>
      </w:r>
      <w:r>
        <w:t xml:space="preserve">drojom sú </w:t>
      </w:r>
      <w:r w:rsidRPr="00885D8A">
        <w:rPr>
          <w:b/>
        </w:rPr>
        <w:t>noviny a časopisy (55%)</w:t>
      </w:r>
      <w:r>
        <w:t>.</w:t>
      </w:r>
    </w:p>
    <w:p w:rsidR="00031AA6" w:rsidRDefault="00031AA6" w:rsidP="00031AA6">
      <w:pPr>
        <w:rPr>
          <w:rFonts w:cs="Arial"/>
        </w:rPr>
      </w:pPr>
      <w:r w:rsidRPr="00B84C56">
        <w:rPr>
          <w:rFonts w:cs="Arial"/>
        </w:rPr>
        <w:t xml:space="preserve">Znalosť Slovákov </w:t>
      </w:r>
      <w:r w:rsidRPr="00885D8A">
        <w:rPr>
          <w:rFonts w:cs="Arial"/>
          <w:b/>
        </w:rPr>
        <w:t xml:space="preserve">o informačnom </w:t>
      </w:r>
      <w:r w:rsidR="00580A2B">
        <w:rPr>
          <w:rFonts w:cs="Arial"/>
          <w:b/>
        </w:rPr>
        <w:t>portáli</w:t>
      </w:r>
      <w:r w:rsidRPr="00885D8A">
        <w:rPr>
          <w:rFonts w:cs="Arial"/>
          <w:b/>
        </w:rPr>
        <w:t xml:space="preserve"> o štrukturálnych fondoch EÚ</w:t>
      </w:r>
      <w:r w:rsidRPr="00B84C56">
        <w:rPr>
          <w:rFonts w:cs="Arial"/>
        </w:rPr>
        <w:t xml:space="preserve"> na Slovensku je stále </w:t>
      </w:r>
      <w:r w:rsidRPr="00885D8A">
        <w:rPr>
          <w:rFonts w:cs="Arial"/>
          <w:b/>
        </w:rPr>
        <w:t>nízka (11%)</w:t>
      </w:r>
      <w:r w:rsidRPr="00B84C56">
        <w:rPr>
          <w:rFonts w:cs="Arial"/>
        </w:rPr>
        <w:t xml:space="preserve">, no oproti minulej vlne zaznamenávame mierny nárast (o 3 </w:t>
      </w:r>
      <w:proofErr w:type="spellStart"/>
      <w:r w:rsidRPr="00B84C56">
        <w:rPr>
          <w:rFonts w:cs="Arial"/>
        </w:rPr>
        <w:t>p.b</w:t>
      </w:r>
      <w:proofErr w:type="spellEnd"/>
      <w:r w:rsidRPr="00B84C56">
        <w:rPr>
          <w:rFonts w:cs="Arial"/>
        </w:rPr>
        <w:t>.).</w:t>
      </w:r>
    </w:p>
    <w:p w:rsidR="00031AA6" w:rsidRDefault="00031AA6" w:rsidP="00031AA6">
      <w:r w:rsidRPr="00541652">
        <w:t xml:space="preserve">Z opýtaných Slovákov, ktorý poznajú informačný </w:t>
      </w:r>
      <w:r w:rsidRPr="00885D8A">
        <w:rPr>
          <w:b/>
        </w:rPr>
        <w:t>portál o štrukturálnych fondoch EÚ</w:t>
      </w:r>
      <w:r w:rsidRPr="00541652">
        <w:t xml:space="preserve"> na Slovensku (</w:t>
      </w:r>
      <w:hyperlink r:id="rId77" w:history="1">
        <w:r w:rsidRPr="00541652">
          <w:rPr>
            <w:rStyle w:val="Hypertextovprepojenie"/>
            <w:sz w:val="22"/>
          </w:rPr>
          <w:t>www.nrsr.sk</w:t>
        </w:r>
      </w:hyperlink>
      <w:r w:rsidRPr="00541652">
        <w:t xml:space="preserve">) ho </w:t>
      </w:r>
      <w:r w:rsidRPr="00885D8A">
        <w:rPr>
          <w:b/>
        </w:rPr>
        <w:t>11% navštevuje pravidelne</w:t>
      </w:r>
      <w:r w:rsidRPr="00541652">
        <w:t xml:space="preserve">, čo je výrazný nárast oproti </w:t>
      </w:r>
      <w:r>
        <w:t>roku 2011</w:t>
      </w:r>
      <w:r w:rsidRPr="00541652">
        <w:t xml:space="preserve"> o 8 </w:t>
      </w:r>
      <w:proofErr w:type="spellStart"/>
      <w:r w:rsidRPr="00541652">
        <w:t>p.b</w:t>
      </w:r>
      <w:proofErr w:type="spellEnd"/>
      <w:r w:rsidRPr="00541652">
        <w:t>.</w:t>
      </w:r>
    </w:p>
    <w:p w:rsidR="00031AA6" w:rsidRDefault="00031AA6" w:rsidP="00031AA6">
      <w:pPr>
        <w:rPr>
          <w:rFonts w:cs="Arial"/>
        </w:rPr>
      </w:pPr>
      <w:r w:rsidRPr="00646815">
        <w:rPr>
          <w:rFonts w:cs="Arial"/>
        </w:rPr>
        <w:t xml:space="preserve">Z opýtaných Slovákov, ktorý </w:t>
      </w:r>
      <w:r w:rsidRPr="00885D8A">
        <w:rPr>
          <w:rFonts w:cs="Arial"/>
          <w:b/>
        </w:rPr>
        <w:t>aspoň raz navštívili informačný portál o štrukturálnych fondoch EÚ</w:t>
      </w:r>
      <w:r w:rsidRPr="00646815">
        <w:rPr>
          <w:rFonts w:cs="Arial"/>
        </w:rPr>
        <w:t xml:space="preserve"> na Slovensku, ho až </w:t>
      </w:r>
      <w:r w:rsidRPr="00885D8A">
        <w:rPr>
          <w:rFonts w:cs="Arial"/>
          <w:b/>
        </w:rPr>
        <w:t>81%</w:t>
      </w:r>
      <w:r w:rsidRPr="00646815">
        <w:rPr>
          <w:rFonts w:cs="Arial"/>
        </w:rPr>
        <w:t xml:space="preserve"> opýtaných ho považuje za </w:t>
      </w:r>
      <w:r w:rsidRPr="00885D8A">
        <w:rPr>
          <w:rFonts w:cs="Arial"/>
          <w:b/>
        </w:rPr>
        <w:t xml:space="preserve">skôr </w:t>
      </w:r>
      <w:r w:rsidRPr="00392F37">
        <w:rPr>
          <w:rFonts w:cs="Arial"/>
          <w:b/>
        </w:rPr>
        <w:t>prehľadný</w:t>
      </w:r>
      <w:r w:rsidRPr="00392F37">
        <w:rPr>
          <w:rFonts w:cs="Arial"/>
        </w:rPr>
        <w:t>.</w:t>
      </w:r>
    </w:p>
    <w:p w:rsidR="00031AA6" w:rsidRDefault="00031AA6" w:rsidP="00031AA6">
      <w:pPr>
        <w:rPr>
          <w:rFonts w:cs="Arial"/>
        </w:rPr>
      </w:pPr>
      <w:r w:rsidRPr="00885D8A">
        <w:rPr>
          <w:rFonts w:cs="Arial"/>
          <w:b/>
        </w:rPr>
        <w:t>Tretina Slovákov</w:t>
      </w:r>
      <w:r w:rsidRPr="004E472E">
        <w:rPr>
          <w:rFonts w:cs="Arial"/>
        </w:rPr>
        <w:t xml:space="preserve"> sa cíti byť </w:t>
      </w:r>
      <w:r w:rsidRPr="00885D8A">
        <w:rPr>
          <w:rFonts w:cs="Arial"/>
          <w:b/>
        </w:rPr>
        <w:t>dobre informovaná o operačných programoch</w:t>
      </w:r>
      <w:r w:rsidRPr="004E472E">
        <w:rPr>
          <w:rFonts w:cs="Arial"/>
        </w:rPr>
        <w:t xml:space="preserve"> (o cieľoch a spôsobe rozdelenia finančných prostriedkov z EÚ určených pre Slovensko).</w:t>
      </w:r>
    </w:p>
    <w:p w:rsidR="00031AA6" w:rsidRDefault="00031AA6" w:rsidP="00031AA6">
      <w:pPr>
        <w:rPr>
          <w:rFonts w:cs="Arial"/>
        </w:rPr>
      </w:pPr>
      <w:r w:rsidRPr="00885D8A">
        <w:rPr>
          <w:rFonts w:cs="Arial"/>
          <w:b/>
        </w:rPr>
        <w:t>Polovica</w:t>
      </w:r>
      <w:r w:rsidRPr="006268CB">
        <w:rPr>
          <w:rFonts w:cs="Arial"/>
        </w:rPr>
        <w:t xml:space="preserve"> opýtaných </w:t>
      </w:r>
      <w:r w:rsidRPr="00885D8A">
        <w:rPr>
          <w:rFonts w:cs="Arial"/>
          <w:b/>
        </w:rPr>
        <w:t>Slovákov</w:t>
      </w:r>
      <w:r w:rsidRPr="006268CB">
        <w:rPr>
          <w:rFonts w:cs="Arial"/>
        </w:rPr>
        <w:t xml:space="preserve"> považuje informácie o operačných programoch </w:t>
      </w:r>
      <w:r w:rsidRPr="00885D8A">
        <w:rPr>
          <w:rFonts w:cs="Arial"/>
          <w:b/>
        </w:rPr>
        <w:t>zrozumiteľné.</w:t>
      </w:r>
    </w:p>
    <w:p w:rsidR="00031AA6" w:rsidRDefault="00031AA6" w:rsidP="00031AA6">
      <w:pPr>
        <w:rPr>
          <w:rFonts w:cs="Arial"/>
        </w:rPr>
      </w:pPr>
      <w:r w:rsidRPr="00885D8A">
        <w:rPr>
          <w:rFonts w:cs="Arial"/>
          <w:b/>
        </w:rPr>
        <w:t>Viac ako polovica</w:t>
      </w:r>
      <w:r w:rsidRPr="009D621B">
        <w:rPr>
          <w:rFonts w:cs="Arial"/>
        </w:rPr>
        <w:t xml:space="preserve"> opýtaných Slovákov považuje </w:t>
      </w:r>
      <w:r w:rsidRPr="00885D8A">
        <w:rPr>
          <w:rFonts w:cs="Arial"/>
          <w:b/>
        </w:rPr>
        <w:t>informácie o operačných programoch</w:t>
      </w:r>
      <w:r w:rsidRPr="009D621B">
        <w:rPr>
          <w:rFonts w:cs="Arial"/>
        </w:rPr>
        <w:t xml:space="preserve"> za </w:t>
      </w:r>
      <w:r w:rsidRPr="00885D8A">
        <w:rPr>
          <w:rFonts w:cs="Arial"/>
          <w:b/>
        </w:rPr>
        <w:t>dostupné</w:t>
      </w:r>
      <w:r w:rsidRPr="009D621B">
        <w:rPr>
          <w:rFonts w:cs="Arial"/>
        </w:rPr>
        <w:t xml:space="preserve">, čo predstavuje pokles o 15 </w:t>
      </w:r>
      <w:proofErr w:type="spellStart"/>
      <w:r w:rsidRPr="009D621B">
        <w:rPr>
          <w:rFonts w:cs="Arial"/>
        </w:rPr>
        <w:t>p.b</w:t>
      </w:r>
      <w:proofErr w:type="spellEnd"/>
      <w:r w:rsidRPr="009D621B">
        <w:rPr>
          <w:rFonts w:cs="Arial"/>
        </w:rPr>
        <w:t>., resp</w:t>
      </w:r>
      <w:r w:rsidR="00580A2B">
        <w:rPr>
          <w:rFonts w:cs="Arial"/>
        </w:rPr>
        <w:t>.</w:t>
      </w:r>
      <w:r w:rsidRPr="009D621B">
        <w:rPr>
          <w:rFonts w:cs="Arial"/>
        </w:rPr>
        <w:t xml:space="preserve"> o 17 </w:t>
      </w:r>
      <w:proofErr w:type="spellStart"/>
      <w:r w:rsidRPr="009D621B">
        <w:rPr>
          <w:rFonts w:cs="Arial"/>
        </w:rPr>
        <w:t>p.b</w:t>
      </w:r>
      <w:proofErr w:type="spellEnd"/>
      <w:r w:rsidRPr="009D621B">
        <w:rPr>
          <w:rFonts w:cs="Arial"/>
        </w:rPr>
        <w:t>. oproti rokom 2011 a 2008.</w:t>
      </w:r>
    </w:p>
    <w:p w:rsidR="00031AA6" w:rsidRDefault="00031AA6" w:rsidP="00031AA6">
      <w:pPr>
        <w:rPr>
          <w:rFonts w:cs="Arial"/>
        </w:rPr>
      </w:pPr>
      <w:r w:rsidRPr="00885D8A">
        <w:rPr>
          <w:rFonts w:cs="Arial"/>
          <w:b/>
        </w:rPr>
        <w:t>Viac ako polovica</w:t>
      </w:r>
      <w:r w:rsidRPr="00C857CC">
        <w:rPr>
          <w:rFonts w:cs="Arial"/>
        </w:rPr>
        <w:t xml:space="preserve"> opýtaných Slovákov považuje </w:t>
      </w:r>
      <w:r w:rsidRPr="00885D8A">
        <w:rPr>
          <w:rFonts w:cs="Arial"/>
          <w:b/>
        </w:rPr>
        <w:t>úroveň informácií o operačných programoch za veľmi alebo skôr dobrú</w:t>
      </w:r>
      <w:r w:rsidRPr="00C857CC">
        <w:rPr>
          <w:rFonts w:cs="Arial"/>
        </w:rPr>
        <w:t xml:space="preserve">, čo predstavuje pokles oproti roku 2011 a 2008 o 21 </w:t>
      </w:r>
      <w:proofErr w:type="spellStart"/>
      <w:r w:rsidRPr="00C857CC">
        <w:rPr>
          <w:rFonts w:cs="Arial"/>
        </w:rPr>
        <w:t>p.b</w:t>
      </w:r>
      <w:proofErr w:type="spellEnd"/>
      <w:r w:rsidRPr="00C857CC">
        <w:rPr>
          <w:rFonts w:cs="Arial"/>
        </w:rPr>
        <w:t xml:space="preserve">., resp. 26 </w:t>
      </w:r>
      <w:proofErr w:type="spellStart"/>
      <w:r w:rsidRPr="00C857CC">
        <w:rPr>
          <w:rFonts w:cs="Arial"/>
        </w:rPr>
        <w:t>p.b</w:t>
      </w:r>
      <w:proofErr w:type="spellEnd"/>
      <w:r w:rsidRPr="00C857CC">
        <w:rPr>
          <w:rFonts w:cs="Arial"/>
        </w:rPr>
        <w:t>.</w:t>
      </w:r>
    </w:p>
    <w:p w:rsidR="00031AA6" w:rsidRDefault="00031AA6" w:rsidP="00031AA6">
      <w:r w:rsidRPr="00885D8A">
        <w:rPr>
          <w:b/>
        </w:rPr>
        <w:lastRenderedPageBreak/>
        <w:t>Viac ako tretina</w:t>
      </w:r>
      <w:r w:rsidRPr="00BF644C">
        <w:t xml:space="preserve"> opýtaných Slovákov (38%) </w:t>
      </w:r>
      <w:r w:rsidRPr="00885D8A">
        <w:rPr>
          <w:b/>
        </w:rPr>
        <w:t>sa s veľkými problémami/iba okrajovo dokáže zorientovať v problematike o finančnej pomoci EÚ Slovensku</w:t>
      </w:r>
      <w:r w:rsidRPr="00BF644C">
        <w:t>.</w:t>
      </w:r>
      <w:r>
        <w:t xml:space="preserve"> </w:t>
      </w:r>
      <w:r w:rsidRPr="00BF644C">
        <w:t>37% sa dokáže v danej problematike zorientovať s malými problémami</w:t>
      </w:r>
      <w:r>
        <w:t xml:space="preserve">. </w:t>
      </w:r>
    </w:p>
    <w:p w:rsidR="00031AA6" w:rsidRDefault="00031AA6" w:rsidP="00031AA6">
      <w:r w:rsidRPr="00885D8A">
        <w:rPr>
          <w:b/>
        </w:rPr>
        <w:t>Viac ako polovica</w:t>
      </w:r>
      <w:r w:rsidRPr="00361E1E">
        <w:t xml:space="preserve"> považuje </w:t>
      </w:r>
      <w:r w:rsidRPr="00885D8A">
        <w:rPr>
          <w:b/>
        </w:rPr>
        <w:t>činnosť fondov za skôr prospešnú</w:t>
      </w:r>
      <w:r w:rsidRPr="00361E1E">
        <w:t>, čo predstavuje nárast oproti minulým rokom.</w:t>
      </w:r>
    </w:p>
    <w:p w:rsidR="00031AA6" w:rsidRDefault="00031AA6" w:rsidP="00031AA6">
      <w:pPr>
        <w:rPr>
          <w:rFonts w:eastAsia="Calibri" w:cs="Times New Roman"/>
          <w:bCs/>
          <w:szCs w:val="18"/>
        </w:rPr>
      </w:pPr>
      <w:r w:rsidRPr="00885D8A">
        <w:rPr>
          <w:rFonts w:eastAsia="Calibri" w:cs="Times New Roman"/>
          <w:b/>
          <w:bCs/>
          <w:szCs w:val="18"/>
        </w:rPr>
        <w:t>83%</w:t>
      </w:r>
      <w:r w:rsidRPr="00935CA1">
        <w:rPr>
          <w:rFonts w:eastAsia="Calibri" w:cs="Times New Roman"/>
          <w:bCs/>
          <w:szCs w:val="18"/>
        </w:rPr>
        <w:t xml:space="preserve"> opýtaných </w:t>
      </w:r>
      <w:r w:rsidRPr="00885D8A">
        <w:rPr>
          <w:rFonts w:eastAsia="Calibri" w:cs="Times New Roman"/>
          <w:b/>
          <w:bCs/>
          <w:szCs w:val="18"/>
        </w:rPr>
        <w:t>Slovákov</w:t>
      </w:r>
      <w:r w:rsidRPr="00935CA1">
        <w:rPr>
          <w:rFonts w:eastAsia="Calibri" w:cs="Times New Roman"/>
          <w:bCs/>
          <w:szCs w:val="18"/>
        </w:rPr>
        <w:t xml:space="preserve"> má pocit, že </w:t>
      </w:r>
      <w:r w:rsidRPr="00885D8A">
        <w:rPr>
          <w:rFonts w:eastAsia="Calibri" w:cs="Times New Roman"/>
          <w:b/>
          <w:bCs/>
          <w:szCs w:val="18"/>
        </w:rPr>
        <w:t>Európska únia pomáha Slovensku</w:t>
      </w:r>
      <w:r w:rsidRPr="00935CA1">
        <w:rPr>
          <w:rFonts w:eastAsia="Calibri" w:cs="Times New Roman"/>
          <w:bCs/>
          <w:szCs w:val="18"/>
        </w:rPr>
        <w:t>, čo je mierny nárast oproti roku 2011.</w:t>
      </w:r>
    </w:p>
    <w:p w:rsidR="00031AA6" w:rsidRPr="00885D8A" w:rsidRDefault="00031AA6" w:rsidP="00031AA6">
      <w:pPr>
        <w:rPr>
          <w:rFonts w:cs="Arial"/>
          <w:b/>
        </w:rPr>
      </w:pPr>
      <w:r w:rsidRPr="00885D8A">
        <w:rPr>
          <w:b/>
        </w:rPr>
        <w:t>Takmer polovica</w:t>
      </w:r>
      <w:r w:rsidRPr="007B3FC4">
        <w:t xml:space="preserve"> opýtaných Slovákov považuje </w:t>
      </w:r>
      <w:r w:rsidRPr="00885D8A">
        <w:rPr>
          <w:b/>
        </w:rPr>
        <w:t>úroveň informácií o novom programovom období za veľmi a skôr dobrú.</w:t>
      </w:r>
      <w:bookmarkStart w:id="33" w:name="_GoBack"/>
      <w:bookmarkEnd w:id="33"/>
    </w:p>
    <w:sectPr w:rsidR="00031AA6" w:rsidRPr="00885D8A" w:rsidSect="00DA7F2F">
      <w:footerReference w:type="default" r:id="rId78"/>
      <w:footerReference w:type="first" r:id="rId79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ADC2A20" w15:done="0"/>
  <w15:commentEx w15:paraId="408AD676" w15:done="0"/>
  <w15:commentEx w15:paraId="6D2CF7CC" w15:done="0"/>
  <w15:commentEx w15:paraId="23F9E2E2" w15:done="0"/>
  <w15:commentEx w15:paraId="679A23EE" w15:done="0"/>
  <w15:commentEx w15:paraId="5B715383" w15:done="0"/>
  <w15:commentEx w15:paraId="79807510" w15:done="0"/>
  <w15:commentEx w15:paraId="56983F04" w15:done="0"/>
  <w15:commentEx w15:paraId="25A07BCE" w15:done="0"/>
  <w15:commentEx w15:paraId="18BA679A" w15:done="0"/>
  <w15:commentEx w15:paraId="7F1B19C6" w15:done="0"/>
  <w15:commentEx w15:paraId="4815B7BA" w15:done="0"/>
  <w15:commentEx w15:paraId="13468E6A" w15:done="0"/>
  <w15:commentEx w15:paraId="126F5315" w15:done="0"/>
  <w15:commentEx w15:paraId="6A2502E5" w15:done="0"/>
  <w15:commentEx w15:paraId="6992B515" w15:done="0"/>
  <w15:commentEx w15:paraId="0B5EE552" w15:done="0"/>
  <w15:commentEx w15:paraId="5CE3DD27" w15:done="0"/>
  <w15:commentEx w15:paraId="2AA79C10" w15:done="0"/>
  <w15:commentEx w15:paraId="182ECB2B" w15:done="0"/>
  <w15:commentEx w15:paraId="40AA1913" w15:done="0"/>
  <w15:commentEx w15:paraId="35A8EF68" w15:done="0"/>
  <w15:commentEx w15:paraId="5E77AEE2" w15:done="0"/>
  <w15:commentEx w15:paraId="4D014879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55A8" w:rsidRDefault="000F55A8" w:rsidP="00A151A5">
      <w:pPr>
        <w:spacing w:line="240" w:lineRule="auto"/>
      </w:pPr>
      <w:r>
        <w:separator/>
      </w:r>
    </w:p>
  </w:endnote>
  <w:endnote w:type="continuationSeparator" w:id="0">
    <w:p w:rsidR="000F55A8" w:rsidRDefault="000F55A8" w:rsidP="00A151A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5A19" w:rsidRPr="00A151A5" w:rsidRDefault="00105A19" w:rsidP="00611536">
    <w:pPr>
      <w:pStyle w:val="Pta"/>
      <w:pBdr>
        <w:top w:val="single" w:sz="4" w:space="1" w:color="auto"/>
      </w:pBdr>
      <w:rPr>
        <w:sz w:val="20"/>
      </w:rPr>
    </w:pPr>
    <w:r w:rsidRPr="00611536">
      <w:rPr>
        <w:i/>
        <w:sz w:val="18"/>
      </w:rPr>
      <w:t>Prieskum úrovne povedomia verejnosti o politike súdržnosti Európskej únie na Slovensku na konci programového obdobia 2007 – 2013</w:t>
    </w:r>
    <w:r w:rsidR="00BB4707">
      <w:rPr>
        <w:i/>
        <w:sz w:val="18"/>
      </w:rPr>
      <w:t xml:space="preserve"> (cieľová skupina Verejnosť)</w:t>
    </w:r>
    <w:r w:rsidRPr="00611536">
      <w:rPr>
        <w:i/>
        <w:sz w:val="18"/>
      </w:rPr>
      <w:t>.</w:t>
    </w:r>
    <w:r>
      <w:rPr>
        <w:sz w:val="20"/>
      </w:rPr>
      <w:tab/>
    </w:r>
    <w:r>
      <w:rPr>
        <w:sz w:val="20"/>
      </w:rPr>
      <w:tab/>
    </w: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 w:rsidR="005A6156">
      <w:rPr>
        <w:noProof/>
        <w:sz w:val="20"/>
      </w:rPr>
      <w:t>58</w:t>
    </w:r>
    <w:r>
      <w:rPr>
        <w:sz w:val="20"/>
      </w:rPr>
      <w:fldChar w:fldCharType="end"/>
    </w:r>
    <w:r>
      <w:rPr>
        <w:sz w:val="20"/>
      </w:rPr>
      <w:t>/</w:t>
    </w:r>
    <w:fldSimple w:instr=" NUMPAGES   \* MERGEFORMAT ">
      <w:r w:rsidR="005A6156" w:rsidRPr="005A6156">
        <w:rPr>
          <w:noProof/>
          <w:sz w:val="20"/>
        </w:rPr>
        <w:t>59</w:t>
      </w:r>
    </w:fldSimple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5A19" w:rsidRDefault="00105A19" w:rsidP="00DA7F2F">
    <w:pPr>
      <w:pStyle w:val="Pta"/>
      <w:pBdr>
        <w:top w:val="single" w:sz="4" w:space="1" w:color="auto"/>
      </w:pBdr>
    </w:pPr>
    <w:r w:rsidRPr="00A151A5">
      <w:rPr>
        <w:sz w:val="20"/>
      </w:rPr>
      <w:t>GfK Slovakia. Vyjadrenia a názory vyjadrené v tejto správe sa nemusia nutne zhodovať s názormi Úradu vlády Slovenskej republiky</w:t>
    </w:r>
    <w:r>
      <w:rPr>
        <w:sz w:val="20"/>
      </w:rPr>
      <w:t>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55A8" w:rsidRDefault="000F55A8" w:rsidP="00A151A5">
      <w:pPr>
        <w:spacing w:line="240" w:lineRule="auto"/>
      </w:pPr>
      <w:r>
        <w:separator/>
      </w:r>
    </w:p>
  </w:footnote>
  <w:footnote w:type="continuationSeparator" w:id="0">
    <w:p w:rsidR="000F55A8" w:rsidRDefault="000F55A8" w:rsidP="00A151A5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FB324F"/>
    <w:multiLevelType w:val="multilevel"/>
    <w:tmpl w:val="D41CF15E"/>
    <w:lvl w:ilvl="0">
      <w:start w:val="1"/>
      <w:numFmt w:val="decimal"/>
      <w:lvlText w:val="%1."/>
      <w:lvlJc w:val="left"/>
      <w:pPr>
        <w:ind w:left="720" w:hanging="360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right"/>
      <w:pPr>
        <w:ind w:left="2160" w:hanging="180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>
    <w:nsid w:val="32B625C6"/>
    <w:multiLevelType w:val="multilevel"/>
    <w:tmpl w:val="B95A42A8"/>
    <w:styleLink w:val="tl1"/>
    <w:lvl w:ilvl="0">
      <w:start w:val="1"/>
      <w:numFmt w:val="decimal"/>
      <w:pStyle w:val="Nadpis1"/>
      <w:lvlText w:val="%1.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>
      <w:start w:val="1"/>
      <w:numFmt w:val="decimal"/>
      <w:pStyle w:val="Nadpis2"/>
      <w:lvlText w:val="%1.%2."/>
      <w:lvlJc w:val="left"/>
      <w:pPr>
        <w:ind w:left="3060" w:hanging="360"/>
      </w:pPr>
      <w:rPr>
        <w:rFonts w:hint="default"/>
      </w:rPr>
    </w:lvl>
    <w:lvl w:ilvl="2">
      <w:start w:val="1"/>
      <w:numFmt w:val="decimal"/>
      <w:pStyle w:val="Nadpis3"/>
      <w:lvlText w:val="%1.%2.%3."/>
      <w:lvlJc w:val="right"/>
      <w:pPr>
        <w:ind w:left="3780" w:hanging="180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2">
    <w:nsid w:val="767F421E"/>
    <w:multiLevelType w:val="multilevel"/>
    <w:tmpl w:val="7DF48502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">
    <w:nsid w:val="768A60C4"/>
    <w:multiLevelType w:val="multilevel"/>
    <w:tmpl w:val="5A3C48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3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0"/>
  </w:num>
  <w:num w:numId="6">
    <w:abstractNumId w:val="1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Lucia Budinská">
    <w15:presenceInfo w15:providerId="None" w15:userId="Lucia Budinská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56B7"/>
    <w:rsid w:val="00002A93"/>
    <w:rsid w:val="0000559D"/>
    <w:rsid w:val="00011401"/>
    <w:rsid w:val="00011DBA"/>
    <w:rsid w:val="0001599C"/>
    <w:rsid w:val="000209AB"/>
    <w:rsid w:val="00031AA6"/>
    <w:rsid w:val="0003447F"/>
    <w:rsid w:val="0004473B"/>
    <w:rsid w:val="00052075"/>
    <w:rsid w:val="00053C04"/>
    <w:rsid w:val="00072F9C"/>
    <w:rsid w:val="000749CE"/>
    <w:rsid w:val="0008107A"/>
    <w:rsid w:val="000810C4"/>
    <w:rsid w:val="00093561"/>
    <w:rsid w:val="000A04F1"/>
    <w:rsid w:val="000A611F"/>
    <w:rsid w:val="000A6CAF"/>
    <w:rsid w:val="000B1158"/>
    <w:rsid w:val="000E091E"/>
    <w:rsid w:val="000F55A8"/>
    <w:rsid w:val="00101503"/>
    <w:rsid w:val="00105A19"/>
    <w:rsid w:val="00115052"/>
    <w:rsid w:val="00115EF1"/>
    <w:rsid w:val="001210A3"/>
    <w:rsid w:val="0012644D"/>
    <w:rsid w:val="00127154"/>
    <w:rsid w:val="00137149"/>
    <w:rsid w:val="001453E6"/>
    <w:rsid w:val="00156D2A"/>
    <w:rsid w:val="001742CA"/>
    <w:rsid w:val="00176117"/>
    <w:rsid w:val="00192B1A"/>
    <w:rsid w:val="001939EF"/>
    <w:rsid w:val="001A3D78"/>
    <w:rsid w:val="001B55B1"/>
    <w:rsid w:val="001B56FD"/>
    <w:rsid w:val="001B7AA8"/>
    <w:rsid w:val="001E1744"/>
    <w:rsid w:val="001F1424"/>
    <w:rsid w:val="00236536"/>
    <w:rsid w:val="00251D4F"/>
    <w:rsid w:val="00255F55"/>
    <w:rsid w:val="0027057C"/>
    <w:rsid w:val="00285720"/>
    <w:rsid w:val="002908F5"/>
    <w:rsid w:val="00291617"/>
    <w:rsid w:val="00293AE1"/>
    <w:rsid w:val="002A7FC3"/>
    <w:rsid w:val="002B7CEB"/>
    <w:rsid w:val="002C1D6B"/>
    <w:rsid w:val="002E55D9"/>
    <w:rsid w:val="002E55E1"/>
    <w:rsid w:val="0031521E"/>
    <w:rsid w:val="003174ED"/>
    <w:rsid w:val="00327A01"/>
    <w:rsid w:val="003342D1"/>
    <w:rsid w:val="0033631D"/>
    <w:rsid w:val="00343DAA"/>
    <w:rsid w:val="003552D3"/>
    <w:rsid w:val="00355714"/>
    <w:rsid w:val="00361E1E"/>
    <w:rsid w:val="003656B0"/>
    <w:rsid w:val="00366C30"/>
    <w:rsid w:val="00375AD2"/>
    <w:rsid w:val="0039085C"/>
    <w:rsid w:val="003934E9"/>
    <w:rsid w:val="003A279E"/>
    <w:rsid w:val="003A76EC"/>
    <w:rsid w:val="003B0446"/>
    <w:rsid w:val="003B2D40"/>
    <w:rsid w:val="003B5997"/>
    <w:rsid w:val="003B6F6B"/>
    <w:rsid w:val="003D0AA8"/>
    <w:rsid w:val="003D661A"/>
    <w:rsid w:val="003D759C"/>
    <w:rsid w:val="003D7D8D"/>
    <w:rsid w:val="004076ED"/>
    <w:rsid w:val="00431291"/>
    <w:rsid w:val="00432324"/>
    <w:rsid w:val="004339A0"/>
    <w:rsid w:val="00434B31"/>
    <w:rsid w:val="00444ADC"/>
    <w:rsid w:val="0044588F"/>
    <w:rsid w:val="00451D49"/>
    <w:rsid w:val="00454E7F"/>
    <w:rsid w:val="004566EE"/>
    <w:rsid w:val="0045741C"/>
    <w:rsid w:val="00464455"/>
    <w:rsid w:val="00471108"/>
    <w:rsid w:val="00473766"/>
    <w:rsid w:val="00473D8C"/>
    <w:rsid w:val="004943CC"/>
    <w:rsid w:val="004A0239"/>
    <w:rsid w:val="004A663A"/>
    <w:rsid w:val="004A79B7"/>
    <w:rsid w:val="004B55D1"/>
    <w:rsid w:val="004C7259"/>
    <w:rsid w:val="004D19FB"/>
    <w:rsid w:val="004E472E"/>
    <w:rsid w:val="004F36AF"/>
    <w:rsid w:val="004F4C0A"/>
    <w:rsid w:val="005226FB"/>
    <w:rsid w:val="0052288E"/>
    <w:rsid w:val="00531089"/>
    <w:rsid w:val="005356EF"/>
    <w:rsid w:val="005368DD"/>
    <w:rsid w:val="00541652"/>
    <w:rsid w:val="00542358"/>
    <w:rsid w:val="00542809"/>
    <w:rsid w:val="00542C79"/>
    <w:rsid w:val="00552801"/>
    <w:rsid w:val="0055325E"/>
    <w:rsid w:val="00580A2B"/>
    <w:rsid w:val="00583F2B"/>
    <w:rsid w:val="00596AC2"/>
    <w:rsid w:val="005A6156"/>
    <w:rsid w:val="005B7916"/>
    <w:rsid w:val="005E05CC"/>
    <w:rsid w:val="005E6F9F"/>
    <w:rsid w:val="005F1388"/>
    <w:rsid w:val="005F60C4"/>
    <w:rsid w:val="006033D4"/>
    <w:rsid w:val="006041EB"/>
    <w:rsid w:val="00611536"/>
    <w:rsid w:val="006134B3"/>
    <w:rsid w:val="00616A99"/>
    <w:rsid w:val="006268CB"/>
    <w:rsid w:val="00637955"/>
    <w:rsid w:val="006412B7"/>
    <w:rsid w:val="006425A5"/>
    <w:rsid w:val="0064344F"/>
    <w:rsid w:val="00646815"/>
    <w:rsid w:val="00647D11"/>
    <w:rsid w:val="00676C14"/>
    <w:rsid w:val="006939E0"/>
    <w:rsid w:val="00697AD9"/>
    <w:rsid w:val="006A13E2"/>
    <w:rsid w:val="006A2F3F"/>
    <w:rsid w:val="006A4AC1"/>
    <w:rsid w:val="006B1346"/>
    <w:rsid w:val="006C14E3"/>
    <w:rsid w:val="006E06AE"/>
    <w:rsid w:val="006F7BAA"/>
    <w:rsid w:val="007054DB"/>
    <w:rsid w:val="0070682F"/>
    <w:rsid w:val="00711AC6"/>
    <w:rsid w:val="00715C96"/>
    <w:rsid w:val="00733170"/>
    <w:rsid w:val="007812D9"/>
    <w:rsid w:val="00784433"/>
    <w:rsid w:val="007863E2"/>
    <w:rsid w:val="007A14ED"/>
    <w:rsid w:val="007A30FB"/>
    <w:rsid w:val="007B3BCA"/>
    <w:rsid w:val="007B3FC4"/>
    <w:rsid w:val="007C242E"/>
    <w:rsid w:val="007C35B7"/>
    <w:rsid w:val="007C3A2A"/>
    <w:rsid w:val="007C4E4B"/>
    <w:rsid w:val="007E097C"/>
    <w:rsid w:val="00810CA0"/>
    <w:rsid w:val="00814288"/>
    <w:rsid w:val="00815AEC"/>
    <w:rsid w:val="0082388C"/>
    <w:rsid w:val="00835182"/>
    <w:rsid w:val="008502EC"/>
    <w:rsid w:val="00860BFE"/>
    <w:rsid w:val="0087393C"/>
    <w:rsid w:val="00881A74"/>
    <w:rsid w:val="00881C81"/>
    <w:rsid w:val="00897DD3"/>
    <w:rsid w:val="008A683D"/>
    <w:rsid w:val="008A7049"/>
    <w:rsid w:val="008A7C6A"/>
    <w:rsid w:val="008B1877"/>
    <w:rsid w:val="008D0C2A"/>
    <w:rsid w:val="008E2C96"/>
    <w:rsid w:val="008F1A2E"/>
    <w:rsid w:val="009052F9"/>
    <w:rsid w:val="0090745F"/>
    <w:rsid w:val="0092459F"/>
    <w:rsid w:val="0092664E"/>
    <w:rsid w:val="00935CA1"/>
    <w:rsid w:val="00952D33"/>
    <w:rsid w:val="00955F9D"/>
    <w:rsid w:val="0098164B"/>
    <w:rsid w:val="0098302C"/>
    <w:rsid w:val="00985F23"/>
    <w:rsid w:val="00990258"/>
    <w:rsid w:val="0099122D"/>
    <w:rsid w:val="00996165"/>
    <w:rsid w:val="009A61A3"/>
    <w:rsid w:val="009A6D71"/>
    <w:rsid w:val="009B0C47"/>
    <w:rsid w:val="009C14F5"/>
    <w:rsid w:val="009C1BB2"/>
    <w:rsid w:val="009D559F"/>
    <w:rsid w:val="009D621B"/>
    <w:rsid w:val="009D75EE"/>
    <w:rsid w:val="009E1492"/>
    <w:rsid w:val="009F5D04"/>
    <w:rsid w:val="00A05089"/>
    <w:rsid w:val="00A10030"/>
    <w:rsid w:val="00A10674"/>
    <w:rsid w:val="00A14E8D"/>
    <w:rsid w:val="00A151A5"/>
    <w:rsid w:val="00A20D17"/>
    <w:rsid w:val="00A3237C"/>
    <w:rsid w:val="00A33451"/>
    <w:rsid w:val="00A60628"/>
    <w:rsid w:val="00A649A7"/>
    <w:rsid w:val="00A77E94"/>
    <w:rsid w:val="00A94594"/>
    <w:rsid w:val="00A97065"/>
    <w:rsid w:val="00AA0A3A"/>
    <w:rsid w:val="00AA2BD6"/>
    <w:rsid w:val="00AA428F"/>
    <w:rsid w:val="00AC6008"/>
    <w:rsid w:val="00AD0CE4"/>
    <w:rsid w:val="00AD0F9B"/>
    <w:rsid w:val="00AD5E79"/>
    <w:rsid w:val="00AE1FC7"/>
    <w:rsid w:val="00AE553F"/>
    <w:rsid w:val="00AF2EC8"/>
    <w:rsid w:val="00B34E08"/>
    <w:rsid w:val="00B47289"/>
    <w:rsid w:val="00B556B7"/>
    <w:rsid w:val="00B634C4"/>
    <w:rsid w:val="00B84C56"/>
    <w:rsid w:val="00BA4AE0"/>
    <w:rsid w:val="00BA7A73"/>
    <w:rsid w:val="00BB088B"/>
    <w:rsid w:val="00BB27BD"/>
    <w:rsid w:val="00BB4707"/>
    <w:rsid w:val="00BD4C2E"/>
    <w:rsid w:val="00BD60A8"/>
    <w:rsid w:val="00BF644C"/>
    <w:rsid w:val="00C155F7"/>
    <w:rsid w:val="00C27F9B"/>
    <w:rsid w:val="00C37ECC"/>
    <w:rsid w:val="00C41355"/>
    <w:rsid w:val="00C4351B"/>
    <w:rsid w:val="00C503B9"/>
    <w:rsid w:val="00C55550"/>
    <w:rsid w:val="00C7206B"/>
    <w:rsid w:val="00C763C9"/>
    <w:rsid w:val="00C77A57"/>
    <w:rsid w:val="00C857CC"/>
    <w:rsid w:val="00C97D14"/>
    <w:rsid w:val="00CC3722"/>
    <w:rsid w:val="00CD4BFD"/>
    <w:rsid w:val="00CF1170"/>
    <w:rsid w:val="00CF25D9"/>
    <w:rsid w:val="00CF3922"/>
    <w:rsid w:val="00D064A9"/>
    <w:rsid w:val="00D07767"/>
    <w:rsid w:val="00D10BCF"/>
    <w:rsid w:val="00D10BE1"/>
    <w:rsid w:val="00D24AAA"/>
    <w:rsid w:val="00D30E56"/>
    <w:rsid w:val="00D440C9"/>
    <w:rsid w:val="00D45930"/>
    <w:rsid w:val="00D71DAA"/>
    <w:rsid w:val="00D776B9"/>
    <w:rsid w:val="00D829E4"/>
    <w:rsid w:val="00D85CA6"/>
    <w:rsid w:val="00D907A7"/>
    <w:rsid w:val="00D93F16"/>
    <w:rsid w:val="00DA7F2F"/>
    <w:rsid w:val="00DB2B34"/>
    <w:rsid w:val="00DD13BE"/>
    <w:rsid w:val="00DD3DF1"/>
    <w:rsid w:val="00DD5EFE"/>
    <w:rsid w:val="00DE3C9A"/>
    <w:rsid w:val="00DE4087"/>
    <w:rsid w:val="00DE5351"/>
    <w:rsid w:val="00DE5B8E"/>
    <w:rsid w:val="00E00DDC"/>
    <w:rsid w:val="00E11A90"/>
    <w:rsid w:val="00E33E44"/>
    <w:rsid w:val="00E3453B"/>
    <w:rsid w:val="00E525CE"/>
    <w:rsid w:val="00E55A62"/>
    <w:rsid w:val="00E56DD6"/>
    <w:rsid w:val="00E57EBA"/>
    <w:rsid w:val="00E73FBC"/>
    <w:rsid w:val="00E74134"/>
    <w:rsid w:val="00E75D2F"/>
    <w:rsid w:val="00E80D30"/>
    <w:rsid w:val="00E8180C"/>
    <w:rsid w:val="00EA457E"/>
    <w:rsid w:val="00EE53AC"/>
    <w:rsid w:val="00F02F8D"/>
    <w:rsid w:val="00F14A52"/>
    <w:rsid w:val="00F161FE"/>
    <w:rsid w:val="00F2081D"/>
    <w:rsid w:val="00F212FB"/>
    <w:rsid w:val="00F24CF5"/>
    <w:rsid w:val="00F33A21"/>
    <w:rsid w:val="00F35671"/>
    <w:rsid w:val="00F52F88"/>
    <w:rsid w:val="00F54D58"/>
    <w:rsid w:val="00F87E04"/>
    <w:rsid w:val="00F92A1B"/>
    <w:rsid w:val="00FA386A"/>
    <w:rsid w:val="00FD5F9E"/>
    <w:rsid w:val="00FE42D0"/>
    <w:rsid w:val="00FF6D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4A0239"/>
    <w:pPr>
      <w:spacing w:after="0" w:line="480" w:lineRule="auto"/>
      <w:jc w:val="both"/>
    </w:pPr>
    <w:rPr>
      <w:rFonts w:ascii="Arial" w:hAnsi="Arial"/>
    </w:rPr>
  </w:style>
  <w:style w:type="paragraph" w:styleId="Nadpis1">
    <w:name w:val="heading 1"/>
    <w:basedOn w:val="Normlny"/>
    <w:next w:val="Normlny"/>
    <w:link w:val="Nadpis1Char"/>
    <w:qFormat/>
    <w:rsid w:val="000A6CAF"/>
    <w:pPr>
      <w:keepNext/>
      <w:keepLines/>
      <w:numPr>
        <w:numId w:val="6"/>
      </w:numPr>
      <w:spacing w:before="120" w:after="240" w:line="360" w:lineRule="auto"/>
      <w:outlineLvl w:val="0"/>
    </w:pPr>
    <w:rPr>
      <w:rFonts w:eastAsia="Times New Roman" w:cs="Times New Roman"/>
      <w:b/>
      <w:bCs/>
      <w:sz w:val="28"/>
      <w:szCs w:val="28"/>
      <w:u w:val="single"/>
      <w:lang w:val="x-none" w:eastAsia="x-none"/>
    </w:rPr>
  </w:style>
  <w:style w:type="paragraph" w:styleId="Nadpis2">
    <w:name w:val="heading 2"/>
    <w:basedOn w:val="Normlny"/>
    <w:next w:val="Normlny"/>
    <w:link w:val="Nadpis2Char"/>
    <w:unhideWhenUsed/>
    <w:qFormat/>
    <w:rsid w:val="00A60628"/>
    <w:pPr>
      <w:keepNext/>
      <w:keepLines/>
      <w:numPr>
        <w:ilvl w:val="1"/>
        <w:numId w:val="6"/>
      </w:numPr>
      <w:ind w:left="357" w:hanging="357"/>
      <w:outlineLvl w:val="1"/>
    </w:pPr>
    <w:rPr>
      <w:rFonts w:eastAsia="Calibri" w:cs="Times New Roman"/>
      <w:bCs/>
      <w:i/>
      <w:sz w:val="24"/>
      <w:szCs w:val="28"/>
      <w:lang w:val="x-none" w:eastAsia="x-none"/>
    </w:rPr>
  </w:style>
  <w:style w:type="paragraph" w:styleId="Nadpis3">
    <w:name w:val="heading 3"/>
    <w:basedOn w:val="Normlny"/>
    <w:next w:val="Normlny"/>
    <w:link w:val="Nadpis3Char"/>
    <w:qFormat/>
    <w:rsid w:val="00A10674"/>
    <w:pPr>
      <w:keepNext/>
      <w:numPr>
        <w:ilvl w:val="2"/>
        <w:numId w:val="6"/>
      </w:numPr>
      <w:spacing w:after="240" w:line="360" w:lineRule="auto"/>
      <w:ind w:left="805" w:hanging="181"/>
      <w:jc w:val="left"/>
      <w:outlineLvl w:val="2"/>
    </w:pPr>
    <w:rPr>
      <w:rFonts w:eastAsia="Times New Roman" w:cs="Times New Roman"/>
      <w:szCs w:val="20"/>
      <w:u w:val="single"/>
      <w:lang w:eastAsia="cs-CZ"/>
    </w:rPr>
  </w:style>
  <w:style w:type="paragraph" w:styleId="Nadpis4">
    <w:name w:val="heading 4"/>
    <w:basedOn w:val="Normlny"/>
    <w:next w:val="Normlny"/>
    <w:link w:val="Nadpis4Char"/>
    <w:qFormat/>
    <w:rsid w:val="00BB27BD"/>
    <w:pPr>
      <w:keepNext/>
      <w:tabs>
        <w:tab w:val="num" w:pos="864"/>
      </w:tabs>
      <w:spacing w:line="240" w:lineRule="auto"/>
      <w:ind w:left="864" w:hanging="864"/>
      <w:jc w:val="center"/>
      <w:outlineLvl w:val="3"/>
    </w:pPr>
    <w:rPr>
      <w:rFonts w:eastAsia="Times New Roman" w:cs="Times New Roman"/>
      <w:b/>
      <w:szCs w:val="20"/>
      <w:lang w:eastAsia="cs-CZ"/>
    </w:rPr>
  </w:style>
  <w:style w:type="paragraph" w:styleId="Nadpis5">
    <w:name w:val="heading 5"/>
    <w:basedOn w:val="Normlny"/>
    <w:next w:val="Normlny"/>
    <w:link w:val="Nadpis5Char"/>
    <w:qFormat/>
    <w:rsid w:val="00BB27BD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num" w:pos="1008"/>
      </w:tabs>
      <w:spacing w:line="240" w:lineRule="auto"/>
      <w:ind w:left="1008" w:hanging="1008"/>
      <w:jc w:val="left"/>
      <w:outlineLvl w:val="4"/>
    </w:pPr>
    <w:rPr>
      <w:rFonts w:eastAsia="Times New Roman" w:cs="Times New Roman"/>
      <w:sz w:val="24"/>
      <w:szCs w:val="20"/>
      <w:lang w:eastAsia="cs-CZ"/>
    </w:rPr>
  </w:style>
  <w:style w:type="paragraph" w:styleId="Nadpis6">
    <w:name w:val="heading 6"/>
    <w:basedOn w:val="Normlny"/>
    <w:next w:val="Normlny"/>
    <w:link w:val="Nadpis6Char"/>
    <w:qFormat/>
    <w:rsid w:val="00BB27BD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num" w:pos="1152"/>
      </w:tabs>
      <w:spacing w:line="240" w:lineRule="auto"/>
      <w:ind w:left="1152" w:hanging="1152"/>
      <w:jc w:val="center"/>
      <w:outlineLvl w:val="5"/>
    </w:pPr>
    <w:rPr>
      <w:rFonts w:eastAsia="Times New Roman" w:cs="Arial"/>
      <w:b/>
      <w:bCs/>
      <w:sz w:val="24"/>
      <w:szCs w:val="20"/>
      <w:lang w:eastAsia="cs-CZ"/>
    </w:rPr>
  </w:style>
  <w:style w:type="paragraph" w:styleId="Nadpis7">
    <w:name w:val="heading 7"/>
    <w:basedOn w:val="Normlny"/>
    <w:next w:val="Normlny"/>
    <w:link w:val="Nadpis7Char"/>
    <w:qFormat/>
    <w:rsid w:val="00BB27BD"/>
    <w:pPr>
      <w:tabs>
        <w:tab w:val="num" w:pos="1296"/>
      </w:tabs>
      <w:spacing w:before="240" w:after="60" w:line="240" w:lineRule="auto"/>
      <w:ind w:left="1296" w:hanging="1296"/>
      <w:jc w:val="left"/>
      <w:outlineLvl w:val="6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Nadpis8">
    <w:name w:val="heading 8"/>
    <w:basedOn w:val="Normlny"/>
    <w:next w:val="Normlny"/>
    <w:link w:val="Nadpis8Char"/>
    <w:qFormat/>
    <w:rsid w:val="00BB27BD"/>
    <w:pPr>
      <w:tabs>
        <w:tab w:val="num" w:pos="1440"/>
      </w:tabs>
      <w:spacing w:before="240" w:after="60" w:line="240" w:lineRule="auto"/>
      <w:ind w:left="1440" w:hanging="1440"/>
      <w:jc w:val="left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cs-CZ"/>
    </w:rPr>
  </w:style>
  <w:style w:type="paragraph" w:styleId="Nadpis9">
    <w:name w:val="heading 9"/>
    <w:basedOn w:val="Normlny"/>
    <w:next w:val="Normlny"/>
    <w:link w:val="Nadpis9Char"/>
    <w:qFormat/>
    <w:rsid w:val="00BB27BD"/>
    <w:pPr>
      <w:tabs>
        <w:tab w:val="num" w:pos="1584"/>
      </w:tabs>
      <w:spacing w:before="240" w:after="60" w:line="240" w:lineRule="auto"/>
      <w:ind w:left="1584" w:hanging="1584"/>
      <w:jc w:val="left"/>
      <w:outlineLvl w:val="8"/>
    </w:pPr>
    <w:rPr>
      <w:rFonts w:eastAsia="Times New Roman" w:cs="Arial"/>
      <w:lang w:eastAsia="cs-CZ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B556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B556B7"/>
    <w:rPr>
      <w:rFonts w:ascii="Tahoma" w:hAnsi="Tahoma" w:cs="Tahoma"/>
      <w:sz w:val="16"/>
      <w:szCs w:val="16"/>
    </w:rPr>
  </w:style>
  <w:style w:type="paragraph" w:styleId="Bezriadkovania">
    <w:name w:val="No Spacing"/>
    <w:uiPriority w:val="1"/>
    <w:qFormat/>
    <w:rsid w:val="00990258"/>
    <w:pPr>
      <w:spacing w:after="0" w:line="240" w:lineRule="auto"/>
    </w:pPr>
    <w:rPr>
      <w:rFonts w:ascii="Arial" w:hAnsi="Arial"/>
      <w:sz w:val="20"/>
    </w:rPr>
  </w:style>
  <w:style w:type="paragraph" w:styleId="Zkladntext3">
    <w:name w:val="Body Text 3"/>
    <w:basedOn w:val="Normlny"/>
    <w:link w:val="Zkladntext3Char"/>
    <w:rsid w:val="00B634C4"/>
    <w:pPr>
      <w:spacing w:line="240" w:lineRule="auto"/>
    </w:pPr>
    <w:rPr>
      <w:rFonts w:eastAsia="Times New Roman" w:cs="Times New Roman"/>
      <w:szCs w:val="20"/>
      <w:lang w:eastAsia="cs-CZ"/>
    </w:rPr>
  </w:style>
  <w:style w:type="character" w:customStyle="1" w:styleId="Zkladntext3Char">
    <w:name w:val="Základný text 3 Char"/>
    <w:basedOn w:val="Predvolenpsmoodseku"/>
    <w:link w:val="Zkladntext3"/>
    <w:rsid w:val="00B634C4"/>
    <w:rPr>
      <w:rFonts w:ascii="Arial" w:eastAsia="Times New Roman" w:hAnsi="Arial" w:cs="Times New Roman"/>
      <w:szCs w:val="20"/>
      <w:lang w:eastAsia="cs-CZ"/>
    </w:rPr>
  </w:style>
  <w:style w:type="character" w:styleId="Odkaznakomentr">
    <w:name w:val="annotation reference"/>
    <w:basedOn w:val="Predvolenpsmoodseku"/>
    <w:uiPriority w:val="99"/>
    <w:semiHidden/>
    <w:unhideWhenUsed/>
    <w:rsid w:val="00C97D14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C97D14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C97D14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C97D14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C97D14"/>
    <w:rPr>
      <w:b/>
      <w:bCs/>
      <w:sz w:val="20"/>
      <w:szCs w:val="20"/>
    </w:rPr>
  </w:style>
  <w:style w:type="paragraph" w:styleId="Revzia">
    <w:name w:val="Revision"/>
    <w:hidden/>
    <w:uiPriority w:val="99"/>
    <w:semiHidden/>
    <w:rsid w:val="0045741C"/>
    <w:pPr>
      <w:spacing w:after="0" w:line="240" w:lineRule="auto"/>
    </w:pPr>
  </w:style>
  <w:style w:type="character" w:customStyle="1" w:styleId="Nadpis1Char">
    <w:name w:val="Nadpis 1 Char"/>
    <w:basedOn w:val="Predvolenpsmoodseku"/>
    <w:link w:val="Nadpis1"/>
    <w:rsid w:val="000A6CAF"/>
    <w:rPr>
      <w:rFonts w:ascii="Arial" w:eastAsia="Times New Roman" w:hAnsi="Arial" w:cs="Times New Roman"/>
      <w:b/>
      <w:bCs/>
      <w:sz w:val="28"/>
      <w:szCs w:val="28"/>
      <w:u w:val="single"/>
      <w:lang w:val="x-none" w:eastAsia="x-none"/>
    </w:rPr>
  </w:style>
  <w:style w:type="character" w:customStyle="1" w:styleId="Nadpis2Char">
    <w:name w:val="Nadpis 2 Char"/>
    <w:basedOn w:val="Predvolenpsmoodseku"/>
    <w:link w:val="Nadpis2"/>
    <w:rsid w:val="00A60628"/>
    <w:rPr>
      <w:rFonts w:ascii="Arial" w:eastAsia="Calibri" w:hAnsi="Arial" w:cs="Times New Roman"/>
      <w:bCs/>
      <w:i/>
      <w:sz w:val="24"/>
      <w:szCs w:val="28"/>
      <w:lang w:val="x-none" w:eastAsia="x-none"/>
    </w:rPr>
  </w:style>
  <w:style w:type="paragraph" w:styleId="Obsah1">
    <w:name w:val="toc 1"/>
    <w:basedOn w:val="Normlny"/>
    <w:next w:val="Normlny"/>
    <w:autoRedefine/>
    <w:uiPriority w:val="39"/>
    <w:unhideWhenUsed/>
    <w:qFormat/>
    <w:rsid w:val="00542358"/>
    <w:pPr>
      <w:tabs>
        <w:tab w:val="left" w:pos="440"/>
        <w:tab w:val="right" w:leader="dot" w:pos="9062"/>
      </w:tabs>
      <w:spacing w:after="240" w:line="240" w:lineRule="auto"/>
    </w:pPr>
    <w:rPr>
      <w:rFonts w:eastAsia="Calibri" w:cs="Times New Roman"/>
      <w:noProof/>
    </w:rPr>
  </w:style>
  <w:style w:type="character" w:styleId="Hypertextovprepojenie">
    <w:name w:val="Hyperlink"/>
    <w:uiPriority w:val="99"/>
    <w:unhideWhenUsed/>
    <w:rsid w:val="00A151A5"/>
    <w:rPr>
      <w:rFonts w:ascii="Arial" w:hAnsi="Arial"/>
      <w:color w:val="0000FF"/>
      <w:sz w:val="18"/>
      <w:u w:val="single"/>
    </w:rPr>
  </w:style>
  <w:style w:type="paragraph" w:styleId="Obsah2">
    <w:name w:val="toc 2"/>
    <w:basedOn w:val="Normlny"/>
    <w:next w:val="Normlny"/>
    <w:autoRedefine/>
    <w:uiPriority w:val="39"/>
    <w:unhideWhenUsed/>
    <w:qFormat/>
    <w:rsid w:val="00542358"/>
    <w:pPr>
      <w:tabs>
        <w:tab w:val="left" w:pos="851"/>
        <w:tab w:val="right" w:leader="dot" w:pos="9062"/>
      </w:tabs>
      <w:spacing w:after="120" w:line="240" w:lineRule="auto"/>
      <w:ind w:left="850" w:hanging="629"/>
    </w:pPr>
    <w:rPr>
      <w:rFonts w:eastAsia="Times New Roman" w:cs="Times New Roman"/>
      <w:noProof/>
      <w:sz w:val="20"/>
      <w:lang w:eastAsia="sk-SK"/>
    </w:rPr>
  </w:style>
  <w:style w:type="paragraph" w:styleId="Nzov">
    <w:name w:val="Title"/>
    <w:basedOn w:val="Normlny"/>
    <w:next w:val="Normlny"/>
    <w:link w:val="NzovChar"/>
    <w:uiPriority w:val="99"/>
    <w:qFormat/>
    <w:rsid w:val="00A151A5"/>
    <w:pPr>
      <w:spacing w:after="300" w:line="240" w:lineRule="auto"/>
      <w:contextualSpacing/>
      <w:jc w:val="center"/>
    </w:pPr>
    <w:rPr>
      <w:rFonts w:eastAsia="Times New Roman" w:cs="Times New Roman"/>
      <w:spacing w:val="5"/>
      <w:kern w:val="28"/>
      <w:sz w:val="48"/>
      <w:szCs w:val="52"/>
      <w:lang w:val="x-none" w:eastAsia="x-none"/>
    </w:rPr>
  </w:style>
  <w:style w:type="character" w:customStyle="1" w:styleId="NzovChar">
    <w:name w:val="Názov Char"/>
    <w:basedOn w:val="Predvolenpsmoodseku"/>
    <w:link w:val="Nzov"/>
    <w:uiPriority w:val="99"/>
    <w:rsid w:val="00A151A5"/>
    <w:rPr>
      <w:rFonts w:ascii="Arial" w:eastAsia="Times New Roman" w:hAnsi="Arial" w:cs="Times New Roman"/>
      <w:spacing w:val="5"/>
      <w:kern w:val="28"/>
      <w:sz w:val="48"/>
      <w:szCs w:val="52"/>
      <w:lang w:val="x-none" w:eastAsia="x-none"/>
    </w:rPr>
  </w:style>
  <w:style w:type="paragraph" w:styleId="Hlavika">
    <w:name w:val="header"/>
    <w:basedOn w:val="Normlny"/>
    <w:link w:val="HlavikaChar"/>
    <w:uiPriority w:val="99"/>
    <w:unhideWhenUsed/>
    <w:rsid w:val="00A151A5"/>
    <w:pPr>
      <w:tabs>
        <w:tab w:val="center" w:pos="4536"/>
        <w:tab w:val="right" w:pos="9072"/>
      </w:tabs>
      <w:spacing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A151A5"/>
    <w:rPr>
      <w:rFonts w:ascii="Arial" w:hAnsi="Arial"/>
    </w:rPr>
  </w:style>
  <w:style w:type="paragraph" w:styleId="Pta">
    <w:name w:val="footer"/>
    <w:basedOn w:val="Normlny"/>
    <w:link w:val="PtaChar"/>
    <w:uiPriority w:val="99"/>
    <w:unhideWhenUsed/>
    <w:rsid w:val="00A151A5"/>
    <w:pPr>
      <w:tabs>
        <w:tab w:val="center" w:pos="4536"/>
        <w:tab w:val="right" w:pos="9072"/>
      </w:tabs>
      <w:spacing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A151A5"/>
    <w:rPr>
      <w:rFonts w:ascii="Arial" w:hAnsi="Arial"/>
    </w:rPr>
  </w:style>
  <w:style w:type="paragraph" w:styleId="Popis">
    <w:name w:val="caption"/>
    <w:basedOn w:val="Normlny"/>
    <w:next w:val="Normlny"/>
    <w:uiPriority w:val="99"/>
    <w:unhideWhenUsed/>
    <w:qFormat/>
    <w:rsid w:val="00293AE1"/>
    <w:pPr>
      <w:spacing w:line="240" w:lineRule="auto"/>
    </w:pPr>
    <w:rPr>
      <w:rFonts w:eastAsia="Calibri" w:cs="Times New Roman"/>
      <w:b/>
      <w:bCs/>
      <w:sz w:val="18"/>
      <w:szCs w:val="18"/>
    </w:rPr>
  </w:style>
  <w:style w:type="paragraph" w:customStyle="1" w:styleId="popis2">
    <w:name w:val="popis 2"/>
    <w:basedOn w:val="Popis"/>
    <w:next w:val="Normlny"/>
    <w:qFormat/>
    <w:rsid w:val="00BD4C2E"/>
    <w:pPr>
      <w:spacing w:line="480" w:lineRule="auto"/>
      <w:jc w:val="left"/>
    </w:pPr>
    <w:rPr>
      <w:sz w:val="20"/>
    </w:rPr>
  </w:style>
  <w:style w:type="character" w:customStyle="1" w:styleId="Nadpis3Char">
    <w:name w:val="Nadpis 3 Char"/>
    <w:basedOn w:val="Predvolenpsmoodseku"/>
    <w:link w:val="Nadpis3"/>
    <w:rsid w:val="00A10674"/>
    <w:rPr>
      <w:rFonts w:ascii="Arial" w:eastAsia="Times New Roman" w:hAnsi="Arial" w:cs="Times New Roman"/>
      <w:szCs w:val="20"/>
      <w:u w:val="single"/>
      <w:lang w:eastAsia="cs-CZ"/>
    </w:rPr>
  </w:style>
  <w:style w:type="character" w:customStyle="1" w:styleId="Nadpis4Char">
    <w:name w:val="Nadpis 4 Char"/>
    <w:basedOn w:val="Predvolenpsmoodseku"/>
    <w:link w:val="Nadpis4"/>
    <w:rsid w:val="00BB27BD"/>
    <w:rPr>
      <w:rFonts w:ascii="Arial" w:eastAsia="Times New Roman" w:hAnsi="Arial" w:cs="Times New Roman"/>
      <w:b/>
      <w:szCs w:val="20"/>
      <w:lang w:eastAsia="cs-CZ"/>
    </w:rPr>
  </w:style>
  <w:style w:type="character" w:customStyle="1" w:styleId="Nadpis5Char">
    <w:name w:val="Nadpis 5 Char"/>
    <w:basedOn w:val="Predvolenpsmoodseku"/>
    <w:link w:val="Nadpis5"/>
    <w:rsid w:val="00BB27BD"/>
    <w:rPr>
      <w:rFonts w:ascii="Arial" w:eastAsia="Times New Roman" w:hAnsi="Arial" w:cs="Times New Roman"/>
      <w:sz w:val="24"/>
      <w:szCs w:val="20"/>
      <w:lang w:eastAsia="cs-CZ"/>
    </w:rPr>
  </w:style>
  <w:style w:type="character" w:customStyle="1" w:styleId="Nadpis6Char">
    <w:name w:val="Nadpis 6 Char"/>
    <w:basedOn w:val="Predvolenpsmoodseku"/>
    <w:link w:val="Nadpis6"/>
    <w:rsid w:val="00BB27BD"/>
    <w:rPr>
      <w:rFonts w:ascii="Arial" w:eastAsia="Times New Roman" w:hAnsi="Arial" w:cs="Arial"/>
      <w:b/>
      <w:bCs/>
      <w:sz w:val="24"/>
      <w:szCs w:val="20"/>
      <w:lang w:eastAsia="cs-CZ"/>
    </w:rPr>
  </w:style>
  <w:style w:type="character" w:customStyle="1" w:styleId="Nadpis7Char">
    <w:name w:val="Nadpis 7 Char"/>
    <w:basedOn w:val="Predvolenpsmoodseku"/>
    <w:link w:val="Nadpis7"/>
    <w:rsid w:val="00BB27BD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Nadpis8Char">
    <w:name w:val="Nadpis 8 Char"/>
    <w:basedOn w:val="Predvolenpsmoodseku"/>
    <w:link w:val="Nadpis8"/>
    <w:rsid w:val="00BB27BD"/>
    <w:rPr>
      <w:rFonts w:ascii="Times New Roman" w:eastAsia="Times New Roman" w:hAnsi="Times New Roman" w:cs="Times New Roman"/>
      <w:i/>
      <w:iCs/>
      <w:sz w:val="24"/>
      <w:szCs w:val="24"/>
      <w:lang w:eastAsia="cs-CZ"/>
    </w:rPr>
  </w:style>
  <w:style w:type="character" w:customStyle="1" w:styleId="Nadpis9Char">
    <w:name w:val="Nadpis 9 Char"/>
    <w:basedOn w:val="Predvolenpsmoodseku"/>
    <w:link w:val="Nadpis9"/>
    <w:rsid w:val="00BB27BD"/>
    <w:rPr>
      <w:rFonts w:ascii="Arial" w:eastAsia="Times New Roman" w:hAnsi="Arial" w:cs="Arial"/>
      <w:lang w:eastAsia="cs-CZ"/>
    </w:rPr>
  </w:style>
  <w:style w:type="paragraph" w:styleId="Obsah3">
    <w:name w:val="toc 3"/>
    <w:basedOn w:val="Normlny"/>
    <w:next w:val="Normlny"/>
    <w:autoRedefine/>
    <w:uiPriority w:val="39"/>
    <w:unhideWhenUsed/>
    <w:rsid w:val="00542358"/>
    <w:pPr>
      <w:tabs>
        <w:tab w:val="left" w:pos="1320"/>
        <w:tab w:val="right" w:leader="dot" w:pos="9062"/>
      </w:tabs>
      <w:spacing w:after="60" w:line="240" w:lineRule="auto"/>
      <w:ind w:left="442"/>
    </w:pPr>
    <w:rPr>
      <w:sz w:val="18"/>
    </w:rPr>
  </w:style>
  <w:style w:type="numbering" w:customStyle="1" w:styleId="tl1">
    <w:name w:val="Štýl1"/>
    <w:uiPriority w:val="99"/>
    <w:rsid w:val="00A60628"/>
    <w:pPr>
      <w:numPr>
        <w:numId w:val="6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4A0239"/>
    <w:pPr>
      <w:spacing w:after="0" w:line="480" w:lineRule="auto"/>
      <w:jc w:val="both"/>
    </w:pPr>
    <w:rPr>
      <w:rFonts w:ascii="Arial" w:hAnsi="Arial"/>
    </w:rPr>
  </w:style>
  <w:style w:type="paragraph" w:styleId="Nadpis1">
    <w:name w:val="heading 1"/>
    <w:basedOn w:val="Normlny"/>
    <w:next w:val="Normlny"/>
    <w:link w:val="Nadpis1Char"/>
    <w:qFormat/>
    <w:rsid w:val="000A6CAF"/>
    <w:pPr>
      <w:keepNext/>
      <w:keepLines/>
      <w:numPr>
        <w:numId w:val="6"/>
      </w:numPr>
      <w:spacing w:before="120" w:after="240" w:line="360" w:lineRule="auto"/>
      <w:outlineLvl w:val="0"/>
    </w:pPr>
    <w:rPr>
      <w:rFonts w:eastAsia="Times New Roman" w:cs="Times New Roman"/>
      <w:b/>
      <w:bCs/>
      <w:sz w:val="28"/>
      <w:szCs w:val="28"/>
      <w:u w:val="single"/>
      <w:lang w:val="x-none" w:eastAsia="x-none"/>
    </w:rPr>
  </w:style>
  <w:style w:type="paragraph" w:styleId="Nadpis2">
    <w:name w:val="heading 2"/>
    <w:basedOn w:val="Normlny"/>
    <w:next w:val="Normlny"/>
    <w:link w:val="Nadpis2Char"/>
    <w:unhideWhenUsed/>
    <w:qFormat/>
    <w:rsid w:val="00A60628"/>
    <w:pPr>
      <w:keepNext/>
      <w:keepLines/>
      <w:numPr>
        <w:ilvl w:val="1"/>
        <w:numId w:val="6"/>
      </w:numPr>
      <w:ind w:left="357" w:hanging="357"/>
      <w:outlineLvl w:val="1"/>
    </w:pPr>
    <w:rPr>
      <w:rFonts w:eastAsia="Calibri" w:cs="Times New Roman"/>
      <w:bCs/>
      <w:i/>
      <w:sz w:val="24"/>
      <w:szCs w:val="28"/>
      <w:lang w:val="x-none" w:eastAsia="x-none"/>
    </w:rPr>
  </w:style>
  <w:style w:type="paragraph" w:styleId="Nadpis3">
    <w:name w:val="heading 3"/>
    <w:basedOn w:val="Normlny"/>
    <w:next w:val="Normlny"/>
    <w:link w:val="Nadpis3Char"/>
    <w:qFormat/>
    <w:rsid w:val="00A10674"/>
    <w:pPr>
      <w:keepNext/>
      <w:numPr>
        <w:ilvl w:val="2"/>
        <w:numId w:val="6"/>
      </w:numPr>
      <w:spacing w:after="240" w:line="360" w:lineRule="auto"/>
      <w:ind w:left="805" w:hanging="181"/>
      <w:jc w:val="left"/>
      <w:outlineLvl w:val="2"/>
    </w:pPr>
    <w:rPr>
      <w:rFonts w:eastAsia="Times New Roman" w:cs="Times New Roman"/>
      <w:szCs w:val="20"/>
      <w:u w:val="single"/>
      <w:lang w:eastAsia="cs-CZ"/>
    </w:rPr>
  </w:style>
  <w:style w:type="paragraph" w:styleId="Nadpis4">
    <w:name w:val="heading 4"/>
    <w:basedOn w:val="Normlny"/>
    <w:next w:val="Normlny"/>
    <w:link w:val="Nadpis4Char"/>
    <w:qFormat/>
    <w:rsid w:val="00BB27BD"/>
    <w:pPr>
      <w:keepNext/>
      <w:tabs>
        <w:tab w:val="num" w:pos="864"/>
      </w:tabs>
      <w:spacing w:line="240" w:lineRule="auto"/>
      <w:ind w:left="864" w:hanging="864"/>
      <w:jc w:val="center"/>
      <w:outlineLvl w:val="3"/>
    </w:pPr>
    <w:rPr>
      <w:rFonts w:eastAsia="Times New Roman" w:cs="Times New Roman"/>
      <w:b/>
      <w:szCs w:val="20"/>
      <w:lang w:eastAsia="cs-CZ"/>
    </w:rPr>
  </w:style>
  <w:style w:type="paragraph" w:styleId="Nadpis5">
    <w:name w:val="heading 5"/>
    <w:basedOn w:val="Normlny"/>
    <w:next w:val="Normlny"/>
    <w:link w:val="Nadpis5Char"/>
    <w:qFormat/>
    <w:rsid w:val="00BB27BD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num" w:pos="1008"/>
      </w:tabs>
      <w:spacing w:line="240" w:lineRule="auto"/>
      <w:ind w:left="1008" w:hanging="1008"/>
      <w:jc w:val="left"/>
      <w:outlineLvl w:val="4"/>
    </w:pPr>
    <w:rPr>
      <w:rFonts w:eastAsia="Times New Roman" w:cs="Times New Roman"/>
      <w:sz w:val="24"/>
      <w:szCs w:val="20"/>
      <w:lang w:eastAsia="cs-CZ"/>
    </w:rPr>
  </w:style>
  <w:style w:type="paragraph" w:styleId="Nadpis6">
    <w:name w:val="heading 6"/>
    <w:basedOn w:val="Normlny"/>
    <w:next w:val="Normlny"/>
    <w:link w:val="Nadpis6Char"/>
    <w:qFormat/>
    <w:rsid w:val="00BB27BD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num" w:pos="1152"/>
      </w:tabs>
      <w:spacing w:line="240" w:lineRule="auto"/>
      <w:ind w:left="1152" w:hanging="1152"/>
      <w:jc w:val="center"/>
      <w:outlineLvl w:val="5"/>
    </w:pPr>
    <w:rPr>
      <w:rFonts w:eastAsia="Times New Roman" w:cs="Arial"/>
      <w:b/>
      <w:bCs/>
      <w:sz w:val="24"/>
      <w:szCs w:val="20"/>
      <w:lang w:eastAsia="cs-CZ"/>
    </w:rPr>
  </w:style>
  <w:style w:type="paragraph" w:styleId="Nadpis7">
    <w:name w:val="heading 7"/>
    <w:basedOn w:val="Normlny"/>
    <w:next w:val="Normlny"/>
    <w:link w:val="Nadpis7Char"/>
    <w:qFormat/>
    <w:rsid w:val="00BB27BD"/>
    <w:pPr>
      <w:tabs>
        <w:tab w:val="num" w:pos="1296"/>
      </w:tabs>
      <w:spacing w:before="240" w:after="60" w:line="240" w:lineRule="auto"/>
      <w:ind w:left="1296" w:hanging="1296"/>
      <w:jc w:val="left"/>
      <w:outlineLvl w:val="6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Nadpis8">
    <w:name w:val="heading 8"/>
    <w:basedOn w:val="Normlny"/>
    <w:next w:val="Normlny"/>
    <w:link w:val="Nadpis8Char"/>
    <w:qFormat/>
    <w:rsid w:val="00BB27BD"/>
    <w:pPr>
      <w:tabs>
        <w:tab w:val="num" w:pos="1440"/>
      </w:tabs>
      <w:spacing w:before="240" w:after="60" w:line="240" w:lineRule="auto"/>
      <w:ind w:left="1440" w:hanging="1440"/>
      <w:jc w:val="left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cs-CZ"/>
    </w:rPr>
  </w:style>
  <w:style w:type="paragraph" w:styleId="Nadpis9">
    <w:name w:val="heading 9"/>
    <w:basedOn w:val="Normlny"/>
    <w:next w:val="Normlny"/>
    <w:link w:val="Nadpis9Char"/>
    <w:qFormat/>
    <w:rsid w:val="00BB27BD"/>
    <w:pPr>
      <w:tabs>
        <w:tab w:val="num" w:pos="1584"/>
      </w:tabs>
      <w:spacing w:before="240" w:after="60" w:line="240" w:lineRule="auto"/>
      <w:ind w:left="1584" w:hanging="1584"/>
      <w:jc w:val="left"/>
      <w:outlineLvl w:val="8"/>
    </w:pPr>
    <w:rPr>
      <w:rFonts w:eastAsia="Times New Roman" w:cs="Arial"/>
      <w:lang w:eastAsia="cs-CZ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B556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B556B7"/>
    <w:rPr>
      <w:rFonts w:ascii="Tahoma" w:hAnsi="Tahoma" w:cs="Tahoma"/>
      <w:sz w:val="16"/>
      <w:szCs w:val="16"/>
    </w:rPr>
  </w:style>
  <w:style w:type="paragraph" w:styleId="Bezriadkovania">
    <w:name w:val="No Spacing"/>
    <w:uiPriority w:val="1"/>
    <w:qFormat/>
    <w:rsid w:val="00990258"/>
    <w:pPr>
      <w:spacing w:after="0" w:line="240" w:lineRule="auto"/>
    </w:pPr>
    <w:rPr>
      <w:rFonts w:ascii="Arial" w:hAnsi="Arial"/>
      <w:sz w:val="20"/>
    </w:rPr>
  </w:style>
  <w:style w:type="paragraph" w:styleId="Zkladntext3">
    <w:name w:val="Body Text 3"/>
    <w:basedOn w:val="Normlny"/>
    <w:link w:val="Zkladntext3Char"/>
    <w:rsid w:val="00B634C4"/>
    <w:pPr>
      <w:spacing w:line="240" w:lineRule="auto"/>
    </w:pPr>
    <w:rPr>
      <w:rFonts w:eastAsia="Times New Roman" w:cs="Times New Roman"/>
      <w:szCs w:val="20"/>
      <w:lang w:eastAsia="cs-CZ"/>
    </w:rPr>
  </w:style>
  <w:style w:type="character" w:customStyle="1" w:styleId="Zkladntext3Char">
    <w:name w:val="Základný text 3 Char"/>
    <w:basedOn w:val="Predvolenpsmoodseku"/>
    <w:link w:val="Zkladntext3"/>
    <w:rsid w:val="00B634C4"/>
    <w:rPr>
      <w:rFonts w:ascii="Arial" w:eastAsia="Times New Roman" w:hAnsi="Arial" w:cs="Times New Roman"/>
      <w:szCs w:val="20"/>
      <w:lang w:eastAsia="cs-CZ"/>
    </w:rPr>
  </w:style>
  <w:style w:type="character" w:styleId="Odkaznakomentr">
    <w:name w:val="annotation reference"/>
    <w:basedOn w:val="Predvolenpsmoodseku"/>
    <w:uiPriority w:val="99"/>
    <w:semiHidden/>
    <w:unhideWhenUsed/>
    <w:rsid w:val="00C97D14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C97D14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C97D14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C97D14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C97D14"/>
    <w:rPr>
      <w:b/>
      <w:bCs/>
      <w:sz w:val="20"/>
      <w:szCs w:val="20"/>
    </w:rPr>
  </w:style>
  <w:style w:type="paragraph" w:styleId="Revzia">
    <w:name w:val="Revision"/>
    <w:hidden/>
    <w:uiPriority w:val="99"/>
    <w:semiHidden/>
    <w:rsid w:val="0045741C"/>
    <w:pPr>
      <w:spacing w:after="0" w:line="240" w:lineRule="auto"/>
    </w:pPr>
  </w:style>
  <w:style w:type="character" w:customStyle="1" w:styleId="Nadpis1Char">
    <w:name w:val="Nadpis 1 Char"/>
    <w:basedOn w:val="Predvolenpsmoodseku"/>
    <w:link w:val="Nadpis1"/>
    <w:rsid w:val="000A6CAF"/>
    <w:rPr>
      <w:rFonts w:ascii="Arial" w:eastAsia="Times New Roman" w:hAnsi="Arial" w:cs="Times New Roman"/>
      <w:b/>
      <w:bCs/>
      <w:sz w:val="28"/>
      <w:szCs w:val="28"/>
      <w:u w:val="single"/>
      <w:lang w:val="x-none" w:eastAsia="x-none"/>
    </w:rPr>
  </w:style>
  <w:style w:type="character" w:customStyle="1" w:styleId="Nadpis2Char">
    <w:name w:val="Nadpis 2 Char"/>
    <w:basedOn w:val="Predvolenpsmoodseku"/>
    <w:link w:val="Nadpis2"/>
    <w:rsid w:val="00A60628"/>
    <w:rPr>
      <w:rFonts w:ascii="Arial" w:eastAsia="Calibri" w:hAnsi="Arial" w:cs="Times New Roman"/>
      <w:bCs/>
      <w:i/>
      <w:sz w:val="24"/>
      <w:szCs w:val="28"/>
      <w:lang w:val="x-none" w:eastAsia="x-none"/>
    </w:rPr>
  </w:style>
  <w:style w:type="paragraph" w:styleId="Obsah1">
    <w:name w:val="toc 1"/>
    <w:basedOn w:val="Normlny"/>
    <w:next w:val="Normlny"/>
    <w:autoRedefine/>
    <w:uiPriority w:val="39"/>
    <w:unhideWhenUsed/>
    <w:qFormat/>
    <w:rsid w:val="00542358"/>
    <w:pPr>
      <w:tabs>
        <w:tab w:val="left" w:pos="440"/>
        <w:tab w:val="right" w:leader="dot" w:pos="9062"/>
      </w:tabs>
      <w:spacing w:after="240" w:line="240" w:lineRule="auto"/>
    </w:pPr>
    <w:rPr>
      <w:rFonts w:eastAsia="Calibri" w:cs="Times New Roman"/>
      <w:noProof/>
    </w:rPr>
  </w:style>
  <w:style w:type="character" w:styleId="Hypertextovprepojenie">
    <w:name w:val="Hyperlink"/>
    <w:uiPriority w:val="99"/>
    <w:unhideWhenUsed/>
    <w:rsid w:val="00A151A5"/>
    <w:rPr>
      <w:rFonts w:ascii="Arial" w:hAnsi="Arial"/>
      <w:color w:val="0000FF"/>
      <w:sz w:val="18"/>
      <w:u w:val="single"/>
    </w:rPr>
  </w:style>
  <w:style w:type="paragraph" w:styleId="Obsah2">
    <w:name w:val="toc 2"/>
    <w:basedOn w:val="Normlny"/>
    <w:next w:val="Normlny"/>
    <w:autoRedefine/>
    <w:uiPriority w:val="39"/>
    <w:unhideWhenUsed/>
    <w:qFormat/>
    <w:rsid w:val="00542358"/>
    <w:pPr>
      <w:tabs>
        <w:tab w:val="left" w:pos="851"/>
        <w:tab w:val="right" w:leader="dot" w:pos="9062"/>
      </w:tabs>
      <w:spacing w:after="120" w:line="240" w:lineRule="auto"/>
      <w:ind w:left="850" w:hanging="629"/>
    </w:pPr>
    <w:rPr>
      <w:rFonts w:eastAsia="Times New Roman" w:cs="Times New Roman"/>
      <w:noProof/>
      <w:sz w:val="20"/>
      <w:lang w:eastAsia="sk-SK"/>
    </w:rPr>
  </w:style>
  <w:style w:type="paragraph" w:styleId="Nzov">
    <w:name w:val="Title"/>
    <w:basedOn w:val="Normlny"/>
    <w:next w:val="Normlny"/>
    <w:link w:val="NzovChar"/>
    <w:uiPriority w:val="99"/>
    <w:qFormat/>
    <w:rsid w:val="00A151A5"/>
    <w:pPr>
      <w:spacing w:after="300" w:line="240" w:lineRule="auto"/>
      <w:contextualSpacing/>
      <w:jc w:val="center"/>
    </w:pPr>
    <w:rPr>
      <w:rFonts w:eastAsia="Times New Roman" w:cs="Times New Roman"/>
      <w:spacing w:val="5"/>
      <w:kern w:val="28"/>
      <w:sz w:val="48"/>
      <w:szCs w:val="52"/>
      <w:lang w:val="x-none" w:eastAsia="x-none"/>
    </w:rPr>
  </w:style>
  <w:style w:type="character" w:customStyle="1" w:styleId="NzovChar">
    <w:name w:val="Názov Char"/>
    <w:basedOn w:val="Predvolenpsmoodseku"/>
    <w:link w:val="Nzov"/>
    <w:uiPriority w:val="99"/>
    <w:rsid w:val="00A151A5"/>
    <w:rPr>
      <w:rFonts w:ascii="Arial" w:eastAsia="Times New Roman" w:hAnsi="Arial" w:cs="Times New Roman"/>
      <w:spacing w:val="5"/>
      <w:kern w:val="28"/>
      <w:sz w:val="48"/>
      <w:szCs w:val="52"/>
      <w:lang w:val="x-none" w:eastAsia="x-none"/>
    </w:rPr>
  </w:style>
  <w:style w:type="paragraph" w:styleId="Hlavika">
    <w:name w:val="header"/>
    <w:basedOn w:val="Normlny"/>
    <w:link w:val="HlavikaChar"/>
    <w:uiPriority w:val="99"/>
    <w:unhideWhenUsed/>
    <w:rsid w:val="00A151A5"/>
    <w:pPr>
      <w:tabs>
        <w:tab w:val="center" w:pos="4536"/>
        <w:tab w:val="right" w:pos="9072"/>
      </w:tabs>
      <w:spacing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A151A5"/>
    <w:rPr>
      <w:rFonts w:ascii="Arial" w:hAnsi="Arial"/>
    </w:rPr>
  </w:style>
  <w:style w:type="paragraph" w:styleId="Pta">
    <w:name w:val="footer"/>
    <w:basedOn w:val="Normlny"/>
    <w:link w:val="PtaChar"/>
    <w:uiPriority w:val="99"/>
    <w:unhideWhenUsed/>
    <w:rsid w:val="00A151A5"/>
    <w:pPr>
      <w:tabs>
        <w:tab w:val="center" w:pos="4536"/>
        <w:tab w:val="right" w:pos="9072"/>
      </w:tabs>
      <w:spacing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A151A5"/>
    <w:rPr>
      <w:rFonts w:ascii="Arial" w:hAnsi="Arial"/>
    </w:rPr>
  </w:style>
  <w:style w:type="paragraph" w:styleId="Popis">
    <w:name w:val="caption"/>
    <w:basedOn w:val="Normlny"/>
    <w:next w:val="Normlny"/>
    <w:uiPriority w:val="99"/>
    <w:unhideWhenUsed/>
    <w:qFormat/>
    <w:rsid w:val="00293AE1"/>
    <w:pPr>
      <w:spacing w:line="240" w:lineRule="auto"/>
    </w:pPr>
    <w:rPr>
      <w:rFonts w:eastAsia="Calibri" w:cs="Times New Roman"/>
      <w:b/>
      <w:bCs/>
      <w:sz w:val="18"/>
      <w:szCs w:val="18"/>
    </w:rPr>
  </w:style>
  <w:style w:type="paragraph" w:customStyle="1" w:styleId="popis2">
    <w:name w:val="popis 2"/>
    <w:basedOn w:val="Popis"/>
    <w:next w:val="Normlny"/>
    <w:qFormat/>
    <w:rsid w:val="00BD4C2E"/>
    <w:pPr>
      <w:spacing w:line="480" w:lineRule="auto"/>
      <w:jc w:val="left"/>
    </w:pPr>
    <w:rPr>
      <w:sz w:val="20"/>
    </w:rPr>
  </w:style>
  <w:style w:type="character" w:customStyle="1" w:styleId="Nadpis3Char">
    <w:name w:val="Nadpis 3 Char"/>
    <w:basedOn w:val="Predvolenpsmoodseku"/>
    <w:link w:val="Nadpis3"/>
    <w:rsid w:val="00A10674"/>
    <w:rPr>
      <w:rFonts w:ascii="Arial" w:eastAsia="Times New Roman" w:hAnsi="Arial" w:cs="Times New Roman"/>
      <w:szCs w:val="20"/>
      <w:u w:val="single"/>
      <w:lang w:eastAsia="cs-CZ"/>
    </w:rPr>
  </w:style>
  <w:style w:type="character" w:customStyle="1" w:styleId="Nadpis4Char">
    <w:name w:val="Nadpis 4 Char"/>
    <w:basedOn w:val="Predvolenpsmoodseku"/>
    <w:link w:val="Nadpis4"/>
    <w:rsid w:val="00BB27BD"/>
    <w:rPr>
      <w:rFonts w:ascii="Arial" w:eastAsia="Times New Roman" w:hAnsi="Arial" w:cs="Times New Roman"/>
      <w:b/>
      <w:szCs w:val="20"/>
      <w:lang w:eastAsia="cs-CZ"/>
    </w:rPr>
  </w:style>
  <w:style w:type="character" w:customStyle="1" w:styleId="Nadpis5Char">
    <w:name w:val="Nadpis 5 Char"/>
    <w:basedOn w:val="Predvolenpsmoodseku"/>
    <w:link w:val="Nadpis5"/>
    <w:rsid w:val="00BB27BD"/>
    <w:rPr>
      <w:rFonts w:ascii="Arial" w:eastAsia="Times New Roman" w:hAnsi="Arial" w:cs="Times New Roman"/>
      <w:sz w:val="24"/>
      <w:szCs w:val="20"/>
      <w:lang w:eastAsia="cs-CZ"/>
    </w:rPr>
  </w:style>
  <w:style w:type="character" w:customStyle="1" w:styleId="Nadpis6Char">
    <w:name w:val="Nadpis 6 Char"/>
    <w:basedOn w:val="Predvolenpsmoodseku"/>
    <w:link w:val="Nadpis6"/>
    <w:rsid w:val="00BB27BD"/>
    <w:rPr>
      <w:rFonts w:ascii="Arial" w:eastAsia="Times New Roman" w:hAnsi="Arial" w:cs="Arial"/>
      <w:b/>
      <w:bCs/>
      <w:sz w:val="24"/>
      <w:szCs w:val="20"/>
      <w:lang w:eastAsia="cs-CZ"/>
    </w:rPr>
  </w:style>
  <w:style w:type="character" w:customStyle="1" w:styleId="Nadpis7Char">
    <w:name w:val="Nadpis 7 Char"/>
    <w:basedOn w:val="Predvolenpsmoodseku"/>
    <w:link w:val="Nadpis7"/>
    <w:rsid w:val="00BB27BD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Nadpis8Char">
    <w:name w:val="Nadpis 8 Char"/>
    <w:basedOn w:val="Predvolenpsmoodseku"/>
    <w:link w:val="Nadpis8"/>
    <w:rsid w:val="00BB27BD"/>
    <w:rPr>
      <w:rFonts w:ascii="Times New Roman" w:eastAsia="Times New Roman" w:hAnsi="Times New Roman" w:cs="Times New Roman"/>
      <w:i/>
      <w:iCs/>
      <w:sz w:val="24"/>
      <w:szCs w:val="24"/>
      <w:lang w:eastAsia="cs-CZ"/>
    </w:rPr>
  </w:style>
  <w:style w:type="character" w:customStyle="1" w:styleId="Nadpis9Char">
    <w:name w:val="Nadpis 9 Char"/>
    <w:basedOn w:val="Predvolenpsmoodseku"/>
    <w:link w:val="Nadpis9"/>
    <w:rsid w:val="00BB27BD"/>
    <w:rPr>
      <w:rFonts w:ascii="Arial" w:eastAsia="Times New Roman" w:hAnsi="Arial" w:cs="Arial"/>
      <w:lang w:eastAsia="cs-CZ"/>
    </w:rPr>
  </w:style>
  <w:style w:type="paragraph" w:styleId="Obsah3">
    <w:name w:val="toc 3"/>
    <w:basedOn w:val="Normlny"/>
    <w:next w:val="Normlny"/>
    <w:autoRedefine/>
    <w:uiPriority w:val="39"/>
    <w:unhideWhenUsed/>
    <w:rsid w:val="00542358"/>
    <w:pPr>
      <w:tabs>
        <w:tab w:val="left" w:pos="1320"/>
        <w:tab w:val="right" w:leader="dot" w:pos="9062"/>
      </w:tabs>
      <w:spacing w:after="60" w:line="240" w:lineRule="auto"/>
      <w:ind w:left="442"/>
    </w:pPr>
    <w:rPr>
      <w:sz w:val="18"/>
    </w:rPr>
  </w:style>
  <w:style w:type="numbering" w:customStyle="1" w:styleId="tl1">
    <w:name w:val="Štýl1"/>
    <w:uiPriority w:val="99"/>
    <w:rsid w:val="00A60628"/>
    <w:pPr>
      <w:numPr>
        <w:numId w:val="6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chart" Target="charts/chart2.xml"/><Relationship Id="rId26" Type="http://schemas.openxmlformats.org/officeDocument/2006/relationships/chart" Target="charts/chart10.xml"/><Relationship Id="rId39" Type="http://schemas.openxmlformats.org/officeDocument/2006/relationships/chart" Target="charts/chart23.xml"/><Relationship Id="rId21" Type="http://schemas.openxmlformats.org/officeDocument/2006/relationships/chart" Target="charts/chart5.xml"/><Relationship Id="rId34" Type="http://schemas.openxmlformats.org/officeDocument/2006/relationships/chart" Target="charts/chart18.xml"/><Relationship Id="rId42" Type="http://schemas.openxmlformats.org/officeDocument/2006/relationships/chart" Target="charts/chart26.xml"/><Relationship Id="rId47" Type="http://schemas.openxmlformats.org/officeDocument/2006/relationships/chart" Target="charts/chart31.xml"/><Relationship Id="rId50" Type="http://schemas.openxmlformats.org/officeDocument/2006/relationships/chart" Target="charts/chart34.xml"/><Relationship Id="rId55" Type="http://schemas.openxmlformats.org/officeDocument/2006/relationships/hyperlink" Target="http://www.nrsr.sk" TargetMode="External"/><Relationship Id="rId63" Type="http://schemas.openxmlformats.org/officeDocument/2006/relationships/chart" Target="charts/chart44.xml"/><Relationship Id="rId68" Type="http://schemas.openxmlformats.org/officeDocument/2006/relationships/chart" Target="charts/chart49.xml"/><Relationship Id="rId76" Type="http://schemas.openxmlformats.org/officeDocument/2006/relationships/chart" Target="charts/chart57.xml"/><Relationship Id="rId7" Type="http://schemas.openxmlformats.org/officeDocument/2006/relationships/footnotes" Target="footnotes.xml"/><Relationship Id="rId71" Type="http://schemas.openxmlformats.org/officeDocument/2006/relationships/chart" Target="charts/chart52.xml"/><Relationship Id="rId2" Type="http://schemas.openxmlformats.org/officeDocument/2006/relationships/numbering" Target="numbering.xml"/><Relationship Id="rId16" Type="http://schemas.openxmlformats.org/officeDocument/2006/relationships/hyperlink" Target="http://www.vlada.gov.sk" TargetMode="External"/><Relationship Id="rId29" Type="http://schemas.openxmlformats.org/officeDocument/2006/relationships/chart" Target="charts/chart13.xml"/><Relationship Id="rId11" Type="http://schemas.openxmlformats.org/officeDocument/2006/relationships/image" Target="media/image3.jpeg"/><Relationship Id="rId24" Type="http://schemas.openxmlformats.org/officeDocument/2006/relationships/chart" Target="charts/chart8.xml"/><Relationship Id="rId32" Type="http://schemas.openxmlformats.org/officeDocument/2006/relationships/chart" Target="charts/chart16.xml"/><Relationship Id="rId37" Type="http://schemas.openxmlformats.org/officeDocument/2006/relationships/chart" Target="charts/chart21.xml"/><Relationship Id="rId40" Type="http://schemas.openxmlformats.org/officeDocument/2006/relationships/chart" Target="charts/chart24.xml"/><Relationship Id="rId45" Type="http://schemas.openxmlformats.org/officeDocument/2006/relationships/chart" Target="charts/chart29.xml"/><Relationship Id="rId53" Type="http://schemas.openxmlformats.org/officeDocument/2006/relationships/hyperlink" Target="http://www.nrsr.sk" TargetMode="External"/><Relationship Id="rId58" Type="http://schemas.openxmlformats.org/officeDocument/2006/relationships/chart" Target="charts/chart39.xml"/><Relationship Id="rId66" Type="http://schemas.openxmlformats.org/officeDocument/2006/relationships/chart" Target="charts/chart47.xml"/><Relationship Id="rId74" Type="http://schemas.openxmlformats.org/officeDocument/2006/relationships/chart" Target="charts/chart55.xml"/><Relationship Id="rId79" Type="http://schemas.openxmlformats.org/officeDocument/2006/relationships/footer" Target="footer2.xml"/><Relationship Id="rId5" Type="http://schemas.openxmlformats.org/officeDocument/2006/relationships/settings" Target="settings.xml"/><Relationship Id="rId61" Type="http://schemas.openxmlformats.org/officeDocument/2006/relationships/chart" Target="charts/chart42.xml"/><Relationship Id="rId82" Type="http://schemas.microsoft.com/office/2011/relationships/commentsExtended" Target="commentsExtended.xml"/><Relationship Id="rId10" Type="http://schemas.openxmlformats.org/officeDocument/2006/relationships/image" Target="media/image2.png"/><Relationship Id="rId19" Type="http://schemas.openxmlformats.org/officeDocument/2006/relationships/chart" Target="charts/chart3.xml"/><Relationship Id="rId31" Type="http://schemas.openxmlformats.org/officeDocument/2006/relationships/chart" Target="charts/chart15.xml"/><Relationship Id="rId44" Type="http://schemas.openxmlformats.org/officeDocument/2006/relationships/chart" Target="charts/chart28.xml"/><Relationship Id="rId52" Type="http://schemas.openxmlformats.org/officeDocument/2006/relationships/chart" Target="charts/chart36.xml"/><Relationship Id="rId60" Type="http://schemas.openxmlformats.org/officeDocument/2006/relationships/chart" Target="charts/chart41.xml"/><Relationship Id="rId65" Type="http://schemas.openxmlformats.org/officeDocument/2006/relationships/chart" Target="charts/chart46.xml"/><Relationship Id="rId73" Type="http://schemas.openxmlformats.org/officeDocument/2006/relationships/chart" Target="charts/chart54.xml"/><Relationship Id="rId78" Type="http://schemas.openxmlformats.org/officeDocument/2006/relationships/footer" Target="footer1.xml"/><Relationship Id="rId8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chart" Target="charts/chart6.xml"/><Relationship Id="rId27" Type="http://schemas.openxmlformats.org/officeDocument/2006/relationships/chart" Target="charts/chart11.xml"/><Relationship Id="rId30" Type="http://schemas.openxmlformats.org/officeDocument/2006/relationships/chart" Target="charts/chart14.xml"/><Relationship Id="rId35" Type="http://schemas.openxmlformats.org/officeDocument/2006/relationships/chart" Target="charts/chart19.xml"/><Relationship Id="rId43" Type="http://schemas.openxmlformats.org/officeDocument/2006/relationships/chart" Target="charts/chart27.xml"/><Relationship Id="rId48" Type="http://schemas.openxmlformats.org/officeDocument/2006/relationships/chart" Target="charts/chart32.xml"/><Relationship Id="rId56" Type="http://schemas.openxmlformats.org/officeDocument/2006/relationships/hyperlink" Target="http://www.nrsr.sk" TargetMode="External"/><Relationship Id="rId64" Type="http://schemas.openxmlformats.org/officeDocument/2006/relationships/chart" Target="charts/chart45.xml"/><Relationship Id="rId69" Type="http://schemas.openxmlformats.org/officeDocument/2006/relationships/chart" Target="charts/chart50.xml"/><Relationship Id="rId77" Type="http://schemas.openxmlformats.org/officeDocument/2006/relationships/hyperlink" Target="http://www.nrsr.sk" TargetMode="External"/><Relationship Id="rId8" Type="http://schemas.openxmlformats.org/officeDocument/2006/relationships/endnotes" Target="endnotes.xml"/><Relationship Id="rId51" Type="http://schemas.openxmlformats.org/officeDocument/2006/relationships/chart" Target="charts/chart35.xml"/><Relationship Id="rId72" Type="http://schemas.openxmlformats.org/officeDocument/2006/relationships/chart" Target="charts/chart53.xml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chart" Target="charts/chart1.xml"/><Relationship Id="rId25" Type="http://schemas.openxmlformats.org/officeDocument/2006/relationships/chart" Target="charts/chart9.xml"/><Relationship Id="rId33" Type="http://schemas.openxmlformats.org/officeDocument/2006/relationships/chart" Target="charts/chart17.xml"/><Relationship Id="rId38" Type="http://schemas.openxmlformats.org/officeDocument/2006/relationships/chart" Target="charts/chart22.xml"/><Relationship Id="rId46" Type="http://schemas.openxmlformats.org/officeDocument/2006/relationships/chart" Target="charts/chart30.xml"/><Relationship Id="rId59" Type="http://schemas.openxmlformats.org/officeDocument/2006/relationships/chart" Target="charts/chart40.xml"/><Relationship Id="rId67" Type="http://schemas.openxmlformats.org/officeDocument/2006/relationships/chart" Target="charts/chart48.xml"/><Relationship Id="rId20" Type="http://schemas.openxmlformats.org/officeDocument/2006/relationships/chart" Target="charts/chart4.xml"/><Relationship Id="rId41" Type="http://schemas.openxmlformats.org/officeDocument/2006/relationships/chart" Target="charts/chart25.xml"/><Relationship Id="rId54" Type="http://schemas.openxmlformats.org/officeDocument/2006/relationships/chart" Target="charts/chart37.xml"/><Relationship Id="rId62" Type="http://schemas.openxmlformats.org/officeDocument/2006/relationships/chart" Target="charts/chart43.xml"/><Relationship Id="rId70" Type="http://schemas.openxmlformats.org/officeDocument/2006/relationships/chart" Target="charts/chart51.xml"/><Relationship Id="rId75" Type="http://schemas.openxmlformats.org/officeDocument/2006/relationships/chart" Target="charts/chart56.xml"/><Relationship Id="rId83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www.nsrr.sk" TargetMode="External"/><Relationship Id="rId23" Type="http://schemas.openxmlformats.org/officeDocument/2006/relationships/chart" Target="charts/chart7.xml"/><Relationship Id="rId28" Type="http://schemas.openxmlformats.org/officeDocument/2006/relationships/chart" Target="charts/chart12.xml"/><Relationship Id="rId36" Type="http://schemas.openxmlformats.org/officeDocument/2006/relationships/chart" Target="charts/chart20.xml"/><Relationship Id="rId49" Type="http://schemas.openxmlformats.org/officeDocument/2006/relationships/chart" Target="charts/chart33.xml"/><Relationship Id="rId57" Type="http://schemas.openxmlformats.org/officeDocument/2006/relationships/chart" Target="charts/chart38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0.xlsx"/><Relationship Id="rId1" Type="http://schemas.openxmlformats.org/officeDocument/2006/relationships/themeOverride" Target="../theme/themeOverride10.xm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1.xlsx"/><Relationship Id="rId1" Type="http://schemas.openxmlformats.org/officeDocument/2006/relationships/themeOverride" Target="../theme/themeOverride11.xm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2.xlsx"/><Relationship Id="rId1" Type="http://schemas.openxmlformats.org/officeDocument/2006/relationships/themeOverride" Target="../theme/themeOverride12.xm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3.xlsx"/><Relationship Id="rId1" Type="http://schemas.openxmlformats.org/officeDocument/2006/relationships/themeOverride" Target="../theme/themeOverride13.xm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4.xlsx"/><Relationship Id="rId1" Type="http://schemas.openxmlformats.org/officeDocument/2006/relationships/themeOverride" Target="../theme/themeOverride14.xm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5.xlsx"/><Relationship Id="rId1" Type="http://schemas.openxmlformats.org/officeDocument/2006/relationships/themeOverride" Target="../theme/themeOverride15.xm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6.xlsx"/><Relationship Id="rId1" Type="http://schemas.openxmlformats.org/officeDocument/2006/relationships/themeOverride" Target="../theme/themeOverride16.xm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7.xlsx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8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9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0.xlsx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1.xlsx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2.xlsx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3.xlsx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4.xlsx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5.xlsx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6.xlsx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7.xlsx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8.xlsx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9.xlsx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3.xm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0.xlsx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1.xlsx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2.xlsx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3.xlsx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4.xlsx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5.xlsx"/></Relationships>
</file>

<file path=word/charts/_rels/chart3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6.xlsx"/></Relationships>
</file>

<file path=word/charts/_rels/chart3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7.xlsx"/></Relationships>
</file>

<file path=word/charts/_rels/chart3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8.xlsx"/></Relationships>
</file>

<file path=word/charts/_rels/chart3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9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.xlsx"/><Relationship Id="rId1" Type="http://schemas.openxmlformats.org/officeDocument/2006/relationships/themeOverride" Target="../theme/themeOverride4.xml"/></Relationships>
</file>

<file path=word/charts/_rels/chart4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0.xlsx"/></Relationships>
</file>

<file path=word/charts/_rels/chart4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1.xlsx"/></Relationships>
</file>

<file path=word/charts/_rels/chart4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2.xlsx"/></Relationships>
</file>

<file path=word/charts/_rels/chart4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3.xlsx"/></Relationships>
</file>

<file path=word/charts/_rels/chart4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4.xlsx"/></Relationships>
</file>

<file path=word/charts/_rels/chart4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5.xlsx"/></Relationships>
</file>

<file path=word/charts/_rels/chart4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6.xlsx"/></Relationships>
</file>

<file path=word/charts/_rels/chart4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7.xlsx"/></Relationships>
</file>

<file path=word/charts/_rels/chart4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8.xlsx"/></Relationships>
</file>

<file path=word/charts/_rels/chart4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9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5.xml"/></Relationships>
</file>

<file path=word/charts/_rels/chart5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0.xlsx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1.xlsx"/></Relationships>
</file>

<file path=word/charts/_rels/chart5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2.xlsx"/></Relationships>
</file>

<file path=word/charts/_rels/chart5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3.xlsx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4.xlsx"/></Relationships>
</file>

<file path=word/charts/_rels/chart5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5.xlsx"/></Relationships>
</file>

<file path=word/charts/_rels/chart5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6.xlsx"/></Relationships>
</file>

<file path=word/charts/_rels/chart5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7.xlsx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.xlsx"/><Relationship Id="rId1" Type="http://schemas.openxmlformats.org/officeDocument/2006/relationships/themeOverride" Target="../theme/themeOverride6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.xlsx"/><Relationship Id="rId1" Type="http://schemas.openxmlformats.org/officeDocument/2006/relationships/themeOverride" Target="../theme/themeOverride7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.xlsx"/><Relationship Id="rId1" Type="http://schemas.openxmlformats.org/officeDocument/2006/relationships/themeOverride" Target="../theme/themeOverride8.xm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9.xlsx"/><Relationship Id="rId1" Type="http://schemas.openxmlformats.org/officeDocument/2006/relationships/themeOverride" Target="../theme/themeOverrid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4.634899174188592E-2"/>
          <c:y val="2.0056028349991605E-2"/>
          <c:w val="0.93934206516868324"/>
          <c:h val="0.7691160638818451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Hárok1!$A$4</c:f>
              <c:strCache>
                <c:ptCount val="1"/>
                <c:pt idx="0">
                  <c:v>Stav ku koncu obdobia spolu (v tis.)</c:v>
                </c:pt>
              </c:strCache>
            </c:strRef>
          </c:tx>
          <c:spPr>
            <a:solidFill>
              <a:schemeClr val="accent2"/>
            </a:solidFill>
          </c:spPr>
          <c:invertIfNegative val="0"/>
          <c:dLbls>
            <c:txPr>
              <a:bodyPr/>
              <a:lstStyle/>
              <a:p>
                <a:pPr>
                  <a:defRPr sz="900"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Hárok1!$B$1:$L$1</c:f>
              <c:numCache>
                <c:formatCode>General</c:formatCod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numCache>
            </c:numRef>
          </c:cat>
          <c:val>
            <c:numRef>
              <c:f>Hárok1!$B$4:$L$4</c:f>
              <c:numCache>
                <c:formatCode>#,##0</c:formatCode>
                <c:ptCount val="11"/>
                <c:pt idx="0">
                  <c:v>5380053</c:v>
                </c:pt>
                <c:pt idx="1">
                  <c:v>5384822</c:v>
                </c:pt>
                <c:pt idx="2">
                  <c:v>5389180</c:v>
                </c:pt>
                <c:pt idx="3">
                  <c:v>5393637</c:v>
                </c:pt>
                <c:pt idx="4">
                  <c:v>5400998</c:v>
                </c:pt>
                <c:pt idx="5">
                  <c:v>5412254</c:v>
                </c:pt>
                <c:pt idx="6">
                  <c:v>5424925</c:v>
                </c:pt>
                <c:pt idx="7">
                  <c:v>5435273</c:v>
                </c:pt>
                <c:pt idx="8">
                  <c:v>5404322</c:v>
                </c:pt>
                <c:pt idx="9">
                  <c:v>5410836</c:v>
                </c:pt>
                <c:pt idx="10">
                  <c:v>5415949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2"/>
        <c:overlap val="-33"/>
        <c:axId val="108607360"/>
        <c:axId val="108608896"/>
      </c:barChart>
      <c:lineChart>
        <c:grouping val="standard"/>
        <c:varyColors val="0"/>
        <c:ser>
          <c:idx val="1"/>
          <c:order val="1"/>
          <c:tx>
            <c:strRef>
              <c:f>Hárok1!$A$5</c:f>
              <c:strCache>
                <c:ptCount val="1"/>
                <c:pt idx="0">
                  <c:v>podiel ženy</c:v>
                </c:pt>
              </c:strCache>
            </c:strRef>
          </c:tx>
          <c:spPr>
            <a:ln>
              <a:solidFill>
                <a:schemeClr val="accent1"/>
              </a:solidFill>
            </a:ln>
          </c:spPr>
          <c:marker>
            <c:symbol val="circle"/>
            <c:size val="7"/>
            <c:spPr>
              <a:solidFill>
                <a:sysClr val="window" lastClr="FFFFFF"/>
              </a:solidFill>
              <a:ln>
                <a:solidFill>
                  <a:schemeClr val="accent1"/>
                </a:solidFill>
              </a:ln>
            </c:spPr>
          </c:marker>
          <c:dLbls>
            <c:spPr>
              <a:solidFill>
                <a:schemeClr val="bg1"/>
              </a:solidFill>
            </c:spPr>
            <c:txPr>
              <a:bodyPr/>
              <a:lstStyle/>
              <a:p>
                <a:pPr>
                  <a:defRPr sz="800"/>
                </a:pPr>
                <a:endParaRPr lang="sk-SK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Hárok1!$B$1:$L$1</c:f>
              <c:numCache>
                <c:formatCode>General</c:formatCod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numCache>
            </c:numRef>
          </c:cat>
          <c:val>
            <c:numRef>
              <c:f>Hárok1!$B$5:$L$5</c:f>
              <c:numCache>
                <c:formatCode>0.0%</c:formatCode>
                <c:ptCount val="11"/>
                <c:pt idx="0">
                  <c:v>0.51468401486988846</c:v>
                </c:pt>
                <c:pt idx="1">
                  <c:v>0.51457753017641594</c:v>
                </c:pt>
                <c:pt idx="2">
                  <c:v>0.51456670996474296</c:v>
                </c:pt>
                <c:pt idx="3">
                  <c:v>0.51446051167964402</c:v>
                </c:pt>
                <c:pt idx="4">
                  <c:v>0.51434919459359374</c:v>
                </c:pt>
                <c:pt idx="5">
                  <c:v>0.51404286770140428</c:v>
                </c:pt>
                <c:pt idx="6">
                  <c:v>0.51391705069124427</c:v>
                </c:pt>
                <c:pt idx="7">
                  <c:v>0.51389144434222633</c:v>
                </c:pt>
                <c:pt idx="8">
                  <c:v>0.5131384159881569</c:v>
                </c:pt>
                <c:pt idx="9">
                  <c:v>0.51284420624653482</c:v>
                </c:pt>
                <c:pt idx="10">
                  <c:v>0.51274002954209752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1045632"/>
        <c:axId val="111044096"/>
      </c:lineChart>
      <c:catAx>
        <c:axId val="10860736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sk-SK"/>
          </a:p>
        </c:txPr>
        <c:crossAx val="108608896"/>
        <c:crosses val="autoZero"/>
        <c:auto val="1"/>
        <c:lblAlgn val="ctr"/>
        <c:lblOffset val="100"/>
        <c:noMultiLvlLbl val="0"/>
      </c:catAx>
      <c:valAx>
        <c:axId val="108608896"/>
        <c:scaling>
          <c:orientation val="minMax"/>
          <c:max val="5500000"/>
          <c:min val="5000000"/>
        </c:scaling>
        <c:delete val="0"/>
        <c:axPos val="l"/>
        <c:numFmt formatCode="#,##0" sourceLinked="1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sk-SK"/>
          </a:p>
        </c:txPr>
        <c:crossAx val="108607360"/>
        <c:crosses val="autoZero"/>
        <c:crossBetween val="between"/>
        <c:majorUnit val="100000"/>
        <c:dispUnits>
          <c:builtInUnit val="thousands"/>
          <c:dispUnitsLbl/>
        </c:dispUnits>
      </c:valAx>
      <c:valAx>
        <c:axId val="111044096"/>
        <c:scaling>
          <c:orientation val="minMax"/>
          <c:max val="0.65000000000000013"/>
          <c:min val="0.45"/>
        </c:scaling>
        <c:delete val="0"/>
        <c:axPos val="r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700"/>
            </a:pPr>
            <a:endParaRPr lang="sk-SK"/>
          </a:p>
        </c:txPr>
        <c:crossAx val="111045632"/>
        <c:crosses val="max"/>
        <c:crossBetween val="between"/>
      </c:valAx>
      <c:catAx>
        <c:axId val="11104563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11044096"/>
        <c:crosses val="autoZero"/>
        <c:auto val="1"/>
        <c:lblAlgn val="ctr"/>
        <c:lblOffset val="100"/>
        <c:noMultiLvlLbl val="0"/>
      </c:catAx>
    </c:plotArea>
    <c:legend>
      <c:legendPos val="b"/>
      <c:layout>
        <c:manualLayout>
          <c:xMode val="edge"/>
          <c:yMode val="edge"/>
          <c:x val="0.10284541141419326"/>
          <c:y val="0.90206697092799704"/>
          <c:w val="0.76773898493212989"/>
          <c:h val="7.2455322065633515E-2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1800588820920714"/>
          <c:y val="0"/>
          <c:w val="0.63521511129567221"/>
          <c:h val="1"/>
        </c:manualLayout>
      </c:layout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3"/>
              </a:solidFill>
            </c:spPr>
          </c:dPt>
          <c:dPt>
            <c:idx val="2"/>
            <c:bubble3D val="0"/>
            <c:spPr>
              <a:solidFill>
                <a:schemeClr val="accent1"/>
              </a:solidFill>
            </c:spPr>
          </c:dPt>
          <c:dPt>
            <c:idx val="3"/>
            <c:bubble3D val="0"/>
            <c:spPr>
              <a:solidFill>
                <a:schemeClr val="accent5"/>
              </a:solidFill>
            </c:spPr>
          </c:dPt>
          <c:dLbls>
            <c:dLbl>
              <c:idx val="0"/>
              <c:layout>
                <c:manualLayout>
                  <c:x val="-8.3822935594588359E-3"/>
                  <c:y val="-1.3567534827377346E-4"/>
                </c:manualLayout>
              </c:layout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8.6975402113197389E-2"/>
                  <c:y val="-5.6433192004845548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solidFill>
                        <a:schemeClr val="tx1"/>
                      </a:solidFill>
                    </a:defRPr>
                  </a:pPr>
                  <a:endParaRPr lang="sk-SK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7.2032101756511185E-3"/>
                  <c:y val="-0.17555065616797899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solidFill>
                        <a:schemeClr val="tx1"/>
                      </a:solidFill>
                    </a:defRPr>
                  </a:pPr>
                  <a:endParaRPr lang="sk-SK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2.3418971667003165E-2"/>
                  <c:y val="5.4636139713305068E-2"/>
                </c:manualLayout>
              </c:layout>
              <c:spPr/>
              <c:txPr>
                <a:bodyPr/>
                <a:lstStyle/>
                <a:p>
                  <a:pPr>
                    <a:defRPr sz="900" b="1">
                      <a:solidFill>
                        <a:schemeClr val="tx1"/>
                      </a:solidFill>
                    </a:defRPr>
                  </a:pPr>
                  <a:endParaRPr lang="sk-SK"/>
                </a:p>
              </c:txPr>
              <c:dLblPos val="bestFit"/>
              <c:showLegendKey val="1"/>
              <c:showVal val="1"/>
              <c:showCatName val="1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900" b="1">
                    <a:solidFill>
                      <a:sysClr val="windowText" lastClr="000000"/>
                    </a:solidFill>
                  </a:defRPr>
                </a:pPr>
                <a:endParaRPr lang="sk-SK"/>
              </a:p>
            </c:txPr>
            <c:dLblPos val="outEnd"/>
            <c:showLegendKey val="1"/>
            <c:showVal val="1"/>
            <c:showCatName val="1"/>
            <c:showSerName val="0"/>
            <c:showPercent val="0"/>
            <c:showBubbleSize val="0"/>
            <c:showLeaderLines val="1"/>
          </c:dLbls>
          <c:cat>
            <c:strRef>
              <c:f>harok11!$A$72:$A$75</c:f>
              <c:strCache>
                <c:ptCount val="4"/>
                <c:pt idx="0">
                  <c:v>Základné a bez vzdelania</c:v>
                </c:pt>
                <c:pt idx="1">
                  <c:v>Nižšie stredné</c:v>
                </c:pt>
                <c:pt idx="2">
                  <c:v>Úplné stredné</c:v>
                </c:pt>
                <c:pt idx="3">
                  <c:v>Vysokoškolské</c:v>
                </c:pt>
              </c:strCache>
            </c:strRef>
          </c:cat>
          <c:val>
            <c:numRef>
              <c:f>harok11!$B$72:$B$75</c:f>
              <c:numCache>
                <c:formatCode>0.0%</c:formatCode>
                <c:ptCount val="4"/>
                <c:pt idx="0">
                  <c:v>5.8372923802158139E-2</c:v>
                </c:pt>
                <c:pt idx="1">
                  <c:v>0.31178875262401945</c:v>
                </c:pt>
                <c:pt idx="2">
                  <c:v>0.43509004529886203</c:v>
                </c:pt>
                <c:pt idx="3">
                  <c:v>0.19474827827496038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82"/>
      </c:pieChart>
    </c:plotArea>
    <c:plotVisOnly val="1"/>
    <c:dispBlanksAs val="gap"/>
    <c:showDLblsOverMax val="0"/>
  </c:chart>
  <c:externalData r:id="rId2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harok11!$A$80</c:f>
              <c:strCache>
                <c:ptCount val="1"/>
                <c:pt idx="0">
                  <c:v>podiel vysokoškolsky vzdelaných</c:v>
                </c:pt>
              </c:strCache>
            </c:strRef>
          </c:tx>
          <c:spPr>
            <a:ln>
              <a:solidFill>
                <a:schemeClr val="accent5"/>
              </a:solidFill>
            </a:ln>
          </c:spPr>
          <c:marker>
            <c:symbol val="circle"/>
            <c:size val="7"/>
            <c:spPr>
              <a:solidFill>
                <a:schemeClr val="bg1"/>
              </a:solidFill>
              <a:ln>
                <a:solidFill>
                  <a:schemeClr val="accent5"/>
                </a:solidFill>
              </a:ln>
            </c:spPr>
          </c:marker>
          <c:dLbls>
            <c:txPr>
              <a:bodyPr/>
              <a:lstStyle/>
              <a:p>
                <a:pPr>
                  <a:defRPr sz="900"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harok11!$B$79:$L$79</c:f>
              <c:strCach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strCache>
            </c:strRef>
          </c:cat>
          <c:val>
            <c:numRef>
              <c:f>harok11!$B$80:$L$80</c:f>
              <c:numCache>
                <c:formatCode>0.0%</c:formatCode>
                <c:ptCount val="11"/>
                <c:pt idx="0">
                  <c:v>0.11661984663275378</c:v>
                </c:pt>
                <c:pt idx="1">
                  <c:v>0.12438877604754382</c:v>
                </c:pt>
                <c:pt idx="2">
                  <c:v>0.13671240125486639</c:v>
                </c:pt>
                <c:pt idx="3">
                  <c:v>0.14279795088142233</c:v>
                </c:pt>
                <c:pt idx="4">
                  <c:v>0.1441567265589612</c:v>
                </c:pt>
                <c:pt idx="5">
                  <c:v>0.14915279429250891</c:v>
                </c:pt>
                <c:pt idx="6">
                  <c:v>0.15799256505576209</c:v>
                </c:pt>
                <c:pt idx="7">
                  <c:v>0.17613153519305375</c:v>
                </c:pt>
                <c:pt idx="8">
                  <c:v>0.18223880597014924</c:v>
                </c:pt>
                <c:pt idx="9">
                  <c:v>0.18481433585811935</c:v>
                </c:pt>
                <c:pt idx="10">
                  <c:v>0.19474827827496038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6483456"/>
        <c:axId val="146493440"/>
      </c:lineChart>
      <c:catAx>
        <c:axId val="146483456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46493440"/>
        <c:crosses val="autoZero"/>
        <c:auto val="1"/>
        <c:lblAlgn val="ctr"/>
        <c:lblOffset val="100"/>
        <c:noMultiLvlLbl val="0"/>
      </c:catAx>
      <c:valAx>
        <c:axId val="146493440"/>
        <c:scaling>
          <c:orientation val="minMax"/>
        </c:scaling>
        <c:delete val="0"/>
        <c:axPos val="l"/>
        <c:numFmt formatCode="0.0%" sourceLinked="1"/>
        <c:majorTickMark val="out"/>
        <c:minorTickMark val="none"/>
        <c:tickLblPos val="none"/>
        <c:crossAx val="146483456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2.4106264977747347E-2"/>
          <c:y val="5.0925925925925923E-2"/>
          <c:w val="0.97589373502225263"/>
          <c:h val="0.74849591717701958"/>
        </c:manualLayout>
      </c:layout>
      <c:lineChart>
        <c:grouping val="standard"/>
        <c:varyColors val="0"/>
        <c:ser>
          <c:idx val="0"/>
          <c:order val="0"/>
          <c:tx>
            <c:strRef>
              <c:f>Hárok7!$A$66</c:f>
              <c:strCache>
                <c:ptCount val="1"/>
                <c:pt idx="0">
                  <c:v>Slobodný/á</c:v>
                </c:pt>
              </c:strCache>
            </c:strRef>
          </c:tx>
          <c:spPr>
            <a:ln>
              <a:solidFill>
                <a:schemeClr val="accent5"/>
              </a:solidFill>
            </a:ln>
          </c:spPr>
          <c:marker>
            <c:symbol val="circle"/>
            <c:size val="7"/>
            <c:spPr>
              <a:solidFill>
                <a:schemeClr val="bg1"/>
              </a:solidFill>
              <a:ln>
                <a:solidFill>
                  <a:schemeClr val="accent5"/>
                </a:solidFill>
              </a:ln>
            </c:spPr>
          </c:marker>
          <c:dLbls>
            <c:dLbl>
              <c:idx val="8"/>
              <c:layout>
                <c:manualLayout>
                  <c:x val="-4.369864201757389E-2"/>
                  <c:y val="-5.7418708078156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5.5292844916124614E-2"/>
                  <c:y val="-5.27890784485272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1.6048933013808057E-2"/>
                  <c:y val="-5.27890784485272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Hárok7!$B$65:$L$65</c:f>
              <c:numCache>
                <c:formatCode>General</c:formatCod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numCache>
            </c:numRef>
          </c:cat>
          <c:val>
            <c:numRef>
              <c:f>Hárok7!$B$66:$L$66</c:f>
              <c:numCache>
                <c:formatCode>0.0%</c:formatCode>
                <c:ptCount val="11"/>
                <c:pt idx="0">
                  <c:v>0.42848704278563798</c:v>
                </c:pt>
                <c:pt idx="1">
                  <c:v>0.4280256617581788</c:v>
                </c:pt>
                <c:pt idx="2">
                  <c:v>0.42852975777390995</c:v>
                </c:pt>
                <c:pt idx="3">
                  <c:v>0.42919072974321409</c:v>
                </c:pt>
                <c:pt idx="4">
                  <c:v>0.42956783172295193</c:v>
                </c:pt>
                <c:pt idx="5">
                  <c:v>0.42990037052954277</c:v>
                </c:pt>
                <c:pt idx="6">
                  <c:v>0.43112669760411432</c:v>
                </c:pt>
                <c:pt idx="7">
                  <c:v>0.43258489499975439</c:v>
                </c:pt>
                <c:pt idx="8">
                  <c:v>0.43053208154510408</c:v>
                </c:pt>
                <c:pt idx="9">
                  <c:v>0.43134905585754219</c:v>
                </c:pt>
                <c:pt idx="10">
                  <c:v>0.43434474733790884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Hárok7!$A$67</c:f>
              <c:strCache>
                <c:ptCount val="1"/>
                <c:pt idx="0">
                  <c:v>Ženatý/Vydatá</c:v>
                </c:pt>
              </c:strCache>
            </c:strRef>
          </c:tx>
          <c:spPr>
            <a:ln>
              <a:solidFill>
                <a:schemeClr val="accent1"/>
              </a:solidFill>
            </a:ln>
          </c:spPr>
          <c:marker>
            <c:symbol val="circle"/>
            <c:size val="7"/>
            <c:spPr>
              <a:solidFill>
                <a:schemeClr val="bg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8"/>
              <c:layout>
                <c:manualLayout>
                  <c:x val="-4.6017482597284033E-2"/>
                  <c:y val="6.66783318751822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4.6017482597284033E-2"/>
                  <c:y val="6.66783318751822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1.1411251854387766E-2"/>
                  <c:y val="5.27894429862933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Hárok7!$B$65:$L$65</c:f>
              <c:numCache>
                <c:formatCode>General</c:formatCod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numCache>
            </c:numRef>
          </c:cat>
          <c:val>
            <c:numRef>
              <c:f>Hárok7!$B$67:$L$67</c:f>
              <c:numCache>
                <c:formatCode>0.0%</c:formatCode>
                <c:ptCount val="11"/>
                <c:pt idx="0">
                  <c:v>0.45111990532435275</c:v>
                </c:pt>
                <c:pt idx="1">
                  <c:v>0.45034729095966403</c:v>
                </c:pt>
                <c:pt idx="2">
                  <c:v>0.44848251496517094</c:v>
                </c:pt>
                <c:pt idx="3">
                  <c:v>0.44607970465939772</c:v>
                </c:pt>
                <c:pt idx="4">
                  <c:v>0.44443508403446919</c:v>
                </c:pt>
                <c:pt idx="5">
                  <c:v>0.44261577523893003</c:v>
                </c:pt>
                <c:pt idx="6">
                  <c:v>0.43997290285119151</c:v>
                </c:pt>
                <c:pt idx="7">
                  <c:v>0.43737729457195618</c:v>
                </c:pt>
                <c:pt idx="8">
                  <c:v>0.41896652346029717</c:v>
                </c:pt>
                <c:pt idx="9">
                  <c:v>0.41724143921567758</c:v>
                </c:pt>
                <c:pt idx="10">
                  <c:v>0.41213792818211548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Hárok7!$A$68</c:f>
              <c:strCache>
                <c:ptCount val="1"/>
                <c:pt idx="0">
                  <c:v>Rozvedený/á</c:v>
                </c:pt>
              </c:strCache>
            </c:strRef>
          </c:tx>
          <c:spPr>
            <a:ln>
              <a:solidFill>
                <a:schemeClr val="accent2"/>
              </a:solidFill>
            </a:ln>
          </c:spPr>
          <c:marker>
            <c:symbol val="circle"/>
            <c:size val="7"/>
            <c:spPr>
              <a:solidFill>
                <a:schemeClr val="bg1"/>
              </a:solidFill>
              <a:ln>
                <a:solidFill>
                  <a:schemeClr val="accent2"/>
                </a:solidFill>
              </a:ln>
            </c:spPr>
          </c:marker>
          <c:dLbls>
            <c:dLbl>
              <c:idx val="0"/>
              <c:layout>
                <c:manualLayout>
                  <c:x val="-4.3176811594202898E-2"/>
                  <c:y val="3.98035141440653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3176811594202898E-2"/>
                  <c:y val="4.90627734033245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3176811594202898E-2"/>
                  <c:y val="4.44331437736949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7814492753623275E-2"/>
                  <c:y val="-5.74187080781568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4.3176811594202898E-2"/>
                  <c:y val="-6.20483377077865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1.4251740271596485E-2"/>
                  <c:y val="-6.66779673374161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Hárok7!$B$65:$L$65</c:f>
              <c:numCache>
                <c:formatCode>General</c:formatCod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numCache>
            </c:numRef>
          </c:cat>
          <c:val>
            <c:numRef>
              <c:f>Hárok7!$B$68:$L$68</c:f>
              <c:numCache>
                <c:formatCode>0.0%</c:formatCode>
                <c:ptCount val="11"/>
                <c:pt idx="0">
                  <c:v>4.9354904124550444E-2</c:v>
                </c:pt>
                <c:pt idx="1">
                  <c:v>5.163401872893849E-2</c:v>
                </c:pt>
                <c:pt idx="2">
                  <c:v>5.402695771898508E-2</c:v>
                </c:pt>
                <c:pt idx="3">
                  <c:v>5.6755209888985858E-2</c:v>
                </c:pt>
                <c:pt idx="4">
                  <c:v>5.9164621057071307E-2</c:v>
                </c:pt>
                <c:pt idx="5">
                  <c:v>6.1722158642221893E-2</c:v>
                </c:pt>
                <c:pt idx="6">
                  <c:v>6.4365682474872926E-2</c:v>
                </c:pt>
                <c:pt idx="7">
                  <c:v>6.6815411111824555E-2</c:v>
                </c:pt>
                <c:pt idx="8">
                  <c:v>7.8636691152007596E-2</c:v>
                </c:pt>
                <c:pt idx="9">
                  <c:v>8.058089359943639E-2</c:v>
                </c:pt>
                <c:pt idx="10">
                  <c:v>8.3245614018891245E-2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Hárok7!$A$69</c:f>
              <c:strCache>
                <c:ptCount val="1"/>
                <c:pt idx="0">
                  <c:v>Ovdovený/á</c:v>
                </c:pt>
              </c:strCache>
            </c:strRef>
          </c:tx>
          <c:spPr>
            <a:ln>
              <a:solidFill>
                <a:schemeClr val="accent3"/>
              </a:solidFill>
            </a:ln>
          </c:spPr>
          <c:marker>
            <c:symbol val="circle"/>
            <c:size val="7"/>
            <c:spPr>
              <a:solidFill>
                <a:schemeClr val="bg1"/>
              </a:solidFill>
              <a:ln>
                <a:solidFill>
                  <a:schemeClr val="accent3"/>
                </a:solidFill>
              </a:ln>
            </c:spPr>
          </c:marker>
          <c:dLbls>
            <c:dLbl>
              <c:idx val="8"/>
              <c:layout>
                <c:manualLayout>
                  <c:x val="-4.5495652173913131E-2"/>
                  <c:y val="5.27894429862934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4.3176811594202898E-2"/>
                  <c:y val="4.3530183727034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1.4251740271596485E-2"/>
                  <c:y val="4.3530183727034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Hárok7!$B$65:$L$65</c:f>
              <c:numCache>
                <c:formatCode>General</c:formatCod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numCache>
            </c:numRef>
          </c:cat>
          <c:val>
            <c:numRef>
              <c:f>Hárok7!$B$69:$L$69</c:f>
              <c:numCache>
                <c:formatCode>0.0%</c:formatCode>
                <c:ptCount val="11"/>
                <c:pt idx="0">
                  <c:v>7.1038147765458817E-2</c:v>
                </c:pt>
                <c:pt idx="1">
                  <c:v>6.9993028553218664E-2</c:v>
                </c:pt>
                <c:pt idx="2">
                  <c:v>6.8960769541934017E-2</c:v>
                </c:pt>
                <c:pt idx="3">
                  <c:v>6.7974355708402323E-2</c:v>
                </c:pt>
                <c:pt idx="4">
                  <c:v>6.6832463185507562E-2</c:v>
                </c:pt>
                <c:pt idx="5">
                  <c:v>6.5761695589305308E-2</c:v>
                </c:pt>
                <c:pt idx="6">
                  <c:v>6.4534717069821237E-2</c:v>
                </c:pt>
                <c:pt idx="7">
                  <c:v>6.3222399316464881E-2</c:v>
                </c:pt>
                <c:pt idx="8">
                  <c:v>7.1864703842591166E-2</c:v>
                </c:pt>
                <c:pt idx="9">
                  <c:v>7.0828611327343874E-2</c:v>
                </c:pt>
                <c:pt idx="10">
                  <c:v>7.0271710461084477E-2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7500416"/>
        <c:axId val="147981440"/>
      </c:lineChart>
      <c:catAx>
        <c:axId val="1475004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sk-SK"/>
          </a:p>
        </c:txPr>
        <c:crossAx val="147981440"/>
        <c:crosses val="autoZero"/>
        <c:auto val="1"/>
        <c:lblAlgn val="ctr"/>
        <c:lblOffset val="100"/>
        <c:noMultiLvlLbl val="0"/>
      </c:catAx>
      <c:valAx>
        <c:axId val="147981440"/>
        <c:scaling>
          <c:orientation val="minMax"/>
        </c:scaling>
        <c:delete val="0"/>
        <c:axPos val="l"/>
        <c:numFmt formatCode="0%" sourceLinked="0"/>
        <c:majorTickMark val="out"/>
        <c:minorTickMark val="none"/>
        <c:tickLblPos val="none"/>
        <c:txPr>
          <a:bodyPr/>
          <a:lstStyle/>
          <a:p>
            <a:pPr>
              <a:defRPr sz="800"/>
            </a:pPr>
            <a:endParaRPr lang="sk-SK"/>
          </a:p>
        </c:txPr>
        <c:crossAx val="147500416"/>
        <c:crosses val="autoZero"/>
        <c:crossBetween val="between"/>
        <c:majorUnit val="0.1"/>
      </c:valAx>
    </c:plotArea>
    <c:legend>
      <c:legendPos val="b"/>
      <c:layout>
        <c:manualLayout>
          <c:xMode val="edge"/>
          <c:yMode val="edge"/>
          <c:x val="0"/>
          <c:y val="0.8932257946923301"/>
          <c:w val="0.98707474609152113"/>
          <c:h val="7.8996427529892096E-2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harok12!$A$4</c:f>
              <c:strCache>
                <c:ptCount val="1"/>
                <c:pt idx="0">
                  <c:v>Slovenská republika</c:v>
                </c:pt>
              </c:strCache>
            </c:strRef>
          </c:tx>
          <c:marker>
            <c:symbol val="circle"/>
            <c:size val="7"/>
            <c:spPr>
              <a:solidFill>
                <a:schemeClr val="bg1"/>
              </a:solidFill>
            </c:spPr>
          </c:marker>
          <c:dLbls>
            <c:numFmt formatCode="0.0&quot;%&quot;" sourceLinked="0"/>
            <c:txPr>
              <a:bodyPr/>
              <a:lstStyle/>
              <a:p>
                <a:pPr>
                  <a:defRPr sz="900"/>
                </a:pPr>
                <a:endParaRPr lang="sk-SK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harok12!$B$3:$L$3</c:f>
              <c:strCach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strCache>
            </c:strRef>
          </c:cat>
          <c:val>
            <c:numRef>
              <c:f>harok12!$B$4:$L$4</c:f>
              <c:numCache>
                <c:formatCode>General</c:formatCode>
                <c:ptCount val="11"/>
                <c:pt idx="0">
                  <c:v>15.56</c:v>
                </c:pt>
                <c:pt idx="1">
                  <c:v>13.07</c:v>
                </c:pt>
                <c:pt idx="2">
                  <c:v>11.36</c:v>
                </c:pt>
                <c:pt idx="3">
                  <c:v>9.4</c:v>
                </c:pt>
                <c:pt idx="4">
                  <c:v>7.99</c:v>
                </c:pt>
                <c:pt idx="5">
                  <c:v>8.39</c:v>
                </c:pt>
                <c:pt idx="6">
                  <c:v>12.66</c:v>
                </c:pt>
                <c:pt idx="7">
                  <c:v>12.46</c:v>
                </c:pt>
                <c:pt idx="8">
                  <c:v>13.59</c:v>
                </c:pt>
                <c:pt idx="9">
                  <c:v>14.44</c:v>
                </c:pt>
                <c:pt idx="10">
                  <c:v>13.5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7281024"/>
        <c:axId val="147282560"/>
      </c:lineChart>
      <c:catAx>
        <c:axId val="147281024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sk-SK"/>
          </a:p>
        </c:txPr>
        <c:crossAx val="147282560"/>
        <c:crosses val="autoZero"/>
        <c:auto val="1"/>
        <c:lblAlgn val="ctr"/>
        <c:lblOffset val="100"/>
        <c:noMultiLvlLbl val="0"/>
      </c:catAx>
      <c:valAx>
        <c:axId val="147282560"/>
        <c:scaling>
          <c:orientation val="minMax"/>
          <c:max val="40"/>
        </c:scaling>
        <c:delete val="0"/>
        <c:axPos val="l"/>
        <c:numFmt formatCode="General" sourceLinked="1"/>
        <c:majorTickMark val="out"/>
        <c:minorTickMark val="none"/>
        <c:tickLblPos val="none"/>
        <c:crossAx val="147281024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2.464985994397759E-2"/>
          <c:y val="4.3010752688172046E-2"/>
          <c:w val="0.90812324929971988"/>
          <c:h val="0.7024706622416000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harok12!$B$36</c:f>
              <c:strCache>
                <c:ptCount val="1"/>
                <c:pt idx="0">
                  <c:v>kraje (2013)</c:v>
                </c:pt>
              </c:strCache>
            </c:strRef>
          </c:tx>
          <c:spPr>
            <a:solidFill>
              <a:schemeClr val="accent2"/>
            </a:solidFill>
          </c:spPr>
          <c:invertIfNegative val="0"/>
          <c:dLbls>
            <c:dLbl>
              <c:idx val="1"/>
              <c:layout>
                <c:manualLayout>
                  <c:x val="-2.0541312658317972E-17"/>
                  <c:y val="-7.038123167155432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2408963585434172E-3"/>
                  <c:y val="-3.910068426197465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"/>
                  <c:y val="-2.737047898338213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-1.564027370478983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0.0&quot;%&quot;" sourceLinked="0"/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harok12!$A$37:$A$44</c:f>
              <c:strCache>
                <c:ptCount val="8"/>
                <c:pt idx="0">
                  <c:v>BA</c:v>
                </c:pt>
                <c:pt idx="1">
                  <c:v>TT</c:v>
                </c:pt>
                <c:pt idx="2">
                  <c:v>TN</c:v>
                </c:pt>
                <c:pt idx="3">
                  <c:v>NR</c:v>
                </c:pt>
                <c:pt idx="4">
                  <c:v>ZA</c:v>
                </c:pt>
                <c:pt idx="5">
                  <c:v>BB</c:v>
                </c:pt>
                <c:pt idx="6">
                  <c:v>PO</c:v>
                </c:pt>
                <c:pt idx="7">
                  <c:v>KE</c:v>
                </c:pt>
              </c:strCache>
            </c:strRef>
          </c:cat>
          <c:val>
            <c:numRef>
              <c:f>harok12!$B$37:$B$44</c:f>
              <c:numCache>
                <c:formatCode>General</c:formatCode>
                <c:ptCount val="8"/>
                <c:pt idx="0">
                  <c:v>6.17</c:v>
                </c:pt>
                <c:pt idx="1">
                  <c:v>9.16</c:v>
                </c:pt>
                <c:pt idx="2">
                  <c:v>10.74</c:v>
                </c:pt>
                <c:pt idx="3">
                  <c:v>12.52</c:v>
                </c:pt>
                <c:pt idx="4">
                  <c:v>12.51</c:v>
                </c:pt>
                <c:pt idx="5">
                  <c:v>18.260000000000002</c:v>
                </c:pt>
                <c:pt idx="6">
                  <c:v>19.350000000000001</c:v>
                </c:pt>
                <c:pt idx="7">
                  <c:v>17.23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8"/>
        <c:axId val="147820928"/>
        <c:axId val="147822464"/>
      </c:barChart>
      <c:lineChart>
        <c:grouping val="standard"/>
        <c:varyColors val="0"/>
        <c:ser>
          <c:idx val="1"/>
          <c:order val="1"/>
          <c:tx>
            <c:strRef>
              <c:f>harok12!$C$36</c:f>
              <c:strCache>
                <c:ptCount val="1"/>
                <c:pt idx="0">
                  <c:v>celá SR</c:v>
                </c:pt>
              </c:strCache>
            </c:strRef>
          </c:tx>
          <c:spPr>
            <a:ln>
              <a:solidFill>
                <a:schemeClr val="accent5"/>
              </a:solidFill>
            </a:ln>
          </c:spPr>
          <c:marker>
            <c:symbol val="none"/>
          </c:marker>
          <c:dLbls>
            <c:dLbl>
              <c:idx val="0"/>
              <c:layout>
                <c:manualLayout>
                  <c:x val="0.81641447760206443"/>
                  <c:y val="-1.0752688172043012E-2"/>
                </c:manualLayout>
              </c:layout>
              <c:numFmt formatCode="0.0&quot;%&quot;" sourceLinked="0"/>
              <c:spPr>
                <a:ln>
                  <a:solidFill>
                    <a:srgbClr val="C00000"/>
                  </a:solidFill>
                </a:ln>
              </c:spPr>
              <c:txPr>
                <a:bodyPr/>
                <a:lstStyle/>
                <a:p>
                  <a:pPr>
                    <a:defRPr sz="1050" b="1">
                      <a:solidFill>
                        <a:schemeClr val="tx1"/>
                      </a:solidFill>
                    </a:defRPr>
                  </a:pPr>
                  <a:endParaRPr lang="sk-SK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delete val="1"/>
            </c:dLbl>
            <c:dLbl>
              <c:idx val="2"/>
              <c:delete val="1"/>
            </c:dLbl>
            <c:dLbl>
              <c:idx val="3"/>
              <c:delete val="1"/>
            </c:dLbl>
            <c:dLbl>
              <c:idx val="4"/>
              <c:delete val="1"/>
            </c:dLbl>
            <c:dLbl>
              <c:idx val="5"/>
              <c:delete val="1"/>
            </c:dLbl>
            <c:dLbl>
              <c:idx val="6"/>
              <c:delete val="1"/>
            </c:dLbl>
            <c:dLbl>
              <c:idx val="7"/>
              <c:delete val="1"/>
            </c:dLbl>
            <c:numFmt formatCode="0.0&quot;%&quot;" sourceLinked="0"/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harok12!$A$37:$A$44</c:f>
              <c:strCache>
                <c:ptCount val="8"/>
                <c:pt idx="0">
                  <c:v>BA</c:v>
                </c:pt>
                <c:pt idx="1">
                  <c:v>TT</c:v>
                </c:pt>
                <c:pt idx="2">
                  <c:v>TN</c:v>
                </c:pt>
                <c:pt idx="3">
                  <c:v>NR</c:v>
                </c:pt>
                <c:pt idx="4">
                  <c:v>ZA</c:v>
                </c:pt>
                <c:pt idx="5">
                  <c:v>BB</c:v>
                </c:pt>
                <c:pt idx="6">
                  <c:v>PO</c:v>
                </c:pt>
                <c:pt idx="7">
                  <c:v>KE</c:v>
                </c:pt>
              </c:strCache>
            </c:strRef>
          </c:cat>
          <c:val>
            <c:numRef>
              <c:f>harok12!$C$37:$C$44</c:f>
              <c:numCache>
                <c:formatCode>General</c:formatCode>
                <c:ptCount val="8"/>
                <c:pt idx="0">
                  <c:v>13.5</c:v>
                </c:pt>
                <c:pt idx="1">
                  <c:v>13.5</c:v>
                </c:pt>
                <c:pt idx="2">
                  <c:v>13.5</c:v>
                </c:pt>
                <c:pt idx="3">
                  <c:v>13.5</c:v>
                </c:pt>
                <c:pt idx="4">
                  <c:v>13.5</c:v>
                </c:pt>
                <c:pt idx="5">
                  <c:v>13.5</c:v>
                </c:pt>
                <c:pt idx="6">
                  <c:v>13.5</c:v>
                </c:pt>
                <c:pt idx="7">
                  <c:v>13.5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7820928"/>
        <c:axId val="147822464"/>
      </c:lineChart>
      <c:catAx>
        <c:axId val="147820928"/>
        <c:scaling>
          <c:orientation val="minMax"/>
        </c:scaling>
        <c:delete val="0"/>
        <c:axPos val="b"/>
        <c:majorTickMark val="out"/>
        <c:minorTickMark val="none"/>
        <c:tickLblPos val="nextTo"/>
        <c:crossAx val="147822464"/>
        <c:crosses val="autoZero"/>
        <c:auto val="1"/>
        <c:lblAlgn val="ctr"/>
        <c:lblOffset val="100"/>
        <c:noMultiLvlLbl val="0"/>
      </c:catAx>
      <c:valAx>
        <c:axId val="147822464"/>
        <c:scaling>
          <c:orientation val="minMax"/>
          <c:max val="60"/>
        </c:scaling>
        <c:delete val="0"/>
        <c:axPos val="l"/>
        <c:numFmt formatCode="General" sourceLinked="1"/>
        <c:majorTickMark val="out"/>
        <c:minorTickMark val="none"/>
        <c:tickLblPos val="none"/>
        <c:crossAx val="14782092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2.8288932633420829E-2"/>
          <c:y val="0.8932257946923301"/>
          <c:w val="0.95768446591234924"/>
          <c:h val="7.8996427529892096E-2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harok15!$A$4</c:f>
              <c:strCache>
                <c:ptCount val="1"/>
                <c:pt idx="0">
                  <c:v>Slovenská republika</c:v>
                </c:pt>
              </c:strCache>
            </c:strRef>
          </c:tx>
          <c:spPr>
            <a:ln>
              <a:solidFill>
                <a:schemeClr val="tx2"/>
              </a:solidFill>
            </a:ln>
          </c:spPr>
          <c:marker>
            <c:symbol val="circle"/>
            <c:size val="7"/>
            <c:spPr>
              <a:solidFill>
                <a:schemeClr val="bg1"/>
              </a:solidFill>
              <a:ln>
                <a:solidFill>
                  <a:schemeClr val="tx2"/>
                </a:solidFill>
              </a:ln>
            </c:spPr>
          </c:marker>
          <c:dLbls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harok15!$B$3:$L$3</c:f>
              <c:numCache>
                <c:formatCode>General</c:formatCod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numCache>
            </c:numRef>
          </c:cat>
          <c:val>
            <c:numRef>
              <c:f>harok15!$B$4:$L$4</c:f>
              <c:numCache>
                <c:formatCode>General</c:formatCode>
                <c:ptCount val="11"/>
                <c:pt idx="0">
                  <c:v>477</c:v>
                </c:pt>
                <c:pt idx="1">
                  <c:v>525</c:v>
                </c:pt>
                <c:pt idx="2">
                  <c:v>573</c:v>
                </c:pt>
                <c:pt idx="3">
                  <c:v>623</c:v>
                </c:pt>
                <c:pt idx="4">
                  <c:v>669</c:v>
                </c:pt>
                <c:pt idx="5">
                  <c:v>723</c:v>
                </c:pt>
                <c:pt idx="6">
                  <c:v>744</c:v>
                </c:pt>
                <c:pt idx="7">
                  <c:v>769</c:v>
                </c:pt>
                <c:pt idx="8">
                  <c:v>786</c:v>
                </c:pt>
                <c:pt idx="9">
                  <c:v>805</c:v>
                </c:pt>
                <c:pt idx="10">
                  <c:v>824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2979328"/>
        <c:axId val="152980864"/>
      </c:lineChart>
      <c:catAx>
        <c:axId val="1529793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sk-SK"/>
          </a:p>
        </c:txPr>
        <c:crossAx val="152980864"/>
        <c:crosses val="autoZero"/>
        <c:auto val="1"/>
        <c:lblAlgn val="ctr"/>
        <c:lblOffset val="100"/>
        <c:noMultiLvlLbl val="0"/>
      </c:catAx>
      <c:valAx>
        <c:axId val="15298086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152979328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8.916850393700787E-2"/>
          <c:y val="4.5128205128205132E-2"/>
          <c:w val="0.85972038495188097"/>
          <c:h val="0.771179648697758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harok15!$B$17</c:f>
              <c:strCache>
                <c:ptCount val="1"/>
                <c:pt idx="0">
                  <c:v>kraje (2013)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dLbl>
              <c:idx val="1"/>
              <c:layout>
                <c:manualLayout>
                  <c:x val="0"/>
                  <c:y val="-7.384615384615381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4.4444444444444444E-3"/>
                  <c:y val="-7.384615384615385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2.2222222222222222E-3"/>
                  <c:y val="-7.384615384615385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0"/>
                  <c:y val="-6.9743589743589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harok15!$A$18:$A$25</c:f>
              <c:strCache>
                <c:ptCount val="8"/>
                <c:pt idx="0">
                  <c:v>BA</c:v>
                </c:pt>
                <c:pt idx="1">
                  <c:v>TT</c:v>
                </c:pt>
                <c:pt idx="2">
                  <c:v>TN</c:v>
                </c:pt>
                <c:pt idx="3">
                  <c:v>NR</c:v>
                </c:pt>
                <c:pt idx="4">
                  <c:v>ZA</c:v>
                </c:pt>
                <c:pt idx="5">
                  <c:v>BB</c:v>
                </c:pt>
                <c:pt idx="6">
                  <c:v>PO</c:v>
                </c:pt>
                <c:pt idx="7">
                  <c:v>KE</c:v>
                </c:pt>
              </c:strCache>
            </c:strRef>
          </c:cat>
          <c:val>
            <c:numRef>
              <c:f>harok15!$B$18:$B$25</c:f>
              <c:numCache>
                <c:formatCode>#,##0</c:formatCode>
                <c:ptCount val="8"/>
                <c:pt idx="0">
                  <c:v>1049</c:v>
                </c:pt>
                <c:pt idx="1">
                  <c:v>745</c:v>
                </c:pt>
                <c:pt idx="2">
                  <c:v>750</c:v>
                </c:pt>
                <c:pt idx="3">
                  <c:v>680</c:v>
                </c:pt>
                <c:pt idx="4">
                  <c:v>732</c:v>
                </c:pt>
                <c:pt idx="5">
                  <c:v>706</c:v>
                </c:pt>
                <c:pt idx="6">
                  <c:v>636</c:v>
                </c:pt>
                <c:pt idx="7">
                  <c:v>758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6"/>
        <c:axId val="182891648"/>
        <c:axId val="182893184"/>
      </c:barChart>
      <c:lineChart>
        <c:grouping val="standard"/>
        <c:varyColors val="0"/>
        <c:ser>
          <c:idx val="1"/>
          <c:order val="1"/>
          <c:tx>
            <c:strRef>
              <c:f>harok15!$C$17</c:f>
              <c:strCache>
                <c:ptCount val="1"/>
                <c:pt idx="0">
                  <c:v>celá SR</c:v>
                </c:pt>
              </c:strCache>
            </c:strRef>
          </c:tx>
          <c:spPr>
            <a:ln>
              <a:solidFill>
                <a:schemeClr val="accent5"/>
              </a:solidFill>
            </a:ln>
          </c:spPr>
          <c:marker>
            <c:symbol val="none"/>
          </c:marker>
          <c:dLbls>
            <c:dLbl>
              <c:idx val="0"/>
              <c:delete val="1"/>
            </c:dLbl>
            <c:dLbl>
              <c:idx val="1"/>
              <c:delete val="1"/>
            </c:dLbl>
            <c:dLbl>
              <c:idx val="2"/>
              <c:delete val="1"/>
            </c:dLbl>
            <c:dLbl>
              <c:idx val="3"/>
              <c:delete val="1"/>
            </c:dLbl>
            <c:dLbl>
              <c:idx val="4"/>
              <c:delete val="1"/>
            </c:dLbl>
            <c:dLbl>
              <c:idx val="5"/>
              <c:delete val="1"/>
            </c:dLbl>
            <c:dLbl>
              <c:idx val="6"/>
              <c:delete val="1"/>
            </c:dLbl>
            <c:dLbl>
              <c:idx val="7"/>
              <c:layout>
                <c:manualLayout>
                  <c:x val="3.5911111111111109E-2"/>
                  <c:y val="-3.0769230769230769E-3"/>
                </c:manualLayout>
              </c:layout>
              <c:spPr>
                <a:ln>
                  <a:solidFill>
                    <a:srgbClr val="C00000"/>
                  </a:solidFill>
                </a:ln>
              </c:spPr>
              <c:txPr>
                <a:bodyPr/>
                <a:lstStyle/>
                <a:p>
                  <a:pPr>
                    <a:defRPr sz="1050" b="1">
                      <a:solidFill>
                        <a:schemeClr val="tx1"/>
                      </a:solidFill>
                    </a:defRPr>
                  </a:pPr>
                  <a:endParaRPr lang="sk-SK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harok15!$A$18:$A$25</c:f>
              <c:strCache>
                <c:ptCount val="8"/>
                <c:pt idx="0">
                  <c:v>BA</c:v>
                </c:pt>
                <c:pt idx="1">
                  <c:v>TT</c:v>
                </c:pt>
                <c:pt idx="2">
                  <c:v>TN</c:v>
                </c:pt>
                <c:pt idx="3">
                  <c:v>NR</c:v>
                </c:pt>
                <c:pt idx="4">
                  <c:v>ZA</c:v>
                </c:pt>
                <c:pt idx="5">
                  <c:v>BB</c:v>
                </c:pt>
                <c:pt idx="6">
                  <c:v>PO</c:v>
                </c:pt>
                <c:pt idx="7">
                  <c:v>KE</c:v>
                </c:pt>
              </c:strCache>
            </c:strRef>
          </c:cat>
          <c:val>
            <c:numRef>
              <c:f>harok15!$C$18:$C$25</c:f>
              <c:numCache>
                <c:formatCode>General</c:formatCode>
                <c:ptCount val="8"/>
                <c:pt idx="0">
                  <c:v>824</c:v>
                </c:pt>
                <c:pt idx="1">
                  <c:v>824</c:v>
                </c:pt>
                <c:pt idx="2">
                  <c:v>824</c:v>
                </c:pt>
                <c:pt idx="3">
                  <c:v>824</c:v>
                </c:pt>
                <c:pt idx="4">
                  <c:v>824</c:v>
                </c:pt>
                <c:pt idx="5">
                  <c:v>824</c:v>
                </c:pt>
                <c:pt idx="6">
                  <c:v>824</c:v>
                </c:pt>
                <c:pt idx="7">
                  <c:v>824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82891648"/>
        <c:axId val="182893184"/>
      </c:lineChart>
      <c:catAx>
        <c:axId val="182891648"/>
        <c:scaling>
          <c:orientation val="minMax"/>
        </c:scaling>
        <c:delete val="0"/>
        <c:axPos val="b"/>
        <c:majorTickMark val="out"/>
        <c:minorTickMark val="none"/>
        <c:tickLblPos val="nextTo"/>
        <c:crossAx val="182893184"/>
        <c:crosses val="autoZero"/>
        <c:auto val="1"/>
        <c:lblAlgn val="ctr"/>
        <c:lblOffset val="100"/>
        <c:noMultiLvlLbl val="0"/>
      </c:catAx>
      <c:valAx>
        <c:axId val="182893184"/>
        <c:scaling>
          <c:orientation val="minMax"/>
        </c:scaling>
        <c:delete val="0"/>
        <c:axPos val="l"/>
        <c:numFmt formatCode="#,##0" sourceLinked="1"/>
        <c:majorTickMark val="out"/>
        <c:minorTickMark val="none"/>
        <c:tickLblPos val="nextTo"/>
        <c:crossAx val="18289164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2.9297812773403323E-2"/>
          <c:y val="0.90538162729658789"/>
          <c:w val="0.94140437445319336"/>
          <c:h val="7.0002988088027462E-2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sk-SK" sz="1200">
                <a:latin typeface="Arial" panose="020B0604020202020204" pitchFamily="34" charset="0"/>
                <a:cs typeface="Arial" panose="020B0604020202020204" pitchFamily="34" charset="0"/>
              </a:rPr>
              <a:t>Pohlavie</a:t>
            </a:r>
          </a:p>
          <a:p>
            <a:pPr>
              <a:defRPr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8.9758858267716582E-2"/>
          <c:y val="0.32241762802905471"/>
          <c:w val="0.8174691965587636"/>
          <c:h val="0.3729493188351457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muž</c:v>
                </c:pt>
              </c:strCache>
            </c:strRef>
          </c:tx>
          <c:invertIfNegative val="0"/>
          <c:dPt>
            <c:idx val="0"/>
            <c:invertIfNegative val="0"/>
            <c:bubble3D val="0"/>
            <c:spPr>
              <a:solidFill>
                <a:srgbClr val="004186"/>
              </a:solidFill>
            </c:spPr>
          </c:dPt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Hárok1!$A$2</c:f>
              <c:numCache>
                <c:formatCode>General</c:formatCode>
                <c:ptCount val="1"/>
              </c:numCache>
            </c:numRef>
          </c:cat>
          <c:val>
            <c:numRef>
              <c:f>Hárok1!$B$2</c:f>
              <c:numCache>
                <c:formatCode>General</c:formatCode>
                <c:ptCount val="1"/>
                <c:pt idx="0">
                  <c:v>46.400000000000006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žena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Hárok1!$A$2</c:f>
              <c:numCache>
                <c:formatCode>General</c:formatCode>
                <c:ptCount val="1"/>
              </c:numCache>
            </c:numRef>
          </c:cat>
          <c:val>
            <c:numRef>
              <c:f>Hárok1!$C$2</c:f>
              <c:numCache>
                <c:formatCode>General</c:formatCode>
                <c:ptCount val="1"/>
                <c:pt idx="0">
                  <c:v>53.6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47266560"/>
        <c:axId val="161040256"/>
      </c:barChart>
      <c:catAx>
        <c:axId val="14726656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161040256"/>
        <c:crosses val="autoZero"/>
        <c:auto val="1"/>
        <c:lblAlgn val="ctr"/>
        <c:lblOffset val="100"/>
        <c:noMultiLvlLbl val="0"/>
      </c:catAx>
      <c:valAx>
        <c:axId val="161040256"/>
        <c:scaling>
          <c:orientation val="minMax"/>
          <c:max val="100"/>
        </c:scaling>
        <c:delete val="0"/>
        <c:axPos val="b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47266560"/>
        <c:crosses val="autoZero"/>
        <c:crossBetween val="between"/>
        <c:majorUnit val="20"/>
      </c:valAx>
      <c:spPr>
        <a:noFill/>
      </c:spPr>
    </c:plotArea>
    <c:legend>
      <c:legendPos val="r"/>
      <c:layout>
        <c:manualLayout>
          <c:xMode val="edge"/>
          <c:yMode val="edge"/>
          <c:x val="0.22514472149314668"/>
          <c:y val="0.86497222730879586"/>
          <c:w val="0.52948490813648297"/>
          <c:h val="0.10764466941632299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sk-SK" sz="1200">
                <a:latin typeface="Arial" panose="020B0604020202020204" pitchFamily="34" charset="0"/>
                <a:cs typeface="Arial" panose="020B0604020202020204" pitchFamily="34" charset="0"/>
              </a:rPr>
              <a:t>Vek</a:t>
            </a:r>
          </a:p>
          <a:p>
            <a:pPr>
              <a:defRPr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8.9758858267716582E-2"/>
          <c:y val="0.2976114264786669"/>
          <c:w val="0.8174691965587636"/>
          <c:h val="0.3729493188351457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15 - 29 rokov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Hárok1!$B$2</c:f>
              <c:numCache>
                <c:formatCode>General</c:formatCode>
                <c:ptCount val="1"/>
                <c:pt idx="0">
                  <c:v>22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30 - 39 rokov</c:v>
                </c:pt>
              </c:strCache>
            </c:strRef>
          </c:tx>
          <c:spPr>
            <a:solidFill>
              <a:srgbClr val="0087C8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Hárok1!$C$2</c:f>
              <c:numCache>
                <c:formatCode>General</c:formatCode>
                <c:ptCount val="1"/>
                <c:pt idx="0">
                  <c:v>19.2</c:v>
                </c:pt>
              </c:numCache>
            </c:numRef>
          </c:val>
        </c:ser>
        <c:ser>
          <c:idx val="2"/>
          <c:order val="2"/>
          <c:tx>
            <c:strRef>
              <c:f>Hárok1!$D$1</c:f>
              <c:strCache>
                <c:ptCount val="1"/>
                <c:pt idx="0">
                  <c:v>40 - 49 rokov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Hárok1!$D$2</c:f>
              <c:numCache>
                <c:formatCode>General</c:formatCode>
                <c:ptCount val="1"/>
                <c:pt idx="0">
                  <c:v>19.8</c:v>
                </c:pt>
              </c:numCache>
            </c:numRef>
          </c:val>
        </c:ser>
        <c:ser>
          <c:idx val="3"/>
          <c:order val="3"/>
          <c:tx>
            <c:strRef>
              <c:f>Hárok1!$E$1</c:f>
              <c:strCache>
                <c:ptCount val="1"/>
                <c:pt idx="0">
                  <c:v>50 - 59 rokov</c:v>
                </c:pt>
              </c:strCache>
            </c:strRef>
          </c:tx>
          <c:spPr>
            <a:solidFill>
              <a:srgbClr val="CDC3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Hárok1!$E$2</c:f>
              <c:numCache>
                <c:formatCode>General</c:formatCode>
                <c:ptCount val="1"/>
                <c:pt idx="0">
                  <c:v>13.8</c:v>
                </c:pt>
              </c:numCache>
            </c:numRef>
          </c:val>
        </c:ser>
        <c:ser>
          <c:idx val="4"/>
          <c:order val="4"/>
          <c:tx>
            <c:strRef>
              <c:f>Hárok1!$F$1</c:f>
              <c:strCache>
                <c:ptCount val="1"/>
                <c:pt idx="0">
                  <c:v>60 - 69 rokov</c:v>
                </c:pt>
              </c:strCache>
            </c:strRef>
          </c:tx>
          <c:spPr>
            <a:solidFill>
              <a:srgbClr val="B50F22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Hárok1!$F$2</c:f>
              <c:numCache>
                <c:formatCode>General</c:formatCode>
                <c:ptCount val="1"/>
                <c:pt idx="0">
                  <c:v>16.8</c:v>
                </c:pt>
              </c:numCache>
            </c:numRef>
          </c:val>
        </c:ser>
        <c:ser>
          <c:idx val="5"/>
          <c:order val="5"/>
          <c:tx>
            <c:strRef>
              <c:f>Hárok1!$G$1</c:f>
              <c:strCache>
                <c:ptCount val="1"/>
                <c:pt idx="0">
                  <c:v>70 - 79 rokov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Hárok1!$G$2</c:f>
              <c:numCache>
                <c:formatCode>General</c:formatCode>
                <c:ptCount val="1"/>
                <c:pt idx="0">
                  <c:v>8.4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83128448"/>
        <c:axId val="183129984"/>
      </c:barChart>
      <c:catAx>
        <c:axId val="18312844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one"/>
        <c:crossAx val="183129984"/>
        <c:crosses val="autoZero"/>
        <c:auto val="1"/>
        <c:lblAlgn val="ctr"/>
        <c:lblOffset val="100"/>
        <c:noMultiLvlLbl val="0"/>
      </c:catAx>
      <c:valAx>
        <c:axId val="183129984"/>
        <c:scaling>
          <c:orientation val="minMax"/>
          <c:max val="100"/>
        </c:scaling>
        <c:delete val="0"/>
        <c:axPos val="b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83128448"/>
        <c:crosses val="autoZero"/>
        <c:crossBetween val="between"/>
        <c:majorUnit val="20"/>
      </c:valAx>
      <c:spPr>
        <a:noFill/>
      </c:spPr>
    </c:plotArea>
    <c:legend>
      <c:legendPos val="r"/>
      <c:layout>
        <c:manualLayout>
          <c:xMode val="edge"/>
          <c:yMode val="edge"/>
          <c:x val="0.1256076844561097"/>
          <c:y val="0.84016602575840782"/>
          <c:w val="0.71749416739574223"/>
          <c:h val="0.1598339742415919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sk-SK" sz="1200">
                <a:latin typeface="Arial" panose="020B0604020202020204" pitchFamily="34" charset="0"/>
                <a:cs typeface="Arial" panose="020B0604020202020204" pitchFamily="34" charset="0"/>
              </a:rPr>
              <a:t>Vzdelanie</a:t>
            </a:r>
          </a:p>
          <a:p>
            <a:pPr>
              <a:defRPr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8.9758858267716582E-2"/>
          <c:y val="0.32241762802905471"/>
          <c:w val="0.8174691965587636"/>
          <c:h val="0.3729493188351457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nižšie ako vysokoškolské vzdelanie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Hárok1!$B$2</c:f>
              <c:numCache>
                <c:formatCode>General</c:formatCode>
                <c:ptCount val="1"/>
                <c:pt idx="0">
                  <c:v>66.600000000000009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vysokoškolské vzdelanie</c:v>
                </c:pt>
              </c:strCache>
            </c:strRef>
          </c:tx>
          <c:invertIfNegative val="0"/>
          <c:dPt>
            <c:idx val="0"/>
            <c:invertIfNegative val="0"/>
            <c:bubble3D val="0"/>
            <c:spPr>
              <a:solidFill>
                <a:srgbClr val="E31B19"/>
              </a:solidFill>
            </c:spPr>
          </c:dPt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Hárok1!$C$2</c:f>
              <c:numCache>
                <c:formatCode>General</c:formatCode>
                <c:ptCount val="1"/>
                <c:pt idx="0">
                  <c:v>33.4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83150464"/>
        <c:axId val="183157888"/>
      </c:barChart>
      <c:catAx>
        <c:axId val="18315046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one"/>
        <c:crossAx val="183157888"/>
        <c:crosses val="autoZero"/>
        <c:auto val="1"/>
        <c:lblAlgn val="ctr"/>
        <c:lblOffset val="100"/>
        <c:noMultiLvlLbl val="0"/>
      </c:catAx>
      <c:valAx>
        <c:axId val="183157888"/>
        <c:scaling>
          <c:orientation val="minMax"/>
          <c:max val="100"/>
        </c:scaling>
        <c:delete val="0"/>
        <c:axPos val="b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83150464"/>
        <c:crosses val="autoZero"/>
        <c:crossBetween val="between"/>
        <c:majorUnit val="20"/>
      </c:valAx>
      <c:spPr>
        <a:noFill/>
      </c:spPr>
    </c:plotArea>
    <c:legend>
      <c:legendPos val="r"/>
      <c:layout>
        <c:manualLayout>
          <c:xMode val="edge"/>
          <c:yMode val="edge"/>
          <c:x val="0.13718175853018372"/>
          <c:y val="0.86497222730879586"/>
          <c:w val="0.71467009332166831"/>
          <c:h val="0.10764466941632299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4.634899174188592E-2"/>
          <c:y val="2.0056028349991605E-2"/>
          <c:w val="0.93934206516868324"/>
          <c:h val="0.95988794330001681"/>
        </c:manualLayout>
      </c:layout>
      <c:lineChart>
        <c:grouping val="standar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Prirodzený prírastok (-úbytok) spolu</c:v>
                </c:pt>
              </c:strCache>
            </c:strRef>
          </c:tx>
          <c:marker>
            <c:symbol val="circle"/>
            <c:size val="7"/>
            <c:spPr>
              <a:solidFill>
                <a:sysClr val="window" lastClr="FFFFFF"/>
              </a:solidFill>
            </c:spPr>
          </c:marker>
          <c:dLbls>
            <c:dLbl>
              <c:idx val="0"/>
              <c:layout>
                <c:manualLayout>
                  <c:x val="-8.6720867208672087E-2"/>
                  <c:y val="3.75586854460093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1680216802168022E-3"/>
                  <c:y val="-6.25978090766823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1680216802168022E-3"/>
                  <c:y val="-5.00782472613458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2.9126213592233011E-2"/>
                  <c:y val="4.494382022471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1.1019283746556474E-2"/>
                  <c:y val="4.86111111111111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Hárok1!$B$1:$L$1</c:f>
              <c:numCache>
                <c:formatCode>General</c:formatCod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numCache>
            </c:numRef>
          </c:cat>
          <c:val>
            <c:numRef>
              <c:f>Hárok1!$B$2:$L$2</c:f>
              <c:numCache>
                <c:formatCode>#,##0</c:formatCode>
                <c:ptCount val="11"/>
                <c:pt idx="0" formatCode="General">
                  <c:v>-517</c:v>
                </c:pt>
                <c:pt idx="1">
                  <c:v>1895</c:v>
                </c:pt>
                <c:pt idx="2" formatCode="General">
                  <c:v>955</c:v>
                </c:pt>
                <c:pt idx="3" formatCode="General">
                  <c:v>603</c:v>
                </c:pt>
                <c:pt idx="4" formatCode="General">
                  <c:v>568</c:v>
                </c:pt>
                <c:pt idx="5">
                  <c:v>4196</c:v>
                </c:pt>
                <c:pt idx="6">
                  <c:v>8304</c:v>
                </c:pt>
                <c:pt idx="7">
                  <c:v>6965</c:v>
                </c:pt>
                <c:pt idx="8">
                  <c:v>8910</c:v>
                </c:pt>
                <c:pt idx="9">
                  <c:v>3098</c:v>
                </c:pt>
                <c:pt idx="10">
                  <c:v>2734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Celkový prírastok (-úbytok) spolu</c:v>
                </c:pt>
              </c:strCache>
            </c:strRef>
          </c:tx>
          <c:spPr>
            <a:ln>
              <a:solidFill>
                <a:schemeClr val="accent3"/>
              </a:solidFill>
            </a:ln>
          </c:spPr>
          <c:marker>
            <c:symbol val="circle"/>
            <c:size val="7"/>
            <c:spPr>
              <a:solidFill>
                <a:sysClr val="window" lastClr="FFFFFF"/>
              </a:solidFill>
              <a:ln>
                <a:solidFill>
                  <a:schemeClr val="accent3"/>
                </a:solidFill>
              </a:ln>
            </c:spPr>
          </c:marker>
          <c:dLbls>
            <c:dLbl>
              <c:idx val="0"/>
              <c:layout>
                <c:manualLayout>
                  <c:x val="-3.9024390243902432E-2"/>
                  <c:y val="-6.25978090766823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9024390243902439E-2"/>
                  <c:y val="-6.25978090766823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2520325203252036E-2"/>
                  <c:y val="-8.13771517996870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0"/>
                  <c:y val="-4.16666666666666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Hárok1!$B$1:$L$1</c:f>
              <c:numCache>
                <c:formatCode>General</c:formatCod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numCache>
            </c:numRef>
          </c:cat>
          <c:val>
            <c:numRef>
              <c:f>Hárok1!$B$3:$L$3</c:f>
              <c:numCache>
                <c:formatCode>#,##0</c:formatCode>
                <c:ptCount val="11"/>
                <c:pt idx="0" formatCode="General">
                  <c:v>892</c:v>
                </c:pt>
                <c:pt idx="1">
                  <c:v>4769</c:v>
                </c:pt>
                <c:pt idx="2">
                  <c:v>4358</c:v>
                </c:pt>
                <c:pt idx="3">
                  <c:v>4457</c:v>
                </c:pt>
                <c:pt idx="4">
                  <c:v>7361</c:v>
                </c:pt>
                <c:pt idx="5">
                  <c:v>11256</c:v>
                </c:pt>
                <c:pt idx="6">
                  <c:v>12671</c:v>
                </c:pt>
                <c:pt idx="7">
                  <c:v>10348</c:v>
                </c:pt>
                <c:pt idx="8">
                  <c:v>11876</c:v>
                </c:pt>
                <c:pt idx="9">
                  <c:v>6514</c:v>
                </c:pt>
                <c:pt idx="10">
                  <c:v>5113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1640960"/>
        <c:axId val="111642496"/>
      </c:lineChart>
      <c:catAx>
        <c:axId val="11164096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sk-SK"/>
          </a:p>
        </c:txPr>
        <c:crossAx val="111642496"/>
        <c:crosses val="autoZero"/>
        <c:auto val="1"/>
        <c:lblAlgn val="ctr"/>
        <c:lblOffset val="100"/>
        <c:noMultiLvlLbl val="0"/>
      </c:catAx>
      <c:valAx>
        <c:axId val="11164249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sk-SK"/>
          </a:p>
        </c:txPr>
        <c:crossAx val="111640960"/>
        <c:crosses val="autoZero"/>
        <c:crossBetween val="between"/>
        <c:majorUnit val="5000"/>
      </c:valAx>
    </c:plotArea>
    <c:legend>
      <c:legendPos val="b"/>
      <c:layout>
        <c:manualLayout>
          <c:xMode val="edge"/>
          <c:yMode val="edge"/>
          <c:x val="7.3595418291160203E-2"/>
          <c:y val="0.87195428696412947"/>
          <c:w val="0.89278601331858309"/>
          <c:h val="0.1055741469816273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sk-SK" sz="1200">
                <a:latin typeface="Arial" panose="020B0604020202020204" pitchFamily="34" charset="0"/>
                <a:cs typeface="Arial" panose="020B0604020202020204" pitchFamily="34" charset="0"/>
              </a:rPr>
              <a:t>Kraj</a:t>
            </a:r>
          </a:p>
          <a:p>
            <a:pPr>
              <a:defRPr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8.9758858267716582E-2"/>
          <c:y val="0.2976114264786669"/>
          <c:w val="0.8174691965587636"/>
          <c:h val="0.3729493188351457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Bratislavský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Hárok1!$B$2</c:f>
              <c:numCache>
                <c:formatCode>General</c:formatCode>
                <c:ptCount val="1"/>
                <c:pt idx="0">
                  <c:v>12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Trnavský</c:v>
                </c:pt>
              </c:strCache>
            </c:strRef>
          </c:tx>
          <c:spPr>
            <a:solidFill>
              <a:srgbClr val="0087C8"/>
            </a:solidFill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Hárok1!$C$2</c:f>
              <c:numCache>
                <c:formatCode>General</c:formatCode>
                <c:ptCount val="1"/>
                <c:pt idx="0">
                  <c:v>11</c:v>
                </c:pt>
              </c:numCache>
            </c:numRef>
          </c:val>
        </c:ser>
        <c:ser>
          <c:idx val="2"/>
          <c:order val="2"/>
          <c:tx>
            <c:strRef>
              <c:f>Hárok1!$D$1</c:f>
              <c:strCache>
                <c:ptCount val="1"/>
                <c:pt idx="0">
                  <c:v>Trenčiansky</c:v>
                </c:pt>
              </c:strCache>
            </c:strRef>
          </c:tx>
          <c:spPr>
            <a:solidFill>
              <a:srgbClr val="69B2FF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Hárok1!$D$2</c:f>
              <c:numCache>
                <c:formatCode>General</c:formatCode>
                <c:ptCount val="1"/>
                <c:pt idx="0">
                  <c:v>11.8</c:v>
                </c:pt>
              </c:numCache>
            </c:numRef>
          </c:val>
        </c:ser>
        <c:ser>
          <c:idx val="3"/>
          <c:order val="3"/>
          <c:tx>
            <c:strRef>
              <c:f>Hárok1!$E$1</c:f>
              <c:strCache>
                <c:ptCount val="1"/>
                <c:pt idx="0">
                  <c:v>Nitriansky 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Hárok1!$E$2</c:f>
              <c:numCache>
                <c:formatCode>General</c:formatCode>
                <c:ptCount val="1"/>
                <c:pt idx="0">
                  <c:v>10.8</c:v>
                </c:pt>
              </c:numCache>
            </c:numRef>
          </c:val>
        </c:ser>
        <c:ser>
          <c:idx val="4"/>
          <c:order val="4"/>
          <c:tx>
            <c:strRef>
              <c:f>Hárok1!$F$1</c:f>
              <c:strCache>
                <c:ptCount val="1"/>
                <c:pt idx="0">
                  <c:v>Žilinský</c:v>
                </c:pt>
              </c:strCache>
            </c:strRef>
          </c:tx>
          <c:spPr>
            <a:solidFill>
              <a:srgbClr val="CDC3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Hárok1!$F$2</c:f>
              <c:numCache>
                <c:formatCode>General</c:formatCode>
                <c:ptCount val="1"/>
                <c:pt idx="0">
                  <c:v>13.4</c:v>
                </c:pt>
              </c:numCache>
            </c:numRef>
          </c:val>
        </c:ser>
        <c:ser>
          <c:idx val="5"/>
          <c:order val="5"/>
          <c:tx>
            <c:strRef>
              <c:f>Hárok1!$G$1</c:f>
              <c:strCache>
                <c:ptCount val="1"/>
                <c:pt idx="0">
                  <c:v>Banskobystrický</c:v>
                </c:pt>
              </c:strCache>
            </c:strRef>
          </c:tx>
          <c:spPr>
            <a:solidFill>
              <a:srgbClr val="C000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Hárok1!$G$2</c:f>
              <c:numCache>
                <c:formatCode>General</c:formatCode>
                <c:ptCount val="1"/>
                <c:pt idx="0">
                  <c:v>11.200000000000001</c:v>
                </c:pt>
              </c:numCache>
            </c:numRef>
          </c:val>
        </c:ser>
        <c:ser>
          <c:idx val="6"/>
          <c:order val="6"/>
          <c:tx>
            <c:strRef>
              <c:f>Hárok1!$H$1</c:f>
              <c:strCache>
                <c:ptCount val="1"/>
                <c:pt idx="0">
                  <c:v>Prešovský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Hárok1!$H$2</c:f>
              <c:numCache>
                <c:formatCode>General</c:formatCode>
                <c:ptCount val="1"/>
                <c:pt idx="0">
                  <c:v>15.4</c:v>
                </c:pt>
              </c:numCache>
            </c:numRef>
          </c:val>
        </c:ser>
        <c:ser>
          <c:idx val="7"/>
          <c:order val="7"/>
          <c:tx>
            <c:strRef>
              <c:f>Hárok1!$I$1</c:f>
              <c:strCache>
                <c:ptCount val="1"/>
                <c:pt idx="0">
                  <c:v>Košický </c:v>
                </c:pt>
              </c:strCache>
            </c:strRef>
          </c:tx>
          <c:spPr>
            <a:solidFill>
              <a:srgbClr val="F58B9F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Hárok1!$I$2</c:f>
              <c:numCache>
                <c:formatCode>General</c:formatCode>
                <c:ptCount val="1"/>
                <c:pt idx="0">
                  <c:v>14.400000000000002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89953920"/>
        <c:axId val="189955456"/>
      </c:barChart>
      <c:catAx>
        <c:axId val="18995392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one"/>
        <c:crossAx val="189955456"/>
        <c:crosses val="autoZero"/>
        <c:auto val="1"/>
        <c:lblAlgn val="ctr"/>
        <c:lblOffset val="100"/>
        <c:noMultiLvlLbl val="0"/>
      </c:catAx>
      <c:valAx>
        <c:axId val="189955456"/>
        <c:scaling>
          <c:orientation val="minMax"/>
          <c:max val="100"/>
        </c:scaling>
        <c:delete val="0"/>
        <c:axPos val="b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89953920"/>
        <c:crosses val="autoZero"/>
        <c:crossBetween val="between"/>
        <c:majorUnit val="20"/>
      </c:valAx>
      <c:spPr>
        <a:noFill/>
      </c:spPr>
    </c:plotArea>
    <c:legend>
      <c:legendPos val="r"/>
      <c:layout>
        <c:manualLayout>
          <c:xMode val="edge"/>
          <c:yMode val="edge"/>
          <c:x val="0.13023731408573933"/>
          <c:y val="0.84016602575840782"/>
          <c:w val="0.79851268591426017"/>
          <c:h val="0.1598339742415919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sk-SK" sz="1200">
                <a:latin typeface="Arial" panose="020B0604020202020204" pitchFamily="34" charset="0"/>
                <a:cs typeface="Arial" panose="020B0604020202020204" pitchFamily="34" charset="0"/>
              </a:rPr>
              <a:t>Veľkosť sídla</a:t>
            </a:r>
          </a:p>
          <a:p>
            <a:pPr>
              <a:defRPr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8.9758858267716582E-2"/>
          <c:y val="0.28520832570347321"/>
          <c:w val="0.8174691965587636"/>
          <c:h val="0.3729493188351457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do 1999 obyvateľov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Hárok1!$B$2</c:f>
              <c:numCache>
                <c:formatCode>General</c:formatCode>
                <c:ptCount val="1"/>
                <c:pt idx="0">
                  <c:v>28.4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od 2 000 do 19 999 obyvateľov</c:v>
                </c:pt>
              </c:strCache>
            </c:strRef>
          </c:tx>
          <c:spPr>
            <a:solidFill>
              <a:srgbClr val="0087C8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Hárok1!$C$2</c:f>
              <c:numCache>
                <c:formatCode>General</c:formatCode>
                <c:ptCount val="1"/>
                <c:pt idx="0">
                  <c:v>31.8</c:v>
                </c:pt>
              </c:numCache>
            </c:numRef>
          </c:val>
        </c:ser>
        <c:ser>
          <c:idx val="2"/>
          <c:order val="2"/>
          <c:tx>
            <c:strRef>
              <c:f>Hárok1!$D$1</c:f>
              <c:strCache>
                <c:ptCount val="1"/>
                <c:pt idx="0">
                  <c:v>od 20 000 do 99 999 obyvateľov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Hárok1!$D$2</c:f>
              <c:numCache>
                <c:formatCode>General</c:formatCode>
                <c:ptCount val="1"/>
                <c:pt idx="0">
                  <c:v>26.8</c:v>
                </c:pt>
              </c:numCache>
            </c:numRef>
          </c:val>
        </c:ser>
        <c:ser>
          <c:idx val="3"/>
          <c:order val="3"/>
          <c:tx>
            <c:strRef>
              <c:f>Hárok1!$E$1</c:f>
              <c:strCache>
                <c:ptCount val="1"/>
                <c:pt idx="0">
                  <c:v>nad 100 000 obyvateľov</c:v>
                </c:pt>
              </c:strCache>
            </c:strRef>
          </c:tx>
          <c:spPr>
            <a:solidFill>
              <a:srgbClr val="CDC300"/>
            </a:solidFill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Hárok1!$E$2</c:f>
              <c:numCache>
                <c:formatCode>General</c:formatCode>
                <c:ptCount val="1"/>
                <c:pt idx="0">
                  <c:v>13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93211776"/>
        <c:axId val="193225856"/>
      </c:barChart>
      <c:catAx>
        <c:axId val="19321177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one"/>
        <c:crossAx val="193225856"/>
        <c:crosses val="autoZero"/>
        <c:auto val="1"/>
        <c:lblAlgn val="ctr"/>
        <c:lblOffset val="100"/>
        <c:noMultiLvlLbl val="0"/>
      </c:catAx>
      <c:valAx>
        <c:axId val="193225856"/>
        <c:scaling>
          <c:orientation val="minMax"/>
          <c:max val="100"/>
        </c:scaling>
        <c:delete val="0"/>
        <c:axPos val="b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211776"/>
        <c:crosses val="autoZero"/>
        <c:crossBetween val="between"/>
        <c:majorUnit val="20"/>
      </c:valAx>
      <c:spPr>
        <a:noFill/>
      </c:spPr>
    </c:plotArea>
    <c:legend>
      <c:legendPos val="r"/>
      <c:layout>
        <c:manualLayout>
          <c:xMode val="edge"/>
          <c:yMode val="edge"/>
          <c:x val="0.11866324001166527"/>
          <c:y val="0.79123648534758828"/>
          <c:w val="0.76610527850685373"/>
          <c:h val="0.20876351465241164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000"/>
            </a:pPr>
            <a:r>
              <a:rPr lang="sk-SK" sz="1000" b="1">
                <a:effectLst/>
                <a:latin typeface="Arial" panose="020B0604020202020204" pitchFamily="34" charset="0"/>
                <a:cs typeface="Arial" panose="020B0604020202020204" pitchFamily="34" charset="0"/>
              </a:rPr>
              <a:t>Viete o tom, že Európska únia poskytuje finančné prostriedky na rozvoj rôznych oblastí hospodárstva?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14342009332166819"/>
          <c:y val="1.4492753623188409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383699693788277"/>
          <c:y val="0.22110321807600136"/>
          <c:w val="0.80988243657042891"/>
          <c:h val="0.55627519287361804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počul, že EÚ poskytuje prostriedky, ale nevie o tom bližšie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Hárok1!$B$2:$D$2</c:f>
              <c:numCache>
                <c:formatCode>General</c:formatCode>
                <c:ptCount val="3"/>
                <c:pt idx="0">
                  <c:v>49</c:v>
                </c:pt>
                <c:pt idx="1">
                  <c:v>16.7</c:v>
                </c:pt>
                <c:pt idx="2">
                  <c:v>26.4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vie, že EÚ poskytuje prostriedky na regionálny rozvoj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Hárok1!$B$3:$D$3</c:f>
              <c:numCache>
                <c:formatCode>General</c:formatCode>
                <c:ptCount val="3"/>
                <c:pt idx="0">
                  <c:v>42.6</c:v>
                </c:pt>
                <c:pt idx="1">
                  <c:v>72.099999999999994</c:v>
                </c:pt>
                <c:pt idx="2">
                  <c:v>63.6</c:v>
                </c:pt>
              </c:numCache>
            </c:numRef>
          </c:val>
        </c:ser>
        <c:ser>
          <c:idx val="2"/>
          <c:order val="2"/>
          <c:tx>
            <c:strRef>
              <c:f>Hárok1!$A$4</c:f>
              <c:strCache>
                <c:ptCount val="1"/>
                <c:pt idx="0">
                  <c:v>nevie, že EÚ poskytuje prostriedky na regionálny rozvoj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Hárok1!$B$4:$D$4</c:f>
              <c:numCache>
                <c:formatCode>General</c:formatCode>
                <c:ptCount val="3"/>
                <c:pt idx="0">
                  <c:v>8.4</c:v>
                </c:pt>
                <c:pt idx="1">
                  <c:v>11.2</c:v>
                </c:pt>
                <c:pt idx="2">
                  <c:v>10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93335296"/>
        <c:axId val="193336832"/>
      </c:barChart>
      <c:catAx>
        <c:axId val="193335296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336832"/>
        <c:crosses val="autoZero"/>
        <c:auto val="1"/>
        <c:lblAlgn val="ctr"/>
        <c:lblOffset val="100"/>
        <c:noMultiLvlLbl val="0"/>
      </c:catAx>
      <c:valAx>
        <c:axId val="193336832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335296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8.0536942686085869E-2"/>
          <c:y val="0.80470086693708764"/>
          <c:w val="0.86418398221055714"/>
          <c:h val="0.19529913306291269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000"/>
            </a:pPr>
            <a:r>
              <a:rPr lang="sk-SK" sz="1000">
                <a:latin typeface="Arial" panose="020B0604020202020204" pitchFamily="34" charset="0"/>
                <a:cs typeface="Arial" panose="020B0604020202020204" pitchFamily="34" charset="0"/>
              </a:rPr>
              <a:t>Počuli ste už niekedy  o štrukturálnych fondoch Európskej únie?</a:t>
            </a:r>
          </a:p>
          <a:p>
            <a:pPr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2811533974919806"/>
          <c:y val="0.28632060938034948"/>
          <c:w val="0.82840095508894718"/>
          <c:h val="0.53203269428277977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počul, vie konkrétny názov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Hárok1!$B$2:$D$2</c:f>
              <c:numCache>
                <c:formatCode>General</c:formatCode>
                <c:ptCount val="3"/>
                <c:pt idx="0">
                  <c:v>9.8000000000000007</c:v>
                </c:pt>
                <c:pt idx="1">
                  <c:v>4</c:v>
                </c:pt>
                <c:pt idx="2">
                  <c:v>16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počul, nevie konkrétny názov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Hárok1!$B$3:$D$3</c:f>
              <c:numCache>
                <c:formatCode>General</c:formatCode>
                <c:ptCount val="3"/>
                <c:pt idx="0">
                  <c:v>64</c:v>
                </c:pt>
                <c:pt idx="1">
                  <c:v>19.8</c:v>
                </c:pt>
                <c:pt idx="2">
                  <c:v>47</c:v>
                </c:pt>
              </c:numCache>
            </c:numRef>
          </c:val>
        </c:ser>
        <c:ser>
          <c:idx val="2"/>
          <c:order val="2"/>
          <c:tx>
            <c:strRef>
              <c:f>Hárok1!$A$4</c:f>
              <c:strCache>
                <c:ptCount val="1"/>
                <c:pt idx="0">
                  <c:v>nepočul, nevie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Hárok1!$B$4:$D$4</c:f>
              <c:numCache>
                <c:formatCode>General</c:formatCode>
                <c:ptCount val="3"/>
                <c:pt idx="0">
                  <c:v>26.2</c:v>
                </c:pt>
                <c:pt idx="1">
                  <c:v>76</c:v>
                </c:pt>
                <c:pt idx="2">
                  <c:v>34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90742912"/>
        <c:axId val="190744448"/>
      </c:barChart>
      <c:catAx>
        <c:axId val="190742912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0744448"/>
        <c:crosses val="autoZero"/>
        <c:auto val="1"/>
        <c:lblAlgn val="ctr"/>
        <c:lblOffset val="100"/>
        <c:noMultiLvlLbl val="0"/>
      </c:catAx>
      <c:valAx>
        <c:axId val="190744448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0742912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0.17190398075240604"/>
          <c:y val="0.83452071208490264"/>
          <c:w val="0.59791083406240886"/>
          <c:h val="0.16547928791509761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000"/>
            </a:pP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O ktorých štrukturálnych fondoch Európskej únie ste počuli? </a:t>
            </a:r>
          </a:p>
          <a:p>
            <a:pPr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47530293088363967"/>
          <c:y val="0.1411843906755392"/>
          <c:w val="0.90543215952172618"/>
          <c:h val="0.7990345512050174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2014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Hárok1!$A$2:$A$7</c:f>
              <c:strCache>
                <c:ptCount val="6"/>
                <c:pt idx="0">
                  <c:v>Európsky poľnohospodársky fond pre rozvoj vidieka</c:v>
                </c:pt>
                <c:pt idx="1">
                  <c:v>Európsky fond regionálneho rozvoja</c:v>
                </c:pt>
                <c:pt idx="2">
                  <c:v>Európsky sociálny fond</c:v>
                </c:pt>
                <c:pt idx="3">
                  <c:v>Kohézny fond</c:v>
                </c:pt>
                <c:pt idx="4">
                  <c:v>Európsky fond pre rybolov</c:v>
                </c:pt>
                <c:pt idx="5">
                  <c:v>Nevie, nepamätá si </c:v>
                </c:pt>
              </c:strCache>
            </c:strRef>
          </c:cat>
          <c:val>
            <c:numRef>
              <c:f>Hárok1!$B$2:$B$7</c:f>
              <c:numCache>
                <c:formatCode>0.0"%"</c:formatCode>
                <c:ptCount val="6"/>
                <c:pt idx="0">
                  <c:v>84.010840108401055</c:v>
                </c:pt>
                <c:pt idx="1">
                  <c:v>73.983739837398346</c:v>
                </c:pt>
                <c:pt idx="2">
                  <c:v>48.509485094850952</c:v>
                </c:pt>
                <c:pt idx="3">
                  <c:v>28.726287262872628</c:v>
                </c:pt>
                <c:pt idx="4">
                  <c:v>14.634146341463415</c:v>
                </c:pt>
                <c:pt idx="5">
                  <c:v>2.9810298102981028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2011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Hárok1!$A$2:$A$7</c:f>
              <c:strCache>
                <c:ptCount val="6"/>
                <c:pt idx="0">
                  <c:v>Európsky poľnohospodársky fond pre rozvoj vidieka</c:v>
                </c:pt>
                <c:pt idx="1">
                  <c:v>Európsky fond regionálneho rozvoja</c:v>
                </c:pt>
                <c:pt idx="2">
                  <c:v>Európsky sociálny fond</c:v>
                </c:pt>
                <c:pt idx="3">
                  <c:v>Kohézny fond</c:v>
                </c:pt>
                <c:pt idx="4">
                  <c:v>Európsky fond pre rybolov</c:v>
                </c:pt>
                <c:pt idx="5">
                  <c:v>Nevie, nepamätá si </c:v>
                </c:pt>
              </c:strCache>
            </c:strRef>
          </c:cat>
          <c:val>
            <c:numRef>
              <c:f>Hárok1!$C$2:$C$7</c:f>
              <c:numCache>
                <c:formatCode>General</c:formatCode>
                <c:ptCount val="6"/>
                <c:pt idx="0">
                  <c:v>23.5</c:v>
                </c:pt>
                <c:pt idx="1">
                  <c:v>52.9</c:v>
                </c:pt>
                <c:pt idx="2">
                  <c:v>41.2</c:v>
                </c:pt>
                <c:pt idx="3">
                  <c:v>17.600000000000001</c:v>
                </c:pt>
                <c:pt idx="4">
                  <c:v>0</c:v>
                </c:pt>
              </c:numCache>
            </c:numRef>
          </c:val>
        </c:ser>
        <c:ser>
          <c:idx val="2"/>
          <c:order val="2"/>
          <c:tx>
            <c:strRef>
              <c:f>Hárok1!$D$1</c:f>
              <c:strCache>
                <c:ptCount val="1"/>
                <c:pt idx="0">
                  <c:v>2008</c:v>
                </c:pt>
              </c:strCache>
            </c:strRef>
          </c:tx>
          <c:spPr>
            <a:solidFill>
              <a:srgbClr val="0087C8"/>
            </a:solidFill>
          </c:spPr>
          <c:invertIfNegative val="0"/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Hárok1!$A$2:$A$7</c:f>
              <c:strCache>
                <c:ptCount val="6"/>
                <c:pt idx="0">
                  <c:v>Európsky poľnohospodársky fond pre rozvoj vidieka</c:v>
                </c:pt>
                <c:pt idx="1">
                  <c:v>Európsky fond regionálneho rozvoja</c:v>
                </c:pt>
                <c:pt idx="2">
                  <c:v>Európsky sociálny fond</c:v>
                </c:pt>
                <c:pt idx="3">
                  <c:v>Kohézny fond</c:v>
                </c:pt>
                <c:pt idx="4">
                  <c:v>Európsky fond pre rybolov</c:v>
                </c:pt>
                <c:pt idx="5">
                  <c:v>Nevie, nepamätá si </c:v>
                </c:pt>
              </c:strCache>
            </c:strRef>
          </c:cat>
          <c:val>
            <c:numRef>
              <c:f>Hárok1!$D$2:$D$7</c:f>
              <c:numCache>
                <c:formatCode>General</c:formatCode>
                <c:ptCount val="6"/>
                <c:pt idx="0">
                  <c:v>50.6</c:v>
                </c:pt>
                <c:pt idx="1">
                  <c:v>49.4</c:v>
                </c:pt>
                <c:pt idx="2">
                  <c:v>24.1</c:v>
                </c:pt>
                <c:pt idx="3">
                  <c:v>3.6</c:v>
                </c:pt>
                <c:pt idx="4">
                  <c:v>2.4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93471616"/>
        <c:axId val="193473152"/>
      </c:barChart>
      <c:catAx>
        <c:axId val="193471616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473152"/>
        <c:crosses val="autoZero"/>
        <c:auto val="1"/>
        <c:lblAlgn val="ctr"/>
        <c:lblOffset val="100"/>
        <c:noMultiLvlLbl val="0"/>
      </c:catAx>
      <c:valAx>
        <c:axId val="193473152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471616"/>
        <c:crosses val="autoZero"/>
        <c:crossBetween val="between"/>
        <c:majorUnit val="20"/>
      </c:valAx>
      <c:spPr>
        <a:noFill/>
      </c:spPr>
    </c:plotArea>
    <c:legend>
      <c:legendPos val="r"/>
      <c:layout>
        <c:manualLayout>
          <c:xMode val="edge"/>
          <c:yMode val="edge"/>
          <c:x val="0.52375583260425806"/>
          <c:y val="0.92872361063562725"/>
          <c:w val="0.42429972295129775"/>
          <c:h val="7.1276389364372916E-2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000"/>
            </a:pP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Aké projekty je možné financovať z operačných programov, teda z fondov Európskej únie určených pre Slovensko?</a:t>
            </a:r>
          </a:p>
          <a:p>
            <a:pPr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47530293088363967"/>
          <c:y val="0.17199263018514077"/>
          <c:w val="0.90543215952172618"/>
          <c:h val="0.79732273689252531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2014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Hárok1!$A$2:$A$23</c:f>
              <c:strCache>
                <c:ptCount val="22"/>
                <c:pt idx="0">
                  <c:v>rozvoj obce, rozvoj regiónu</c:v>
                </c:pt>
                <c:pt idx="1">
                  <c:v>budovanie ciest, diaľnic</c:v>
                </c:pt>
                <c:pt idx="2">
                  <c:v>vzdelávanie</c:v>
                </c:pt>
                <c:pt idx="3">
                  <c:v>poľnohospodárstvo, priemysel</c:v>
                </c:pt>
                <c:pt idx="4">
                  <c:v>budovanie kanalizácie, čistiareň odpadových vôd a pod.</c:v>
                </c:pt>
                <c:pt idx="5">
                  <c:v>životné prostredie</c:v>
                </c:pt>
                <c:pt idx="6">
                  <c:v>opravy historických budov</c:v>
                </c:pt>
                <c:pt idx="7">
                  <c:v>športové projekty</c:v>
                </c:pt>
                <c:pt idx="8">
                  <c:v>pomoc v oblasti zamestnanosti</c:v>
                </c:pt>
                <c:pt idx="9">
                  <c:v>kultúra</c:v>
                </c:pt>
                <c:pt idx="10">
                  <c:v>výskum a vývoj</c:v>
                </c:pt>
                <c:pt idx="11">
                  <c:v>cestovný ruch, turizmus</c:v>
                </c:pt>
                <c:pt idx="12">
                  <c:v>práca so zdravotne postihnutými ľuďmi</c:v>
                </c:pt>
                <c:pt idx="13">
                  <c:v>zdravotníctvo</c:v>
                </c:pt>
                <c:pt idx="14">
                  <c:v>sociálna pomoc</c:v>
                </c:pt>
                <c:pt idx="15">
                  <c:v>práca s Rómami</c:v>
                </c:pt>
                <c:pt idx="16">
                  <c:v>podnikanie</c:v>
                </c:pt>
                <c:pt idx="17">
                  <c:v>podpora bývania, opravy domov</c:v>
                </c:pt>
                <c:pt idx="18">
                  <c:v>informatizácia spoločnosti</c:v>
                </c:pt>
                <c:pt idx="19">
                  <c:v>podpora zavedenia internetu</c:v>
                </c:pt>
                <c:pt idx="20">
                  <c:v>technická pomoc</c:v>
                </c:pt>
                <c:pt idx="21">
                  <c:v>iné</c:v>
                </c:pt>
              </c:strCache>
            </c:strRef>
          </c:cat>
          <c:val>
            <c:numRef>
              <c:f>Hárok1!$B$2:$B$23</c:f>
              <c:numCache>
                <c:formatCode>General</c:formatCode>
                <c:ptCount val="22"/>
                <c:pt idx="0">
                  <c:v>83.2</c:v>
                </c:pt>
                <c:pt idx="1">
                  <c:v>80.2</c:v>
                </c:pt>
                <c:pt idx="2">
                  <c:v>78.599999999999994</c:v>
                </c:pt>
                <c:pt idx="3">
                  <c:v>75.599999999999994</c:v>
                </c:pt>
                <c:pt idx="4">
                  <c:v>73</c:v>
                </c:pt>
                <c:pt idx="5">
                  <c:v>69.8</c:v>
                </c:pt>
                <c:pt idx="6">
                  <c:v>69.599999999999994</c:v>
                </c:pt>
                <c:pt idx="7">
                  <c:v>68.599999999999994</c:v>
                </c:pt>
                <c:pt idx="8">
                  <c:v>68</c:v>
                </c:pt>
                <c:pt idx="9">
                  <c:v>66</c:v>
                </c:pt>
                <c:pt idx="10">
                  <c:v>65.599999999999994</c:v>
                </c:pt>
                <c:pt idx="11">
                  <c:v>63.8</c:v>
                </c:pt>
                <c:pt idx="12">
                  <c:v>60.8</c:v>
                </c:pt>
                <c:pt idx="13">
                  <c:v>60.2</c:v>
                </c:pt>
                <c:pt idx="14">
                  <c:v>59.8</c:v>
                </c:pt>
                <c:pt idx="15">
                  <c:v>58.4</c:v>
                </c:pt>
                <c:pt idx="16">
                  <c:v>56.4</c:v>
                </c:pt>
                <c:pt idx="17">
                  <c:v>56.2</c:v>
                </c:pt>
                <c:pt idx="18">
                  <c:v>46.4</c:v>
                </c:pt>
                <c:pt idx="19">
                  <c:v>38.200000000000003</c:v>
                </c:pt>
                <c:pt idx="20">
                  <c:v>37.200000000000003</c:v>
                </c:pt>
                <c:pt idx="21">
                  <c:v>2.6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axId val="193510784"/>
        <c:axId val="193516672"/>
      </c:barChart>
      <c:catAx>
        <c:axId val="193510784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516672"/>
        <c:crosses val="autoZero"/>
        <c:auto val="1"/>
        <c:lblAlgn val="ctr"/>
        <c:lblOffset val="100"/>
        <c:noMultiLvlLbl val="0"/>
      </c:catAx>
      <c:valAx>
        <c:axId val="193516672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510784"/>
        <c:crosses val="autoZero"/>
        <c:crossBetween val="between"/>
        <c:majorUnit val="20"/>
      </c:valAx>
      <c:spPr>
        <a:noFill/>
      </c:spPr>
    </c:plotArea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Viete o nejakom konkrétnom projekte, ktorý bol financovaný z Európskej únie?</a:t>
            </a:r>
          </a:p>
          <a:p>
            <a:pPr>
              <a:defRPr/>
            </a:pPr>
            <a:r>
              <a:rPr lang="sk-SK" sz="1100" b="0">
                <a:latin typeface="Arial" panose="020B0604020202020204" pitchFamily="34" charset="0"/>
                <a:cs typeface="Arial" panose="020B0604020202020204" pitchFamily="34" charset="0"/>
              </a:rPr>
              <a:t>(</a:t>
            </a: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25411071011956848"/>
          <c:y val="0.23965897366277492"/>
          <c:w val="0.6531173447069113"/>
          <c:h val="0.6901906054846596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áno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Hárok1!$A$2:$A$11</c:f>
              <c:strCache>
                <c:ptCount val="10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</c:strCache>
            </c:strRef>
          </c:cat>
          <c:val>
            <c:numRef>
              <c:f>Hárok1!$B$2:$B$11</c:f>
              <c:numCache>
                <c:formatCode>General</c:formatCode>
                <c:ptCount val="10"/>
                <c:pt idx="0">
                  <c:v>67.599999999999994</c:v>
                </c:pt>
                <c:pt idx="2">
                  <c:v>61.666666666666636</c:v>
                </c:pt>
                <c:pt idx="3">
                  <c:v>61.818181818181834</c:v>
                </c:pt>
                <c:pt idx="4">
                  <c:v>67.79661016949153</c:v>
                </c:pt>
                <c:pt idx="5">
                  <c:v>68.518518518518519</c:v>
                </c:pt>
                <c:pt idx="6">
                  <c:v>71.641791044776113</c:v>
                </c:pt>
                <c:pt idx="7">
                  <c:v>64.285714285714292</c:v>
                </c:pt>
                <c:pt idx="8">
                  <c:v>70.129870129870085</c:v>
                </c:pt>
                <c:pt idx="9">
                  <c:v>72.222222222222229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nie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Hárok1!$A$2:$A$11</c:f>
              <c:strCache>
                <c:ptCount val="10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</c:strCache>
            </c:strRef>
          </c:cat>
          <c:val>
            <c:numRef>
              <c:f>Hárok1!$C$2:$C$11</c:f>
              <c:numCache>
                <c:formatCode>General</c:formatCode>
                <c:ptCount val="10"/>
                <c:pt idx="0">
                  <c:v>32.4</c:v>
                </c:pt>
                <c:pt idx="2">
                  <c:v>38.333333333333336</c:v>
                </c:pt>
                <c:pt idx="3">
                  <c:v>38.181818181818166</c:v>
                </c:pt>
                <c:pt idx="4">
                  <c:v>32.203389830508492</c:v>
                </c:pt>
                <c:pt idx="5">
                  <c:v>31.481481481481481</c:v>
                </c:pt>
                <c:pt idx="6">
                  <c:v>28.35820895522388</c:v>
                </c:pt>
                <c:pt idx="7">
                  <c:v>35.714285714285715</c:v>
                </c:pt>
                <c:pt idx="8">
                  <c:v>29.870129870129855</c:v>
                </c:pt>
                <c:pt idx="9">
                  <c:v>27.777777777777779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93918848"/>
        <c:axId val="193920384"/>
      </c:barChart>
      <c:catAx>
        <c:axId val="193918848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920384"/>
        <c:crosses val="autoZero"/>
        <c:auto val="1"/>
        <c:lblAlgn val="ctr"/>
        <c:lblOffset val="100"/>
        <c:noMultiLvlLbl val="0"/>
      </c:catAx>
      <c:valAx>
        <c:axId val="193920384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918848"/>
        <c:crosses val="autoZero"/>
        <c:crossBetween val="between"/>
      </c:valAx>
      <c:spPr>
        <a:noFill/>
      </c:spPr>
    </c:plotArea>
    <c:legend>
      <c:legendPos val="r"/>
      <c:layout>
        <c:manualLayout>
          <c:xMode val="edge"/>
          <c:yMode val="edge"/>
          <c:x val="0.23440398075240607"/>
          <c:y val="0.92934021178387205"/>
          <c:w val="0.62670713035870562"/>
          <c:h val="7.0659788216128144E-2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000"/>
            </a:pP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V ktorej oblasti bol projekt, resp. projekty realizované? </a:t>
            </a:r>
          </a:p>
          <a:p>
            <a:pPr>
              <a:defRPr sz="1000"/>
            </a:pPr>
            <a:r>
              <a:rPr lang="sk-SK" sz="1200" b="0">
                <a:latin typeface="Arial" panose="020B0604020202020204" pitchFamily="34" charset="0"/>
                <a:cs typeface="Arial" panose="020B0604020202020204" pitchFamily="34" charset="0"/>
              </a:rPr>
              <a:t>(</a:t>
            </a: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47530293088363967"/>
          <c:y val="0.17199263018514077"/>
          <c:w val="0.90543215952172618"/>
          <c:h val="0.79732273689252531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2014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Hárok1!$A$2:$A$23</c:f>
              <c:strCache>
                <c:ptCount val="22"/>
                <c:pt idx="0">
                  <c:v>budovanie ciest, diaľnic</c:v>
                </c:pt>
                <c:pt idx="1">
                  <c:v>rozvoj obce, rozvoj regiónu</c:v>
                </c:pt>
                <c:pt idx="2">
                  <c:v>budovanie kanalizácie, čistiareň odpadových vôd a pod.</c:v>
                </c:pt>
                <c:pt idx="3">
                  <c:v>vzdelávanie</c:v>
                </c:pt>
                <c:pt idx="4">
                  <c:v>poľnohospodárstvo, priemysel</c:v>
                </c:pt>
                <c:pt idx="5">
                  <c:v>opravy historických budov</c:v>
                </c:pt>
                <c:pt idx="6">
                  <c:v>podpora bývania, opravy domov</c:v>
                </c:pt>
                <c:pt idx="7">
                  <c:v>kultúra</c:v>
                </c:pt>
                <c:pt idx="8">
                  <c:v>športové projekty</c:v>
                </c:pt>
                <c:pt idx="9">
                  <c:v>práca s Rómami</c:v>
                </c:pt>
                <c:pt idx="10">
                  <c:v>životné prostredie</c:v>
                </c:pt>
                <c:pt idx="11">
                  <c:v>cestovný ruch, turizmus</c:v>
                </c:pt>
                <c:pt idx="12">
                  <c:v>výskum a vývoj</c:v>
                </c:pt>
                <c:pt idx="13">
                  <c:v>práca so zdravotne postihnutými ľuďmi</c:v>
                </c:pt>
                <c:pt idx="14">
                  <c:v>pomoc v oblasti zamestnanosti</c:v>
                </c:pt>
                <c:pt idx="15">
                  <c:v>sociálna pomoc</c:v>
                </c:pt>
                <c:pt idx="16">
                  <c:v>podnikanie</c:v>
                </c:pt>
                <c:pt idx="17">
                  <c:v>informatizácia spoločnosti</c:v>
                </c:pt>
                <c:pt idx="18">
                  <c:v>zdravotníctvo</c:v>
                </c:pt>
                <c:pt idx="19">
                  <c:v>podpora zavedenia internetu</c:v>
                </c:pt>
                <c:pt idx="20">
                  <c:v>technická pomoc</c:v>
                </c:pt>
                <c:pt idx="21">
                  <c:v>iné</c:v>
                </c:pt>
              </c:strCache>
            </c:strRef>
          </c:cat>
          <c:val>
            <c:numRef>
              <c:f>Hárok1!$B$2:$B$23</c:f>
              <c:numCache>
                <c:formatCode>General</c:formatCode>
                <c:ptCount val="22"/>
                <c:pt idx="0">
                  <c:v>42.603550295858</c:v>
                </c:pt>
                <c:pt idx="1">
                  <c:v>40.236686390532547</c:v>
                </c:pt>
                <c:pt idx="2">
                  <c:v>28.698224852071</c:v>
                </c:pt>
                <c:pt idx="3">
                  <c:v>26.923076923076923</c:v>
                </c:pt>
                <c:pt idx="4">
                  <c:v>23.07692307692307</c:v>
                </c:pt>
                <c:pt idx="5">
                  <c:v>22.189349112426029</c:v>
                </c:pt>
                <c:pt idx="6">
                  <c:v>20.414201183431953</c:v>
                </c:pt>
                <c:pt idx="7">
                  <c:v>19.526627218934905</c:v>
                </c:pt>
                <c:pt idx="8">
                  <c:v>18.0473372781065</c:v>
                </c:pt>
                <c:pt idx="9">
                  <c:v>17.455621301775135</c:v>
                </c:pt>
                <c:pt idx="10">
                  <c:v>16.568047337278099</c:v>
                </c:pt>
                <c:pt idx="11">
                  <c:v>14.497041420118343</c:v>
                </c:pt>
                <c:pt idx="12">
                  <c:v>11.834319526627223</c:v>
                </c:pt>
                <c:pt idx="13">
                  <c:v>11.538461538461538</c:v>
                </c:pt>
                <c:pt idx="14">
                  <c:v>11.242603550295858</c:v>
                </c:pt>
                <c:pt idx="15">
                  <c:v>10.946745562130173</c:v>
                </c:pt>
                <c:pt idx="16">
                  <c:v>10.059171597633137</c:v>
                </c:pt>
                <c:pt idx="17">
                  <c:v>10.059171597633137</c:v>
                </c:pt>
                <c:pt idx="18">
                  <c:v>9.4674556213017755</c:v>
                </c:pt>
                <c:pt idx="19">
                  <c:v>6.5088757396449708</c:v>
                </c:pt>
                <c:pt idx="20">
                  <c:v>5.6213017751479288</c:v>
                </c:pt>
                <c:pt idx="21">
                  <c:v>1.1834319526627219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axId val="193544576"/>
        <c:axId val="193546112"/>
      </c:barChart>
      <c:catAx>
        <c:axId val="193544576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546112"/>
        <c:crosses val="autoZero"/>
        <c:auto val="1"/>
        <c:lblAlgn val="ctr"/>
        <c:lblOffset val="100"/>
        <c:noMultiLvlLbl val="0"/>
      </c:catAx>
      <c:valAx>
        <c:axId val="193546112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544576"/>
        <c:crosses val="autoZero"/>
        <c:crossBetween val="between"/>
        <c:majorUnit val="20"/>
      </c:valAx>
      <c:spPr>
        <a:noFill/>
      </c:spPr>
    </c:plotArea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 sz="1000"/>
            </a:pPr>
            <a:r>
              <a:rPr lang="sk-SK" sz="1000" b="1">
                <a:effectLst/>
                <a:latin typeface="Arial" panose="020B0604020202020204" pitchFamily="34" charset="0"/>
                <a:cs typeface="Arial" panose="020B0604020202020204" pitchFamily="34" charset="0"/>
              </a:rPr>
              <a:t>Viete, čo je Národný strategický referenčný rámec Slovenskej republiky?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algn="ctr"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6.66107101195684E-2"/>
          <c:y val="0.26458147894556672"/>
          <c:w val="0.90543215952172618"/>
          <c:h val="0.60087327399292478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presne vie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Hárok1!$B$2:$D$2</c:f>
              <c:numCache>
                <c:formatCode>General</c:formatCode>
                <c:ptCount val="3"/>
                <c:pt idx="0">
                  <c:v>1.2</c:v>
                </c:pt>
                <c:pt idx="1">
                  <c:v>1.4</c:v>
                </c:pt>
                <c:pt idx="2">
                  <c:v>1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približne vie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Hárok1!$B$3:$D$3</c:f>
              <c:numCache>
                <c:formatCode>General</c:formatCode>
                <c:ptCount val="3"/>
                <c:pt idx="0">
                  <c:v>14.6</c:v>
                </c:pt>
                <c:pt idx="1">
                  <c:v>6.2</c:v>
                </c:pt>
                <c:pt idx="2">
                  <c:v>4</c:v>
                </c:pt>
              </c:numCache>
            </c:numRef>
          </c:val>
        </c:ser>
        <c:ser>
          <c:idx val="2"/>
          <c:order val="2"/>
          <c:tx>
            <c:strRef>
              <c:f>Hárok1!$A$4</c:f>
              <c:strCache>
                <c:ptCount val="1"/>
                <c:pt idx="0">
                  <c:v>vôbec nevie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Hárok1!$B$4:$D$4</c:f>
              <c:numCache>
                <c:formatCode>General</c:formatCode>
                <c:ptCount val="3"/>
                <c:pt idx="0">
                  <c:v>84.2</c:v>
                </c:pt>
                <c:pt idx="1">
                  <c:v>92.4</c:v>
                </c:pt>
                <c:pt idx="2">
                  <c:v>95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93654784"/>
        <c:axId val="193656320"/>
      </c:barChart>
      <c:catAx>
        <c:axId val="193654784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656320"/>
        <c:crosses val="autoZero"/>
        <c:auto val="1"/>
        <c:lblAlgn val="ctr"/>
        <c:lblOffset val="100"/>
        <c:noMultiLvlLbl val="0"/>
      </c:catAx>
      <c:valAx>
        <c:axId val="193656320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654784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7.699657334499857E-2"/>
          <c:y val="0.85988303092548235"/>
          <c:w val="0.8481886118401869"/>
          <c:h val="0.11475465023393819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000" b="1" i="0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Viete, čo je Národný strategický referenčný rámec Slovenskej republiky?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100" b="0">
                <a:latin typeface="Arial" panose="020B0604020202020204" pitchFamily="34" charset="0"/>
                <a:cs typeface="Arial" panose="020B0604020202020204" pitchFamily="34" charset="0"/>
              </a:rPr>
              <a:t>(</a:t>
            </a: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16244203849518821"/>
          <c:y val="1.782152230971129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31429589530475383"/>
          <c:y val="0.17516813339509044"/>
          <c:w val="0.63922845581802301"/>
          <c:h val="0.76443394575678036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vie presne alebo približne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Hárok1!$A$2:$A$15</c:f>
              <c:strCache>
                <c:ptCount val="14"/>
                <c:pt idx="0">
                  <c:v>Total</c:v>
                </c:pt>
                <c:pt idx="2">
                  <c:v>Muž</c:v>
                </c:pt>
                <c:pt idx="3">
                  <c:v>Žena</c:v>
                </c:pt>
                <c:pt idx="5">
                  <c:v>15-29 rokov</c:v>
                </c:pt>
                <c:pt idx="6">
                  <c:v>30-39 rokov</c:v>
                </c:pt>
                <c:pt idx="7">
                  <c:v>40-49 rokov</c:v>
                </c:pt>
                <c:pt idx="8">
                  <c:v>50-59 rokov</c:v>
                </c:pt>
                <c:pt idx="9">
                  <c:v>60-69 rokov</c:v>
                </c:pt>
                <c:pt idx="10">
                  <c:v>70-79 rokov</c:v>
                </c:pt>
                <c:pt idx="12">
                  <c:v>nižšie ako vysokoškolské vzdelanie</c:v>
                </c:pt>
                <c:pt idx="13">
                  <c:v>vysokoškolské vzdelanie</c:v>
                </c:pt>
              </c:strCache>
            </c:strRef>
          </c:cat>
          <c:val>
            <c:numRef>
              <c:f>Hárok1!$B$2:$B$15</c:f>
              <c:numCache>
                <c:formatCode>General</c:formatCode>
                <c:ptCount val="14"/>
                <c:pt idx="0">
                  <c:v>15.8</c:v>
                </c:pt>
                <c:pt idx="2">
                  <c:v>15.948275862068968</c:v>
                </c:pt>
                <c:pt idx="3">
                  <c:v>15.671641791044774</c:v>
                </c:pt>
                <c:pt idx="5">
                  <c:v>18.181818181818198</c:v>
                </c:pt>
                <c:pt idx="6">
                  <c:v>15.625</c:v>
                </c:pt>
                <c:pt idx="7">
                  <c:v>14.141414141414142</c:v>
                </c:pt>
                <c:pt idx="8">
                  <c:v>14.492753623188406</c:v>
                </c:pt>
                <c:pt idx="9">
                  <c:v>19.047619047619044</c:v>
                </c:pt>
                <c:pt idx="10">
                  <c:v>9.5238095238095202</c:v>
                </c:pt>
                <c:pt idx="12">
                  <c:v>9.0090090090090094</c:v>
                </c:pt>
                <c:pt idx="13">
                  <c:v>29.341317365269461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nevie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Hárok1!$A$2:$A$15</c:f>
              <c:strCache>
                <c:ptCount val="14"/>
                <c:pt idx="0">
                  <c:v>Total</c:v>
                </c:pt>
                <c:pt idx="2">
                  <c:v>Muž</c:v>
                </c:pt>
                <c:pt idx="3">
                  <c:v>Žena</c:v>
                </c:pt>
                <c:pt idx="5">
                  <c:v>15-29 rokov</c:v>
                </c:pt>
                <c:pt idx="6">
                  <c:v>30-39 rokov</c:v>
                </c:pt>
                <c:pt idx="7">
                  <c:v>40-49 rokov</c:v>
                </c:pt>
                <c:pt idx="8">
                  <c:v>50-59 rokov</c:v>
                </c:pt>
                <c:pt idx="9">
                  <c:v>60-69 rokov</c:v>
                </c:pt>
                <c:pt idx="10">
                  <c:v>70-79 rokov</c:v>
                </c:pt>
                <c:pt idx="12">
                  <c:v>nižšie ako vysokoškolské vzdelanie</c:v>
                </c:pt>
                <c:pt idx="13">
                  <c:v>vysokoškolské vzdelanie</c:v>
                </c:pt>
              </c:strCache>
            </c:strRef>
          </c:cat>
          <c:val>
            <c:numRef>
              <c:f>Hárok1!$C$2:$C$15</c:f>
              <c:numCache>
                <c:formatCode>General</c:formatCode>
                <c:ptCount val="14"/>
                <c:pt idx="0" formatCode="0.0&quot;%&quot;">
                  <c:v>84.2</c:v>
                </c:pt>
                <c:pt idx="2" formatCode="0.0&quot;%&quot;">
                  <c:v>84.051724137931018</c:v>
                </c:pt>
                <c:pt idx="3" formatCode="0.0&quot;%&quot;">
                  <c:v>84.328358208955166</c:v>
                </c:pt>
                <c:pt idx="5" formatCode="0.0&quot;%&quot;">
                  <c:v>81.818181818181756</c:v>
                </c:pt>
                <c:pt idx="6" formatCode="0.0&quot;%&quot;">
                  <c:v>84.374999999999986</c:v>
                </c:pt>
                <c:pt idx="7" formatCode="0.0&quot;%&quot;">
                  <c:v>85.858585858585784</c:v>
                </c:pt>
                <c:pt idx="8" formatCode="0.0&quot;%&quot;">
                  <c:v>85.50724637681158</c:v>
                </c:pt>
                <c:pt idx="9" formatCode="0.0&quot;%&quot;">
                  <c:v>80.952380952380906</c:v>
                </c:pt>
                <c:pt idx="10" formatCode="0.0&quot;%&quot;">
                  <c:v>90.476190476190482</c:v>
                </c:pt>
                <c:pt idx="12" formatCode="0.0&quot;%&quot;">
                  <c:v>90.990990990990994</c:v>
                </c:pt>
                <c:pt idx="13" formatCode="0.0&quot;%&quot;">
                  <c:v>70.658682634730496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93526784"/>
        <c:axId val="193737472"/>
      </c:barChart>
      <c:catAx>
        <c:axId val="193526784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737472"/>
        <c:crosses val="autoZero"/>
        <c:auto val="1"/>
        <c:lblAlgn val="ctr"/>
        <c:lblOffset val="100"/>
        <c:noMultiLvlLbl val="0"/>
      </c:catAx>
      <c:valAx>
        <c:axId val="193737472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526784"/>
        <c:crosses val="autoZero"/>
        <c:crossBetween val="between"/>
      </c:valAx>
      <c:spPr>
        <a:noFill/>
      </c:spPr>
    </c:plotArea>
    <c:legend>
      <c:legendPos val="r"/>
      <c:layout>
        <c:manualLayout>
          <c:xMode val="edge"/>
          <c:yMode val="edge"/>
          <c:x val="0.25060768445610954"/>
          <c:y val="0.95188019144665736"/>
          <c:w val="0.62670713035870562"/>
          <c:h val="3.2433480218642396E-2"/>
        </c:manualLayout>
      </c:layout>
      <c:overlay val="0"/>
      <c:txPr>
        <a:bodyPr/>
        <a:lstStyle/>
        <a:p>
          <a:pPr>
            <a:defRPr sz="8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4.634899174188592E-2"/>
          <c:y val="2.0056028349991605E-2"/>
          <c:w val="0.93934206516868324"/>
          <c:h val="0.86303530240538118"/>
        </c:manualLayout>
      </c:layout>
      <c:lineChart>
        <c:grouping val="standard"/>
        <c:varyColors val="0"/>
        <c:ser>
          <c:idx val="0"/>
          <c:order val="0"/>
          <c:tx>
            <c:strRef>
              <c:f>Hárok1!$A$6</c:f>
              <c:strCache>
                <c:ptCount val="1"/>
                <c:pt idx="0">
                  <c:v>živonarodení</c:v>
                </c:pt>
              </c:strCache>
            </c:strRef>
          </c:tx>
          <c:spPr>
            <a:ln>
              <a:solidFill>
                <a:schemeClr val="accent2"/>
              </a:solidFill>
            </a:ln>
          </c:spPr>
          <c:marker>
            <c:symbol val="circle"/>
            <c:size val="7"/>
            <c:spPr>
              <a:solidFill>
                <a:sysClr val="window" lastClr="FFFFFF"/>
              </a:solidFill>
              <a:ln>
                <a:solidFill>
                  <a:schemeClr val="accent2"/>
                </a:solidFill>
              </a:ln>
            </c:spPr>
          </c:marker>
          <c:dLbls>
            <c:txPr>
              <a:bodyPr/>
              <a:lstStyle/>
              <a:p>
                <a:pPr>
                  <a:defRPr sz="900"/>
                </a:pPr>
                <a:endParaRPr lang="sk-SK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Hárok1!$B$1:$L$1</c:f>
              <c:numCache>
                <c:formatCode>General</c:formatCod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numCache>
            </c:numRef>
          </c:cat>
          <c:val>
            <c:numRef>
              <c:f>Hárok1!$B$6:$L$6</c:f>
              <c:numCache>
                <c:formatCode>#,##0</c:formatCode>
                <c:ptCount val="11"/>
                <c:pt idx="0">
                  <c:v>51713</c:v>
                </c:pt>
                <c:pt idx="1">
                  <c:v>53747</c:v>
                </c:pt>
                <c:pt idx="2">
                  <c:v>54430</c:v>
                </c:pt>
                <c:pt idx="3">
                  <c:v>53904</c:v>
                </c:pt>
                <c:pt idx="4">
                  <c:v>54424</c:v>
                </c:pt>
                <c:pt idx="5">
                  <c:v>57360</c:v>
                </c:pt>
                <c:pt idx="6">
                  <c:v>61217</c:v>
                </c:pt>
                <c:pt idx="7">
                  <c:v>60410</c:v>
                </c:pt>
                <c:pt idx="8">
                  <c:v>60813</c:v>
                </c:pt>
                <c:pt idx="9">
                  <c:v>55535</c:v>
                </c:pt>
                <c:pt idx="10">
                  <c:v>54823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7536640"/>
        <c:axId val="117538176"/>
      </c:lineChart>
      <c:catAx>
        <c:axId val="1175366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sk-SK"/>
          </a:p>
        </c:txPr>
        <c:crossAx val="117538176"/>
        <c:crosses val="autoZero"/>
        <c:auto val="1"/>
        <c:lblAlgn val="ctr"/>
        <c:lblOffset val="100"/>
        <c:noMultiLvlLbl val="0"/>
      </c:catAx>
      <c:valAx>
        <c:axId val="117538176"/>
        <c:scaling>
          <c:orientation val="minMax"/>
        </c:scaling>
        <c:delete val="0"/>
        <c:axPos val="l"/>
        <c:numFmt formatCode="#,##0" sourceLinked="1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sk-SK"/>
          </a:p>
        </c:txPr>
        <c:crossAx val="117536640"/>
        <c:crosses val="autoZero"/>
        <c:crossBetween val="between"/>
        <c:majorUnit val="5000"/>
      </c:valAx>
    </c:plotArea>
    <c:plotVisOnly val="1"/>
    <c:dispBlanksAs val="gap"/>
    <c:showDLblsOverMax val="0"/>
  </c:chart>
  <c:externalData r:id="rId2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000" b="1" i="0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Viete, čo je Národný strategický referenčný rámec Slovenskej republiky?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100" b="0">
                <a:latin typeface="Arial" panose="020B0604020202020204" pitchFamily="34" charset="0"/>
                <a:cs typeface="Arial" panose="020B0604020202020204" pitchFamily="34" charset="0"/>
              </a:rPr>
              <a:t>(</a:t>
            </a: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16244203849518821"/>
          <c:y val="1.782152230971129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31429589530475383"/>
          <c:y val="0.17516813339509044"/>
          <c:w val="0.63922845581802301"/>
          <c:h val="0.76443394575678036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vie presne alebo približne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  <c:pt idx="11">
                  <c:v>do 1 999 obyvateľov</c:v>
                </c:pt>
                <c:pt idx="12">
                  <c:v>od 2 000 do 19 999 obyvateľov</c:v>
                </c:pt>
                <c:pt idx="13">
                  <c:v>od 20 000 do 99 999 obyvateľov</c:v>
                </c:pt>
                <c:pt idx="14">
                  <c:v>od 100 000 obyvateľov</c:v>
                </c:pt>
              </c:strCache>
            </c:strRef>
          </c:cat>
          <c:val>
            <c:numRef>
              <c:f>Hárok1!$B$2:$B$16</c:f>
              <c:numCache>
                <c:formatCode>General</c:formatCode>
                <c:ptCount val="15"/>
                <c:pt idx="0">
                  <c:v>15.8</c:v>
                </c:pt>
                <c:pt idx="2">
                  <c:v>20</c:v>
                </c:pt>
                <c:pt idx="3">
                  <c:v>10.90909090909091</c:v>
                </c:pt>
                <c:pt idx="4">
                  <c:v>15.254237288135599</c:v>
                </c:pt>
                <c:pt idx="5">
                  <c:v>12.962962962962965</c:v>
                </c:pt>
                <c:pt idx="6">
                  <c:v>11.940298507462686</c:v>
                </c:pt>
                <c:pt idx="7">
                  <c:v>8.9285714285714235</c:v>
                </c:pt>
                <c:pt idx="8">
                  <c:v>23.376623376623357</c:v>
                </c:pt>
                <c:pt idx="9">
                  <c:v>19.444444444444443</c:v>
                </c:pt>
                <c:pt idx="11">
                  <c:v>13.380281690140849</c:v>
                </c:pt>
                <c:pt idx="12">
                  <c:v>12.578616352201255</c:v>
                </c:pt>
                <c:pt idx="13">
                  <c:v>16.417910447761187</c:v>
                </c:pt>
                <c:pt idx="14">
                  <c:v>27.692307692307686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nevie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  <c:pt idx="11">
                  <c:v>do 1 999 obyvateľov</c:v>
                </c:pt>
                <c:pt idx="12">
                  <c:v>od 2 000 do 19 999 obyvateľov</c:v>
                </c:pt>
                <c:pt idx="13">
                  <c:v>od 20 000 do 99 999 obyvateľov</c:v>
                </c:pt>
                <c:pt idx="14">
                  <c:v>od 100 000 obyvateľov</c:v>
                </c:pt>
              </c:strCache>
            </c:strRef>
          </c:cat>
          <c:val>
            <c:numRef>
              <c:f>Hárok1!$C$2:$C$16</c:f>
              <c:numCache>
                <c:formatCode>General</c:formatCode>
                <c:ptCount val="15"/>
                <c:pt idx="0" formatCode="0.0&quot;%&quot;">
                  <c:v>84.2</c:v>
                </c:pt>
                <c:pt idx="2" formatCode="0.0&quot;%&quot;">
                  <c:v>80</c:v>
                </c:pt>
                <c:pt idx="3" formatCode="0.0&quot;%&quot;">
                  <c:v>89.090909090909093</c:v>
                </c:pt>
                <c:pt idx="4" formatCode="0.0&quot;%&quot;">
                  <c:v>84.745762711864373</c:v>
                </c:pt>
                <c:pt idx="5" formatCode="0.0&quot;%&quot;">
                  <c:v>87.037037037037038</c:v>
                </c:pt>
                <c:pt idx="6" formatCode="0.0&quot;%&quot;">
                  <c:v>88.059701492537286</c:v>
                </c:pt>
                <c:pt idx="7" formatCode="0.0&quot;%&quot;">
                  <c:v>91.071428571428541</c:v>
                </c:pt>
                <c:pt idx="8" formatCode="0.0&quot;%&quot;">
                  <c:v>76.6233766233766</c:v>
                </c:pt>
                <c:pt idx="9" formatCode="0.0&quot;%&quot;">
                  <c:v>80.555555555555529</c:v>
                </c:pt>
                <c:pt idx="11" formatCode="0.0&quot;%&quot;">
                  <c:v>86.619718309859124</c:v>
                </c:pt>
                <c:pt idx="12" formatCode="0.0&quot;%&quot;">
                  <c:v>87.421383647798763</c:v>
                </c:pt>
                <c:pt idx="13" formatCode="0.0&quot;%&quot;">
                  <c:v>83.582089552238784</c:v>
                </c:pt>
                <c:pt idx="14" formatCode="0.0&quot;%&quot;">
                  <c:v>72.307692307692278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93829120"/>
        <c:axId val="193839104"/>
      </c:barChart>
      <c:catAx>
        <c:axId val="193829120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839104"/>
        <c:crosses val="autoZero"/>
        <c:auto val="1"/>
        <c:lblAlgn val="ctr"/>
        <c:lblOffset val="100"/>
        <c:noMultiLvlLbl val="0"/>
      </c:catAx>
      <c:valAx>
        <c:axId val="193839104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829120"/>
        <c:crosses val="autoZero"/>
        <c:crossBetween val="between"/>
      </c:valAx>
      <c:spPr>
        <a:noFill/>
      </c:spPr>
    </c:plotArea>
    <c:legend>
      <c:legendPos val="r"/>
      <c:layout>
        <c:manualLayout>
          <c:xMode val="edge"/>
          <c:yMode val="edge"/>
          <c:x val="0.26449657334499876"/>
          <c:y val="0.95188019144665736"/>
          <c:w val="0.62670713035870562"/>
          <c:h val="3.2433480218642396E-2"/>
        </c:manualLayout>
      </c:layout>
      <c:overlay val="0"/>
      <c:txPr>
        <a:bodyPr/>
        <a:lstStyle/>
        <a:p>
          <a:pPr>
            <a:defRPr sz="8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000"/>
            </a:pPr>
            <a:r>
              <a:rPr lang="sk-SK" sz="1000" b="1">
                <a:effectLst/>
                <a:latin typeface="Arial" panose="020B0604020202020204" pitchFamily="34" charset="0"/>
                <a:cs typeface="Arial" panose="020B0604020202020204" pitchFamily="34" charset="0"/>
              </a:rPr>
              <a:t>Poznáte niektoré operačné programy Národného strategického referenčného rámca Slovenskej republiky?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14342009332166819"/>
          <c:y val="1.4492753623188409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3200572324292798"/>
          <c:y val="0.27204846705989733"/>
          <c:w val="0.33408300524934403"/>
          <c:h val="0.68971975277283892"/>
        </c:manualLayout>
      </c:layout>
      <c:pieChart>
        <c:varyColors val="1"/>
        <c:ser>
          <c:idx val="0"/>
          <c:order val="0"/>
          <c:spPr>
            <a:solidFill>
              <a:srgbClr val="A1AF00"/>
            </a:solidFill>
          </c:spPr>
          <c:dPt>
            <c:idx val="1"/>
            <c:bubble3D val="0"/>
            <c:spPr>
              <a:solidFill>
                <a:srgbClr val="E31B19"/>
              </a:solidFill>
            </c:spPr>
          </c:dPt>
          <c:dLbls>
            <c:dLbl>
              <c:idx val="0"/>
              <c:numFmt formatCode="#,##0" sourceLinked="0"/>
              <c:spPr/>
              <c:txPr>
                <a:bodyPr/>
                <a:lstStyle/>
                <a:p>
                  <a:pPr>
                    <a:defRPr>
                      <a:solidFill>
                        <a:schemeClr val="bg1"/>
                      </a:solidFill>
                      <a:latin typeface="Arial" panose="020B0604020202020204" pitchFamily="34" charset="0"/>
                      <a:cs typeface="Arial" panose="020B0604020202020204" pitchFamily="34" charset="0"/>
                    </a:defRPr>
                  </a:pPr>
                  <a:endParaRPr lang="sk-SK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numFmt formatCode="#,##0" sourceLinked="0"/>
              <c:spPr/>
              <c:txPr>
                <a:bodyPr/>
                <a:lstStyle/>
                <a:p>
                  <a:pPr>
                    <a:defRPr>
                      <a:solidFill>
                        <a:schemeClr val="bg1"/>
                      </a:solidFill>
                      <a:latin typeface="Arial" panose="020B0604020202020204" pitchFamily="34" charset="0"/>
                      <a:cs typeface="Arial" panose="020B0604020202020204" pitchFamily="34" charset="0"/>
                    </a:defRPr>
                  </a:pPr>
                  <a:endParaRPr lang="sk-SK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Hárok1!$A$2:$A$3</c:f>
              <c:strCache>
                <c:ptCount val="2"/>
                <c:pt idx="0">
                  <c:v>áno, pozná</c:v>
                </c:pt>
                <c:pt idx="1">
                  <c:v>nie, nepozná</c:v>
                </c:pt>
              </c:strCache>
            </c:strRef>
          </c:cat>
          <c:val>
            <c:numRef>
              <c:f>Hárok1!$B$2:$B$3</c:f>
              <c:numCache>
                <c:formatCode>0.0"%"</c:formatCode>
                <c:ptCount val="2"/>
                <c:pt idx="0">
                  <c:v>8.2000000000000011</c:v>
                </c:pt>
                <c:pt idx="1">
                  <c:v>91.8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</c:spPr>
    </c:plotArea>
    <c:legend>
      <c:legendPos val="r"/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zero"/>
    <c:showDLblsOverMax val="0"/>
  </c:chart>
  <c:spPr>
    <a:noFill/>
  </c:spPr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000"/>
            </a:pP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Ktoré operačné programy Národného strategického referenčného rámca Slovenskej republiky poznáte?</a:t>
            </a:r>
          </a:p>
          <a:p>
            <a:pPr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48906441382327231"/>
          <c:y val="0.18202799276956058"/>
          <c:w val="0.47774114173228349"/>
          <c:h val="0.77536166188181688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2014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Hárok1!$A$2:$A$13</c:f>
              <c:strCache>
                <c:ptCount val="12"/>
                <c:pt idx="0">
                  <c:v>OP Doprava</c:v>
                </c:pt>
                <c:pt idx="1">
                  <c:v>OP Vzdelávanie</c:v>
                </c:pt>
                <c:pt idx="2">
                  <c:v>OP Zamestnanosť a sociálna inklúzia</c:v>
                </c:pt>
                <c:pt idx="3">
                  <c:v>OP Výskum a vývoj</c:v>
                </c:pt>
                <c:pt idx="4">
                  <c:v>Regionálny operačný program</c:v>
                </c:pt>
                <c:pt idx="5">
                  <c:v>OP Životné prostredie</c:v>
                </c:pt>
                <c:pt idx="6">
                  <c:v>OP Informatizácia spoločnosti</c:v>
                </c:pt>
                <c:pt idx="7">
                  <c:v>OP Konkurencieschopnosť a hospodársky rast</c:v>
                </c:pt>
                <c:pt idx="8">
                  <c:v>OP Zdravotníctvo</c:v>
                </c:pt>
                <c:pt idx="9">
                  <c:v>OP Bratislavský kraj</c:v>
                </c:pt>
                <c:pt idx="10">
                  <c:v>OP Technická pomoc</c:v>
                </c:pt>
                <c:pt idx="11">
                  <c:v>Iné, mimo NSRR</c:v>
                </c:pt>
              </c:strCache>
            </c:strRef>
          </c:cat>
          <c:val>
            <c:numRef>
              <c:f>Hárok1!$B$2:$B$13</c:f>
              <c:numCache>
                <c:formatCode>General</c:formatCode>
                <c:ptCount val="12"/>
                <c:pt idx="0">
                  <c:v>68.292682926829258</c:v>
                </c:pt>
                <c:pt idx="1">
                  <c:v>68.292682926829258</c:v>
                </c:pt>
                <c:pt idx="2">
                  <c:v>60.975609756097541</c:v>
                </c:pt>
                <c:pt idx="3">
                  <c:v>58.536585365853654</c:v>
                </c:pt>
                <c:pt idx="4">
                  <c:v>56.097560975609753</c:v>
                </c:pt>
                <c:pt idx="5">
                  <c:v>53.658536585365852</c:v>
                </c:pt>
                <c:pt idx="6">
                  <c:v>43.902439024390247</c:v>
                </c:pt>
                <c:pt idx="7">
                  <c:v>41.463414634146325</c:v>
                </c:pt>
                <c:pt idx="8">
                  <c:v>36.585365853658523</c:v>
                </c:pt>
                <c:pt idx="9">
                  <c:v>21.951219512195117</c:v>
                </c:pt>
                <c:pt idx="10">
                  <c:v>19.512195121951226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2011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Hárok1!$A$2:$A$13</c:f>
              <c:strCache>
                <c:ptCount val="12"/>
                <c:pt idx="0">
                  <c:v>OP Doprava</c:v>
                </c:pt>
                <c:pt idx="1">
                  <c:v>OP Vzdelávanie</c:v>
                </c:pt>
                <c:pt idx="2">
                  <c:v>OP Zamestnanosť a sociálna inklúzia</c:v>
                </c:pt>
                <c:pt idx="3">
                  <c:v>OP Výskum a vývoj</c:v>
                </c:pt>
                <c:pt idx="4">
                  <c:v>Regionálny operačný program</c:v>
                </c:pt>
                <c:pt idx="5">
                  <c:v>OP Životné prostredie</c:v>
                </c:pt>
                <c:pt idx="6">
                  <c:v>OP Informatizácia spoločnosti</c:v>
                </c:pt>
                <c:pt idx="7">
                  <c:v>OP Konkurencieschopnosť a hospodársky rast</c:v>
                </c:pt>
                <c:pt idx="8">
                  <c:v>OP Zdravotníctvo</c:v>
                </c:pt>
                <c:pt idx="9">
                  <c:v>OP Bratislavský kraj</c:v>
                </c:pt>
                <c:pt idx="10">
                  <c:v>OP Technická pomoc</c:v>
                </c:pt>
                <c:pt idx="11">
                  <c:v>Iné, mimo NSRR</c:v>
                </c:pt>
              </c:strCache>
            </c:strRef>
          </c:cat>
          <c:val>
            <c:numRef>
              <c:f>Hárok1!$C$2:$C$13</c:f>
              <c:numCache>
                <c:formatCode>General</c:formatCode>
                <c:ptCount val="12"/>
                <c:pt idx="0">
                  <c:v>20</c:v>
                </c:pt>
                <c:pt idx="1">
                  <c:v>6.6</c:v>
                </c:pt>
                <c:pt idx="2">
                  <c:v>13.3</c:v>
                </c:pt>
                <c:pt idx="3">
                  <c:v>20</c:v>
                </c:pt>
                <c:pt idx="4">
                  <c:v>20</c:v>
                </c:pt>
                <c:pt idx="5">
                  <c:v>33.300000000000004</c:v>
                </c:pt>
                <c:pt idx="6">
                  <c:v>6.6</c:v>
                </c:pt>
                <c:pt idx="7">
                  <c:v>6.6</c:v>
                </c:pt>
                <c:pt idx="8">
                  <c:v>6.6</c:v>
                </c:pt>
                <c:pt idx="11">
                  <c:v>13.3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axId val="194070016"/>
        <c:axId val="194071552"/>
      </c:barChart>
      <c:catAx>
        <c:axId val="194070016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9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4071552"/>
        <c:crosses val="autoZero"/>
        <c:auto val="1"/>
        <c:lblAlgn val="ctr"/>
        <c:lblOffset val="100"/>
        <c:noMultiLvlLbl val="0"/>
      </c:catAx>
      <c:valAx>
        <c:axId val="194071552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4070016"/>
        <c:crosses val="autoZero"/>
        <c:crossBetween val="between"/>
        <c:majorUnit val="20"/>
      </c:valAx>
      <c:spPr>
        <a:noFill/>
      </c:spPr>
    </c:plotArea>
    <c:legend>
      <c:legendPos val="r"/>
      <c:layout>
        <c:manualLayout>
          <c:xMode val="edge"/>
          <c:yMode val="edge"/>
          <c:x val="0.89644101778944318"/>
          <c:y val="0.80363469491686679"/>
          <c:w val="8.1707130358705152E-2"/>
          <c:h val="0.17077895113857036"/>
        </c:manualLayout>
      </c:layout>
      <c:overlay val="0"/>
      <c:txPr>
        <a:bodyPr/>
        <a:lstStyle/>
        <a:p>
          <a:pPr>
            <a:defRPr sz="9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000"/>
            </a:pP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Z akých zdrojov získavate informácie o finančnej pomoci EÚ na Slovensku?</a:t>
            </a:r>
          </a:p>
          <a:p>
            <a:pPr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42709682123067971"/>
          <c:y val="0.16740643905998245"/>
          <c:w val="0.53970873432487654"/>
          <c:h val="0.79770508416177721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2014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televízia</c:v>
                </c:pt>
                <c:pt idx="1">
                  <c:v>noviny a časopisy</c:v>
                </c:pt>
                <c:pt idx="2">
                  <c:v>rozhlas</c:v>
                </c:pt>
                <c:pt idx="3">
                  <c:v>internetové portály</c:v>
                </c:pt>
                <c:pt idx="4">
                  <c:v>od priateľov a známych</c:v>
                </c:pt>
                <c:pt idx="5">
                  <c:v>brožúry, manuály</c:v>
                </c:pt>
                <c:pt idx="6">
                  <c:v>z orgánov samospráv, VÚC</c:v>
                </c:pt>
                <c:pt idx="7">
                  <c:v>rôzne semináre, školenia</c:v>
                </c:pt>
                <c:pt idx="8">
                  <c:v>iné časopisy zo štátnych inštitúcií</c:v>
                </c:pt>
                <c:pt idx="9">
                  <c:v>časopis Eurokompas</c:v>
                </c:pt>
                <c:pt idx="10">
                  <c:v>od špecializovaných agentúr</c:v>
                </c:pt>
                <c:pt idx="11">
                  <c:v>špecializovaná internetová stránka</c:v>
                </c:pt>
                <c:pt idx="12">
                  <c:v>iné</c:v>
                </c:pt>
                <c:pt idx="13">
                  <c:v>zo žiadnych zdrojov</c:v>
                </c:pt>
                <c:pt idx="14">
                  <c:v>nezaujíma sa </c:v>
                </c:pt>
              </c:strCache>
            </c:strRef>
          </c:cat>
          <c:val>
            <c:numRef>
              <c:f>Hárok1!$B$2:$B$16</c:f>
              <c:numCache>
                <c:formatCode>General</c:formatCode>
                <c:ptCount val="15"/>
                <c:pt idx="0">
                  <c:v>83</c:v>
                </c:pt>
                <c:pt idx="1">
                  <c:v>54.6</c:v>
                </c:pt>
                <c:pt idx="2">
                  <c:v>49.8</c:v>
                </c:pt>
                <c:pt idx="3">
                  <c:v>55</c:v>
                </c:pt>
                <c:pt idx="4">
                  <c:v>34.6</c:v>
                </c:pt>
                <c:pt idx="5">
                  <c:v>15.8</c:v>
                </c:pt>
                <c:pt idx="6">
                  <c:v>14.8</c:v>
                </c:pt>
                <c:pt idx="7">
                  <c:v>10.6</c:v>
                </c:pt>
                <c:pt idx="8">
                  <c:v>7.6</c:v>
                </c:pt>
                <c:pt idx="9">
                  <c:v>0.6000000000000002</c:v>
                </c:pt>
                <c:pt idx="10">
                  <c:v>3.6</c:v>
                </c:pt>
                <c:pt idx="11">
                  <c:v>8</c:v>
                </c:pt>
                <c:pt idx="12">
                  <c:v>1</c:v>
                </c:pt>
                <c:pt idx="13">
                  <c:v>0.6000000000000002</c:v>
                </c:pt>
                <c:pt idx="14">
                  <c:v>1.2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2011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televízia</c:v>
                </c:pt>
                <c:pt idx="1">
                  <c:v>noviny a časopisy</c:v>
                </c:pt>
                <c:pt idx="2">
                  <c:v>rozhlas</c:v>
                </c:pt>
                <c:pt idx="3">
                  <c:v>internetové portály</c:v>
                </c:pt>
                <c:pt idx="4">
                  <c:v>od priateľov a známych</c:v>
                </c:pt>
                <c:pt idx="5">
                  <c:v>brožúry, manuály</c:v>
                </c:pt>
                <c:pt idx="6">
                  <c:v>z orgánov samospráv, VÚC</c:v>
                </c:pt>
                <c:pt idx="7">
                  <c:v>rôzne semináre, školenia</c:v>
                </c:pt>
                <c:pt idx="8">
                  <c:v>iné časopisy zo štátnych inštitúcií</c:v>
                </c:pt>
                <c:pt idx="9">
                  <c:v>časopis Eurokompas</c:v>
                </c:pt>
                <c:pt idx="10">
                  <c:v>od špecializovaných agentúr</c:v>
                </c:pt>
                <c:pt idx="11">
                  <c:v>špecializovaná internetová stránka</c:v>
                </c:pt>
                <c:pt idx="12">
                  <c:v>iné</c:v>
                </c:pt>
                <c:pt idx="13">
                  <c:v>zo žiadnych zdrojov</c:v>
                </c:pt>
                <c:pt idx="14">
                  <c:v>nezaujíma sa </c:v>
                </c:pt>
              </c:strCache>
            </c:strRef>
          </c:cat>
          <c:val>
            <c:numRef>
              <c:f>Hárok1!$C$2:$C$16</c:f>
              <c:numCache>
                <c:formatCode>General</c:formatCode>
                <c:ptCount val="15"/>
                <c:pt idx="0">
                  <c:v>41.2</c:v>
                </c:pt>
                <c:pt idx="1">
                  <c:v>21</c:v>
                </c:pt>
                <c:pt idx="2">
                  <c:v>12.4</c:v>
                </c:pt>
                <c:pt idx="3">
                  <c:v>18</c:v>
                </c:pt>
                <c:pt idx="4">
                  <c:v>1.7</c:v>
                </c:pt>
                <c:pt idx="5">
                  <c:v>1.7</c:v>
                </c:pt>
                <c:pt idx="6">
                  <c:v>0.4</c:v>
                </c:pt>
                <c:pt idx="7">
                  <c:v>0.4</c:v>
                </c:pt>
                <c:pt idx="8">
                  <c:v>0.4</c:v>
                </c:pt>
                <c:pt idx="9">
                  <c:v>0</c:v>
                </c:pt>
                <c:pt idx="10">
                  <c:v>0.4</c:v>
                </c:pt>
                <c:pt idx="11">
                  <c:v>0.4</c:v>
                </c:pt>
                <c:pt idx="12">
                  <c:v>1.7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axId val="193995520"/>
        <c:axId val="193997056"/>
      </c:barChart>
      <c:catAx>
        <c:axId val="193995520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0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997056"/>
        <c:crosses val="autoZero"/>
        <c:auto val="1"/>
        <c:lblAlgn val="ctr"/>
        <c:lblOffset val="100"/>
        <c:noMultiLvlLbl val="0"/>
      </c:catAx>
      <c:valAx>
        <c:axId val="193997056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995520"/>
        <c:crosses val="autoZero"/>
        <c:crossBetween val="between"/>
        <c:majorUnit val="20"/>
      </c:valAx>
      <c:spPr>
        <a:noFill/>
      </c:spPr>
    </c:plotArea>
    <c:legend>
      <c:legendPos val="r"/>
      <c:layout>
        <c:manualLayout>
          <c:xMode val="edge"/>
          <c:yMode val="edge"/>
          <c:x val="0.86171879556722053"/>
          <c:y val="0.82845265963376202"/>
          <c:w val="0.10022564887722374"/>
          <c:h val="0.1149192837381814"/>
        </c:manualLayout>
      </c:layout>
      <c:overlay val="0"/>
      <c:txPr>
        <a:bodyPr/>
        <a:lstStyle/>
        <a:p>
          <a:pPr>
            <a:defRPr sz="9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 sz="1000"/>
            </a:pP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Poznáte informačný portál o štrukturálnych fondoch EÚ na Slovensku – </a:t>
            </a:r>
            <a:r>
              <a:rPr lang="sk-SK" sz="1000" b="1" i="0" u="sng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www.nsrr.sk</a:t>
            </a: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?</a:t>
            </a:r>
          </a:p>
          <a:p>
            <a:pPr algn="ctr"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8140237678623516"/>
          <c:y val="0.31892930503252331"/>
          <c:w val="0.77511391805191021"/>
          <c:h val="0.53203269428277977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áno, pozná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2014</c:v>
                </c:pt>
                <c:pt idx="1">
                  <c:v>2011</c:v>
                </c:pt>
              </c:strCache>
            </c:strRef>
          </c:cat>
          <c:val>
            <c:numRef>
              <c:f>Hárok1!$B$2:$C$2</c:f>
              <c:numCache>
                <c:formatCode>General</c:formatCode>
                <c:ptCount val="2"/>
                <c:pt idx="0" formatCode="0.0&quot;%&quot;">
                  <c:v>11.4</c:v>
                </c:pt>
                <c:pt idx="1">
                  <c:v>8.3000000000000007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nie, nepozná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2014</c:v>
                </c:pt>
                <c:pt idx="1">
                  <c:v>2011</c:v>
                </c:pt>
              </c:strCache>
            </c:strRef>
          </c:cat>
          <c:val>
            <c:numRef>
              <c:f>Hárok1!$B$3:$C$3</c:f>
              <c:numCache>
                <c:formatCode>General</c:formatCode>
                <c:ptCount val="2"/>
                <c:pt idx="0" formatCode="0.0&quot;%&quot;">
                  <c:v>88.6</c:v>
                </c:pt>
                <c:pt idx="1">
                  <c:v>91.7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94256896"/>
        <c:axId val="194258432"/>
      </c:barChart>
      <c:catAx>
        <c:axId val="194256896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4258432"/>
        <c:crosses val="autoZero"/>
        <c:auto val="1"/>
        <c:lblAlgn val="ctr"/>
        <c:lblOffset val="100"/>
        <c:noMultiLvlLbl val="0"/>
      </c:catAx>
      <c:valAx>
        <c:axId val="194258432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4256896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8.162620297462822E-2"/>
          <c:y val="0.88162216136026439"/>
          <c:w val="0.87568861184018698"/>
          <c:h val="9.663870820495267E-2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000" b="1" i="0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Poznáte informačný portál o štrukturálnych fondoch EÚ na Slovensku – </a:t>
            </a:r>
            <a:r>
              <a:rPr lang="sk-SK" sz="1000" b="1" i="0" u="sng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www.nsrr.sk</a:t>
            </a:r>
            <a:r>
              <a:rPr lang="sk-SK" sz="1000" b="1" i="0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100" b="0">
                <a:latin typeface="Arial" panose="020B0604020202020204" pitchFamily="34" charset="0"/>
                <a:cs typeface="Arial" panose="020B0604020202020204" pitchFamily="34" charset="0"/>
              </a:rPr>
              <a:t>(</a:t>
            </a: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12077537182852149"/>
          <c:y val="1.9277108433734941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31429589530475383"/>
          <c:y val="0.17188813322182425"/>
          <c:w val="0.59293215952172618"/>
          <c:h val="0.76910997713268692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áno, pozná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Hárok1!$A$2:$A$15</c:f>
              <c:strCache>
                <c:ptCount val="14"/>
                <c:pt idx="0">
                  <c:v>Total</c:v>
                </c:pt>
                <c:pt idx="2">
                  <c:v>Muž</c:v>
                </c:pt>
                <c:pt idx="3">
                  <c:v>Žena</c:v>
                </c:pt>
                <c:pt idx="5">
                  <c:v>15-29 rokov</c:v>
                </c:pt>
                <c:pt idx="6">
                  <c:v>30-39 rokov</c:v>
                </c:pt>
                <c:pt idx="7">
                  <c:v>40-49 rokov</c:v>
                </c:pt>
                <c:pt idx="8">
                  <c:v>50-59 rokov</c:v>
                </c:pt>
                <c:pt idx="9">
                  <c:v>60-69 rokov</c:v>
                </c:pt>
                <c:pt idx="10">
                  <c:v>70-79 rokov</c:v>
                </c:pt>
                <c:pt idx="12">
                  <c:v>nižšie ako vysokoškolské vzdelanie</c:v>
                </c:pt>
                <c:pt idx="13">
                  <c:v>vysokoškolské vzdelanie</c:v>
                </c:pt>
              </c:strCache>
            </c:strRef>
          </c:cat>
          <c:val>
            <c:numRef>
              <c:f>Hárok1!$B$2:$B$15</c:f>
              <c:numCache>
                <c:formatCode>General</c:formatCode>
                <c:ptCount val="14"/>
                <c:pt idx="0" formatCode="0.0&quot;%&quot;">
                  <c:v>11.4</c:v>
                </c:pt>
                <c:pt idx="2" formatCode="0.0&quot;%&quot;">
                  <c:v>10.77586206896552</c:v>
                </c:pt>
                <c:pt idx="3" formatCode="0.0&quot;%&quot;">
                  <c:v>11.940298507462687</c:v>
                </c:pt>
                <c:pt idx="5" formatCode="0.0&quot;%&quot;">
                  <c:v>12.72727272727272</c:v>
                </c:pt>
                <c:pt idx="6" formatCode="0.0&quot;%&quot;">
                  <c:v>10.416666666666671</c:v>
                </c:pt>
                <c:pt idx="7" formatCode="0.0&quot;%&quot;">
                  <c:v>8.0808080808080813</c:v>
                </c:pt>
                <c:pt idx="8" formatCode="0.0&quot;%&quot;">
                  <c:v>17.39130434782609</c:v>
                </c:pt>
                <c:pt idx="9" formatCode="0.0&quot;%&quot;">
                  <c:v>14.285714285714286</c:v>
                </c:pt>
                <c:pt idx="10" formatCode="0.0&quot;%&quot;">
                  <c:v>2.3809523809523809</c:v>
                </c:pt>
                <c:pt idx="12" formatCode="0.0&quot;%&quot;">
                  <c:v>8.408408408408409</c:v>
                </c:pt>
                <c:pt idx="13" formatCode="0.0&quot;%&quot;">
                  <c:v>17.365269461077837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nie, nepozná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Hárok1!$A$2:$A$15</c:f>
              <c:strCache>
                <c:ptCount val="14"/>
                <c:pt idx="0">
                  <c:v>Total</c:v>
                </c:pt>
                <c:pt idx="2">
                  <c:v>Muž</c:v>
                </c:pt>
                <c:pt idx="3">
                  <c:v>Žena</c:v>
                </c:pt>
                <c:pt idx="5">
                  <c:v>15-29 rokov</c:v>
                </c:pt>
                <c:pt idx="6">
                  <c:v>30-39 rokov</c:v>
                </c:pt>
                <c:pt idx="7">
                  <c:v>40-49 rokov</c:v>
                </c:pt>
                <c:pt idx="8">
                  <c:v>50-59 rokov</c:v>
                </c:pt>
                <c:pt idx="9">
                  <c:v>60-69 rokov</c:v>
                </c:pt>
                <c:pt idx="10">
                  <c:v>70-79 rokov</c:v>
                </c:pt>
                <c:pt idx="12">
                  <c:v>nižšie ako vysokoškolské vzdelanie</c:v>
                </c:pt>
                <c:pt idx="13">
                  <c:v>vysokoškolské vzdelanie</c:v>
                </c:pt>
              </c:strCache>
            </c:strRef>
          </c:cat>
          <c:val>
            <c:numRef>
              <c:f>Hárok1!$C$2:$C$15</c:f>
              <c:numCache>
                <c:formatCode>General</c:formatCode>
                <c:ptCount val="14"/>
                <c:pt idx="0" formatCode="0.0&quot;%&quot;">
                  <c:v>88.6</c:v>
                </c:pt>
                <c:pt idx="2" formatCode="0.0&quot;%&quot;">
                  <c:v>89.224137931034448</c:v>
                </c:pt>
                <c:pt idx="3" formatCode="0.0&quot;%&quot;">
                  <c:v>88.059701492537286</c:v>
                </c:pt>
                <c:pt idx="5" formatCode="0.0&quot;%&quot;">
                  <c:v>87.272727272727224</c:v>
                </c:pt>
                <c:pt idx="6" formatCode="0.0&quot;%&quot;">
                  <c:v>89.5833333333333</c:v>
                </c:pt>
                <c:pt idx="7" formatCode="0.0&quot;%&quot;">
                  <c:v>91.919191919191917</c:v>
                </c:pt>
                <c:pt idx="8" formatCode="0.0&quot;%&quot;">
                  <c:v>82.608695652173878</c:v>
                </c:pt>
                <c:pt idx="9" formatCode="0.0&quot;%&quot;">
                  <c:v>85.714285714285722</c:v>
                </c:pt>
                <c:pt idx="10" formatCode="0.0&quot;%&quot;">
                  <c:v>97.61904761904762</c:v>
                </c:pt>
                <c:pt idx="12" formatCode="0.0&quot;%&quot;">
                  <c:v>91.59159159159158</c:v>
                </c:pt>
                <c:pt idx="13" formatCode="0.0&quot;%&quot;">
                  <c:v>82.634730538922128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94300928"/>
        <c:axId val="194302720"/>
      </c:barChart>
      <c:catAx>
        <c:axId val="194300928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4302720"/>
        <c:crosses val="autoZero"/>
        <c:auto val="1"/>
        <c:lblAlgn val="ctr"/>
        <c:lblOffset val="100"/>
        <c:noMultiLvlLbl val="0"/>
      </c:catAx>
      <c:valAx>
        <c:axId val="194302720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4300928"/>
        <c:crosses val="autoZero"/>
        <c:crossBetween val="between"/>
      </c:valAx>
      <c:spPr>
        <a:noFill/>
      </c:spPr>
    </c:plotArea>
    <c:legend>
      <c:legendPos val="r"/>
      <c:layout>
        <c:manualLayout>
          <c:xMode val="edge"/>
          <c:yMode val="edge"/>
          <c:x val="0.26449657334499876"/>
          <c:y val="0.95039910783684234"/>
          <c:w val="0.62670713035870562"/>
          <c:h val="3.2433480218642396E-2"/>
        </c:manualLayout>
      </c:layout>
      <c:overlay val="0"/>
      <c:txPr>
        <a:bodyPr/>
        <a:lstStyle/>
        <a:p>
          <a:pPr>
            <a:defRPr sz="8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000" b="1" i="0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Poznáte informačný portál o štrukturálnych fondoch EÚ na Slovensku – </a:t>
            </a:r>
            <a:r>
              <a:rPr lang="sk-SK" sz="1000" b="1" i="0" u="sng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www.nsrr.sk</a:t>
            </a:r>
            <a:r>
              <a:rPr lang="sk-SK" sz="1000" b="1" i="0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100" b="0">
                <a:latin typeface="Arial" panose="020B0604020202020204" pitchFamily="34" charset="0"/>
                <a:cs typeface="Arial" panose="020B0604020202020204" pitchFamily="34" charset="0"/>
              </a:rPr>
              <a:t>(</a:t>
            </a: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12077537182852149"/>
          <c:y val="1.9277108433734941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31429589530475383"/>
          <c:y val="0.17188813322182425"/>
          <c:w val="0.59293215952172618"/>
          <c:h val="0.76910997713268692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áno, pozná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  <c:pt idx="11">
                  <c:v>do 1 999 obyvateľov</c:v>
                </c:pt>
                <c:pt idx="12">
                  <c:v>od 2 000 do 19 999 obyvateľov</c:v>
                </c:pt>
                <c:pt idx="13">
                  <c:v>od 20 000 do 99 999 obyvateľov</c:v>
                </c:pt>
                <c:pt idx="14">
                  <c:v>od 100 000 obyvateľov</c:v>
                </c:pt>
              </c:strCache>
            </c:strRef>
          </c:cat>
          <c:val>
            <c:numRef>
              <c:f>Hárok1!$B$2:$B$16</c:f>
              <c:numCache>
                <c:formatCode>General</c:formatCode>
                <c:ptCount val="15"/>
                <c:pt idx="0" formatCode="0.0&quot;%&quot;">
                  <c:v>11.4</c:v>
                </c:pt>
                <c:pt idx="2" formatCode="0.0&quot;%&quot;">
                  <c:v>11.666666666666671</c:v>
                </c:pt>
                <c:pt idx="3" formatCode="0.0&quot;%&quot;">
                  <c:v>5.4545454545454515</c:v>
                </c:pt>
                <c:pt idx="4" formatCode="0.0&quot;%&quot;">
                  <c:v>13.559322033898304</c:v>
                </c:pt>
                <c:pt idx="5" formatCode="0.0&quot;%&quot;">
                  <c:v>14.814814814814818</c:v>
                </c:pt>
                <c:pt idx="6" formatCode="0.0&quot;%&quot;">
                  <c:v>4.4776119402985071</c:v>
                </c:pt>
                <c:pt idx="7" formatCode="0.0&quot;%&quot;">
                  <c:v>14.285714285714286</c:v>
                </c:pt>
                <c:pt idx="8" formatCode="0.0&quot;%&quot;">
                  <c:v>12.987012987012987</c:v>
                </c:pt>
                <c:pt idx="9" formatCode="0.0&quot;%&quot;">
                  <c:v>13.888888888888889</c:v>
                </c:pt>
                <c:pt idx="11" formatCode="0.0&quot;%&quot;">
                  <c:v>16.197183098591548</c:v>
                </c:pt>
                <c:pt idx="12" formatCode="0.0&quot;%&quot;">
                  <c:v>11.320754716981135</c:v>
                </c:pt>
                <c:pt idx="13" formatCode="0.0&quot;%&quot;">
                  <c:v>8.2089552238805936</c:v>
                </c:pt>
                <c:pt idx="14" formatCode="0.0&quot;%&quot;">
                  <c:v>7.6923076923076925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nie, nepozná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  <c:pt idx="11">
                  <c:v>do 1 999 obyvateľov</c:v>
                </c:pt>
                <c:pt idx="12">
                  <c:v>od 2 000 do 19 999 obyvateľov</c:v>
                </c:pt>
                <c:pt idx="13">
                  <c:v>od 20 000 do 99 999 obyvateľov</c:v>
                </c:pt>
                <c:pt idx="14">
                  <c:v>od 100 000 obyvateľov</c:v>
                </c:pt>
              </c:strCache>
            </c:strRef>
          </c:cat>
          <c:val>
            <c:numRef>
              <c:f>Hárok1!$C$2:$C$16</c:f>
              <c:numCache>
                <c:formatCode>General</c:formatCode>
                <c:ptCount val="15"/>
                <c:pt idx="0" formatCode="0.0&quot;%&quot;">
                  <c:v>88.6</c:v>
                </c:pt>
                <c:pt idx="2" formatCode="0.0&quot;%&quot;">
                  <c:v>88.3333333333333</c:v>
                </c:pt>
                <c:pt idx="3" formatCode="0.0&quot;%&quot;">
                  <c:v>94.545454545454518</c:v>
                </c:pt>
                <c:pt idx="4" formatCode="0.0&quot;%&quot;">
                  <c:v>86.440677966101703</c:v>
                </c:pt>
                <c:pt idx="5" formatCode="0.0&quot;%&quot;">
                  <c:v>85.185185185185162</c:v>
                </c:pt>
                <c:pt idx="6" formatCode="0.0&quot;%&quot;">
                  <c:v>95.522388059701441</c:v>
                </c:pt>
                <c:pt idx="7" formatCode="0.0&quot;%&quot;">
                  <c:v>85.714285714285722</c:v>
                </c:pt>
                <c:pt idx="8" formatCode="0.0&quot;%&quot;">
                  <c:v>87.012987012986954</c:v>
                </c:pt>
                <c:pt idx="9" formatCode="0.0&quot;%&quot;">
                  <c:v>86.111111111111114</c:v>
                </c:pt>
                <c:pt idx="11" formatCode="0.0&quot;%&quot;">
                  <c:v>83.802816901408448</c:v>
                </c:pt>
                <c:pt idx="12" formatCode="0.0&quot;%&quot;">
                  <c:v>88.679245283018872</c:v>
                </c:pt>
                <c:pt idx="13" formatCode="0.0&quot;%&quot;">
                  <c:v>91.791044776119406</c:v>
                </c:pt>
                <c:pt idx="14" formatCode="0.0&quot;%&quot;">
                  <c:v>92.307692307692278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93452288"/>
        <c:axId val="124858368"/>
      </c:barChart>
      <c:catAx>
        <c:axId val="193452288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4858368"/>
        <c:crosses val="autoZero"/>
        <c:auto val="1"/>
        <c:lblAlgn val="ctr"/>
        <c:lblOffset val="100"/>
        <c:noMultiLvlLbl val="0"/>
      </c:catAx>
      <c:valAx>
        <c:axId val="124858368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3452288"/>
        <c:crosses val="autoZero"/>
        <c:crossBetween val="between"/>
      </c:valAx>
      <c:spPr>
        <a:noFill/>
      </c:spPr>
    </c:plotArea>
    <c:legend>
      <c:legendPos val="r"/>
      <c:layout>
        <c:manualLayout>
          <c:xMode val="edge"/>
          <c:yMode val="edge"/>
          <c:x val="0.26449657334499876"/>
          <c:y val="0.95039910783684234"/>
          <c:w val="0.62670713035870562"/>
          <c:h val="3.2433480218642396E-2"/>
        </c:manualLayout>
      </c:layout>
      <c:overlay val="0"/>
      <c:txPr>
        <a:bodyPr/>
        <a:lstStyle/>
        <a:p>
          <a:pPr>
            <a:defRPr sz="8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 sz="1000"/>
            </a:pPr>
            <a:r>
              <a:rPr lang="sk-SK" sz="1000" b="1">
                <a:effectLst/>
                <a:latin typeface="Arial" panose="020B0604020202020204" pitchFamily="34" charset="0"/>
                <a:cs typeface="Arial" panose="020B0604020202020204" pitchFamily="34" charset="0"/>
              </a:rPr>
              <a:t>Navštevujete informačný portál </a:t>
            </a:r>
            <a:r>
              <a:rPr lang="sk-SK" sz="1000" b="1" u="sng">
                <a:effectLst/>
                <a:latin typeface="Arial" panose="020B0604020202020204" pitchFamily="34" charset="0"/>
                <a:cs typeface="Arial" panose="020B0604020202020204" pitchFamily="34" charset="0"/>
              </a:rPr>
              <a:t>www.nsrr.sk</a:t>
            </a:r>
            <a:r>
              <a:rPr lang="sk-SK" sz="1000" b="1">
                <a:effectLst/>
                <a:latin typeface="Arial" panose="020B0604020202020204" pitchFamily="34" charset="0"/>
                <a:cs typeface="Arial" panose="020B0604020202020204" pitchFamily="34" charset="0"/>
              </a:rPr>
              <a:t> za účelom získania informácií a noviniek z oblasti štrukturálnych fondov EÚ na Slovensku?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algn="ctr"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2216626567512399"/>
          <c:y val="0.30805973981513185"/>
          <c:w val="0.82377132545931764"/>
          <c:h val="0.53203269428277977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áno, navštevuje ho pravidelne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2014</c:v>
                </c:pt>
                <c:pt idx="1">
                  <c:v>2011</c:v>
                </c:pt>
              </c:strCache>
            </c:strRef>
          </c:cat>
          <c:val>
            <c:numRef>
              <c:f>Hárok1!$B$2:$C$2</c:f>
              <c:numCache>
                <c:formatCode>General</c:formatCode>
                <c:ptCount val="2"/>
                <c:pt idx="0">
                  <c:v>10.526315789473681</c:v>
                </c:pt>
                <c:pt idx="1">
                  <c:v>2.9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navštevuje ho občas</c:v>
                </c:pt>
              </c:strCache>
            </c:strRef>
          </c:tx>
          <c:spPr>
            <a:solidFill>
              <a:srgbClr val="CDC3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2014</c:v>
                </c:pt>
                <c:pt idx="1">
                  <c:v>2011</c:v>
                </c:pt>
              </c:strCache>
            </c:strRef>
          </c:cat>
          <c:val>
            <c:numRef>
              <c:f>Hárok1!$B$3:$C$3</c:f>
              <c:numCache>
                <c:formatCode>General</c:formatCode>
                <c:ptCount val="2"/>
                <c:pt idx="0">
                  <c:v>33.333333333333336</c:v>
                </c:pt>
                <c:pt idx="1">
                  <c:v>28.6</c:v>
                </c:pt>
              </c:numCache>
            </c:numRef>
          </c:val>
        </c:ser>
        <c:ser>
          <c:idx val="2"/>
          <c:order val="2"/>
          <c:tx>
            <c:strRef>
              <c:f>Hárok1!$A$4</c:f>
              <c:strCache>
                <c:ptCount val="1"/>
                <c:pt idx="0">
                  <c:v>navštívil ho raz</c:v>
                </c:pt>
              </c:strCache>
            </c:strRef>
          </c:tx>
          <c:spPr>
            <a:solidFill>
              <a:srgbClr val="B50F22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2014</c:v>
                </c:pt>
                <c:pt idx="1">
                  <c:v>2011</c:v>
                </c:pt>
              </c:strCache>
            </c:strRef>
          </c:cat>
          <c:val>
            <c:numRef>
              <c:f>Hárok1!$B$4:$C$4</c:f>
              <c:numCache>
                <c:formatCode>General</c:formatCode>
                <c:ptCount val="2"/>
                <c:pt idx="0">
                  <c:v>21.052631578947356</c:v>
                </c:pt>
                <c:pt idx="1">
                  <c:v>31.4</c:v>
                </c:pt>
              </c:numCache>
            </c:numRef>
          </c:val>
        </c:ser>
        <c:ser>
          <c:idx val="3"/>
          <c:order val="3"/>
          <c:tx>
            <c:strRef>
              <c:f>Hárok1!$A$5</c:f>
              <c:strCache>
                <c:ptCount val="1"/>
                <c:pt idx="0">
                  <c:v>nenavštevuje ho vôbec 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dLbl>
              <c:idx val="0"/>
              <c:numFmt formatCode="#,##0" sourceLinked="0"/>
              <c:spPr/>
              <c:txPr>
                <a:bodyPr/>
                <a:lstStyle/>
                <a:p>
                  <a:pPr>
                    <a:defRPr sz="1000">
                      <a:solidFill>
                        <a:schemeClr val="bg1"/>
                      </a:solidFill>
                      <a:latin typeface="Arial" panose="020B0604020202020204" pitchFamily="34" charset="0"/>
                      <a:cs typeface="Arial" panose="020B0604020202020204" pitchFamily="34" charset="0"/>
                    </a:defRPr>
                  </a:pPr>
                  <a:endParaRPr lang="sk-SK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2014</c:v>
                </c:pt>
                <c:pt idx="1">
                  <c:v>2011</c:v>
                </c:pt>
              </c:strCache>
            </c:strRef>
          </c:cat>
          <c:val>
            <c:numRef>
              <c:f>Hárok1!$B$5:$C$5</c:f>
              <c:numCache>
                <c:formatCode>General</c:formatCode>
                <c:ptCount val="2"/>
                <c:pt idx="0">
                  <c:v>35.087719298245602</c:v>
                </c:pt>
                <c:pt idx="1">
                  <c:v>37.1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4912000"/>
        <c:axId val="124913536"/>
      </c:barChart>
      <c:catAx>
        <c:axId val="124912000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4913536"/>
        <c:crosses val="autoZero"/>
        <c:auto val="1"/>
        <c:lblAlgn val="ctr"/>
        <c:lblOffset val="100"/>
        <c:noMultiLvlLbl val="0"/>
      </c:catAx>
      <c:valAx>
        <c:axId val="124913536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4912000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0.12792249927092453"/>
          <c:y val="0.87437578454867082"/>
          <c:w val="0.83592009332166839"/>
          <c:h val="9.663870820495267E-2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 sz="1000"/>
            </a:pP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Ako by ste ohodnotili úroveň prehľadnosti portálu </a:t>
            </a:r>
            <a:r>
              <a:rPr lang="sk-SK" sz="1000" b="1" i="0" u="sng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www.nsrr.sk</a:t>
            </a: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?</a:t>
            </a:r>
          </a:p>
          <a:p>
            <a:pPr algn="ctr"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1290700641586465"/>
          <c:y val="0.25371191372817525"/>
          <c:w val="0.83303058471857683"/>
          <c:h val="0.53203269428277977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veľmi prehľadný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2014</c:v>
                </c:pt>
                <c:pt idx="1">
                  <c:v>2011</c:v>
                </c:pt>
              </c:strCache>
            </c:strRef>
          </c:cat>
          <c:val>
            <c:numRef>
              <c:f>Hárok1!$B$2:$C$2</c:f>
              <c:numCache>
                <c:formatCode>General</c:formatCode>
                <c:ptCount val="2"/>
                <c:pt idx="0">
                  <c:v>5.4054054054054053</c:v>
                </c:pt>
                <c:pt idx="1">
                  <c:v>31.8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skôr prehľadný</c:v>
                </c:pt>
              </c:strCache>
            </c:strRef>
          </c:tx>
          <c:spPr>
            <a:solidFill>
              <a:srgbClr val="CDC3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2014</c:v>
                </c:pt>
                <c:pt idx="1">
                  <c:v>2011</c:v>
                </c:pt>
              </c:strCache>
            </c:strRef>
          </c:cat>
          <c:val>
            <c:numRef>
              <c:f>Hárok1!$B$3:$C$3</c:f>
              <c:numCache>
                <c:formatCode>General</c:formatCode>
                <c:ptCount val="2"/>
                <c:pt idx="0">
                  <c:v>81.081081081081081</c:v>
                </c:pt>
                <c:pt idx="1">
                  <c:v>0</c:v>
                </c:pt>
              </c:numCache>
            </c:numRef>
          </c:val>
        </c:ser>
        <c:ser>
          <c:idx val="2"/>
          <c:order val="2"/>
          <c:tx>
            <c:strRef>
              <c:f>Hárok1!$A$4</c:f>
              <c:strCache>
                <c:ptCount val="1"/>
                <c:pt idx="0">
                  <c:v>skôr neprehľadný</c:v>
                </c:pt>
              </c:strCache>
            </c:strRef>
          </c:tx>
          <c:spPr>
            <a:solidFill>
              <a:srgbClr val="B50F22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2014</c:v>
                </c:pt>
                <c:pt idx="1">
                  <c:v>2011</c:v>
                </c:pt>
              </c:strCache>
            </c:strRef>
          </c:cat>
          <c:val>
            <c:numRef>
              <c:f>Hárok1!$B$4:$C$4</c:f>
              <c:numCache>
                <c:formatCode>General</c:formatCode>
                <c:ptCount val="2"/>
                <c:pt idx="0">
                  <c:v>13.513513513513514</c:v>
                </c:pt>
                <c:pt idx="1">
                  <c:v>59.1</c:v>
                </c:pt>
              </c:numCache>
            </c:numRef>
          </c:val>
        </c:ser>
        <c:ser>
          <c:idx val="3"/>
          <c:order val="3"/>
          <c:tx>
            <c:strRef>
              <c:f>Hárok1!$A$5</c:f>
              <c:strCache>
                <c:ptCount val="1"/>
                <c:pt idx="0">
                  <c:v>úplne neprehľadný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2014</c:v>
                </c:pt>
                <c:pt idx="1">
                  <c:v>2011</c:v>
                </c:pt>
              </c:strCache>
            </c:strRef>
          </c:cat>
          <c:val>
            <c:numRef>
              <c:f>Hárok1!$B$5:$C$5</c:f>
              <c:numCache>
                <c:formatCode>General</c:formatCode>
                <c:ptCount val="2"/>
                <c:pt idx="0">
                  <c:v>0</c:v>
                </c:pt>
                <c:pt idx="1">
                  <c:v>9.1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4909440"/>
        <c:axId val="124910976"/>
      </c:barChart>
      <c:catAx>
        <c:axId val="124909440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4910976"/>
        <c:crosses val="autoZero"/>
        <c:auto val="1"/>
        <c:lblAlgn val="ctr"/>
        <c:lblOffset val="100"/>
        <c:noMultiLvlLbl val="0"/>
      </c:catAx>
      <c:valAx>
        <c:axId val="124910976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4909440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0.16727435112277636"/>
          <c:y val="0.83452071208490264"/>
          <c:w val="0.66888305628463141"/>
          <c:h val="0.11475465023393819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 sz="1000"/>
            </a:pP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Do akej miery sa cítite byť informovaný o operačných programoch, teda o cieľoch a spôsobe rozdelenia finančných prostriedkov z EÚ určených pre Slovensko?</a:t>
            </a:r>
          </a:p>
          <a:p>
            <a:pPr algn="ctr"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2911071011956837"/>
          <c:y val="0.28269742097455208"/>
          <c:w val="0.81682688101487333"/>
          <c:h val="0.59362689718133055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veľmi  dobre informovaný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Hárok1!$B$2:$D$2</c:f>
              <c:numCache>
                <c:formatCode>General</c:formatCode>
                <c:ptCount val="3"/>
                <c:pt idx="0">
                  <c:v>2.6</c:v>
                </c:pt>
                <c:pt idx="1">
                  <c:v>1</c:v>
                </c:pt>
                <c:pt idx="2">
                  <c:v>2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skôr dobre informovaný</c:v>
                </c:pt>
              </c:strCache>
            </c:strRef>
          </c:tx>
          <c:spPr>
            <a:solidFill>
              <a:srgbClr val="CDC3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Hárok1!$B$3:$D$3</c:f>
              <c:numCache>
                <c:formatCode>General</c:formatCode>
                <c:ptCount val="3"/>
                <c:pt idx="0">
                  <c:v>30.8</c:v>
                </c:pt>
                <c:pt idx="1">
                  <c:v>25.7</c:v>
                </c:pt>
                <c:pt idx="2">
                  <c:v>32</c:v>
                </c:pt>
              </c:numCache>
            </c:numRef>
          </c:val>
        </c:ser>
        <c:ser>
          <c:idx val="2"/>
          <c:order val="2"/>
          <c:tx>
            <c:strRef>
              <c:f>Hárok1!$A$4</c:f>
              <c:strCache>
                <c:ptCount val="1"/>
                <c:pt idx="0">
                  <c:v>skôr zle informovaný</c:v>
                </c:pt>
              </c:strCache>
            </c:strRef>
          </c:tx>
          <c:spPr>
            <a:solidFill>
              <a:srgbClr val="B50F22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Hárok1!$B$4:$D$4</c:f>
              <c:numCache>
                <c:formatCode>General</c:formatCode>
                <c:ptCount val="3"/>
                <c:pt idx="0">
                  <c:v>42</c:v>
                </c:pt>
                <c:pt idx="1">
                  <c:v>54.5</c:v>
                </c:pt>
                <c:pt idx="2">
                  <c:v>45</c:v>
                </c:pt>
              </c:numCache>
            </c:numRef>
          </c:val>
        </c:ser>
        <c:ser>
          <c:idx val="3"/>
          <c:order val="3"/>
          <c:tx>
            <c:strRef>
              <c:f>Hárok1!$A$5</c:f>
              <c:strCache>
                <c:ptCount val="1"/>
                <c:pt idx="0">
                  <c:v>veľmi zle informovaný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Hárok1!$B$5:$D$5</c:f>
              <c:numCache>
                <c:formatCode>General</c:formatCode>
                <c:ptCount val="3"/>
                <c:pt idx="0">
                  <c:v>24.6</c:v>
                </c:pt>
                <c:pt idx="1">
                  <c:v>18.8</c:v>
                </c:pt>
                <c:pt idx="2">
                  <c:v>21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5029760"/>
        <c:axId val="125047936"/>
      </c:barChart>
      <c:catAx>
        <c:axId val="125029760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047936"/>
        <c:crosses val="autoZero"/>
        <c:auto val="1"/>
        <c:lblAlgn val="ctr"/>
        <c:lblOffset val="100"/>
        <c:noMultiLvlLbl val="0"/>
      </c:catAx>
      <c:valAx>
        <c:axId val="125047936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029760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0.22282990667833188"/>
          <c:y val="0.8852453497660614"/>
          <c:w val="0.59712379702537177"/>
          <c:h val="0.11475465023393819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clustered"/>
        <c:varyColors val="1"/>
        <c:ser>
          <c:idx val="0"/>
          <c:order val="0"/>
          <c:invertIfNegative val="0"/>
          <c:dLbls>
            <c:txPr>
              <a:bodyPr/>
              <a:lstStyle/>
              <a:p>
                <a:pPr>
                  <a:defRPr sz="900"/>
                </a:pPr>
                <a:endParaRPr lang="sk-SK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Hárok4!$A$2:$A$9</c:f>
              <c:strCache>
                <c:ptCount val="8"/>
                <c:pt idx="0">
                  <c:v>Bratislavský kraj</c:v>
                </c:pt>
                <c:pt idx="1">
                  <c:v>Trnavský kraj</c:v>
                </c:pt>
                <c:pt idx="2">
                  <c:v>Trenčianský kraj</c:v>
                </c:pt>
                <c:pt idx="3">
                  <c:v>Nitrianský kraj</c:v>
                </c:pt>
                <c:pt idx="4">
                  <c:v>Žilinský kraj</c:v>
                </c:pt>
                <c:pt idx="5">
                  <c:v>Banskobystrický kraj</c:v>
                </c:pt>
                <c:pt idx="6">
                  <c:v>Prešovský kraj</c:v>
                </c:pt>
                <c:pt idx="7">
                  <c:v>Košický kraj</c:v>
                </c:pt>
              </c:strCache>
            </c:strRef>
          </c:cat>
          <c:val>
            <c:numRef>
              <c:f>Hárok4!$L$2:$L$9</c:f>
              <c:numCache>
                <c:formatCode>#,##0</c:formatCode>
                <c:ptCount val="8"/>
                <c:pt idx="0">
                  <c:v>618380</c:v>
                </c:pt>
                <c:pt idx="1">
                  <c:v>557608</c:v>
                </c:pt>
                <c:pt idx="2">
                  <c:v>592394</c:v>
                </c:pt>
                <c:pt idx="3">
                  <c:v>686662</c:v>
                </c:pt>
                <c:pt idx="4">
                  <c:v>690420</c:v>
                </c:pt>
                <c:pt idx="5">
                  <c:v>656813</c:v>
                </c:pt>
                <c:pt idx="6">
                  <c:v>818916</c:v>
                </c:pt>
                <c:pt idx="7">
                  <c:v>794756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17558272"/>
        <c:axId val="117564160"/>
      </c:barChart>
      <c:catAx>
        <c:axId val="117558272"/>
        <c:scaling>
          <c:orientation val="minMax"/>
        </c:scaling>
        <c:delete val="0"/>
        <c:axPos val="b"/>
        <c:majorTickMark val="out"/>
        <c:minorTickMark val="none"/>
        <c:tickLblPos val="nextTo"/>
        <c:crossAx val="117564160"/>
        <c:crosses val="autoZero"/>
        <c:auto val="1"/>
        <c:lblAlgn val="ctr"/>
        <c:lblOffset val="100"/>
        <c:noMultiLvlLbl val="0"/>
      </c:catAx>
      <c:valAx>
        <c:axId val="117564160"/>
        <c:scaling>
          <c:orientation val="minMax"/>
          <c:max val="1000000"/>
        </c:scaling>
        <c:delete val="0"/>
        <c:axPos val="l"/>
        <c:numFmt formatCode="#,##0" sourceLinked="1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sk-SK"/>
          </a:p>
        </c:txPr>
        <c:crossAx val="117558272"/>
        <c:crosses val="autoZero"/>
        <c:crossBetween val="between"/>
        <c:majorUnit val="250000"/>
      </c:valAx>
    </c:plotArea>
    <c:plotVisOnly val="1"/>
    <c:dispBlanksAs val="gap"/>
    <c:showDLblsOverMax val="0"/>
  </c:chart>
  <c:externalData r:id="rId2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000" b="1" i="0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Do akej miery sa cítite byť informovaný o operačných programoch, teda o cieľoch a spôsobe rozdelenia finančných prostriedkov z EÚ určených pre Slovensko?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100" b="0">
                <a:latin typeface="Arial" panose="020B0604020202020204" pitchFamily="34" charset="0"/>
                <a:cs typeface="Arial" panose="020B0604020202020204" pitchFamily="34" charset="0"/>
              </a:rPr>
              <a:t>(</a:t>
            </a: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12077537182852149"/>
          <c:y val="6.1766897041799921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30967847769028872"/>
          <c:y val="0.22565000542815364"/>
          <c:w val="0.66098133566637507"/>
          <c:h val="0.70567197348506616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skôr alebo veľmi dobre informovaný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Hárok1!$A$2:$A$15</c:f>
              <c:strCache>
                <c:ptCount val="14"/>
                <c:pt idx="0">
                  <c:v>Total</c:v>
                </c:pt>
                <c:pt idx="2">
                  <c:v>Muž</c:v>
                </c:pt>
                <c:pt idx="3">
                  <c:v>Žena</c:v>
                </c:pt>
                <c:pt idx="5">
                  <c:v>15-29 rokov</c:v>
                </c:pt>
                <c:pt idx="6">
                  <c:v>30-39 rokov</c:v>
                </c:pt>
                <c:pt idx="7">
                  <c:v>40-49 rokov</c:v>
                </c:pt>
                <c:pt idx="8">
                  <c:v>50-59 rokov</c:v>
                </c:pt>
                <c:pt idx="9">
                  <c:v>60-69 rokov</c:v>
                </c:pt>
                <c:pt idx="10">
                  <c:v>70-79 rokov</c:v>
                </c:pt>
                <c:pt idx="12">
                  <c:v>nižšie ako vysokoškolské vzdelanie</c:v>
                </c:pt>
                <c:pt idx="13">
                  <c:v>vysokoškolské vzdelanie</c:v>
                </c:pt>
              </c:strCache>
            </c:strRef>
          </c:cat>
          <c:val>
            <c:numRef>
              <c:f>Hárok1!$B$2:$B$15</c:f>
              <c:numCache>
                <c:formatCode>General</c:formatCode>
                <c:ptCount val="14"/>
                <c:pt idx="0" formatCode="0.0&quot;%&quot;">
                  <c:v>33.4</c:v>
                </c:pt>
                <c:pt idx="2" formatCode="0.0&quot;%&quot;">
                  <c:v>32.327586206896541</c:v>
                </c:pt>
                <c:pt idx="3" formatCode="0.0&quot;%&quot;">
                  <c:v>34.328358208955251</c:v>
                </c:pt>
                <c:pt idx="5" formatCode="0.0&quot;%&quot;">
                  <c:v>26.363636363636356</c:v>
                </c:pt>
                <c:pt idx="6" formatCode="0.0&quot;%&quot;">
                  <c:v>30.208333333333311</c:v>
                </c:pt>
                <c:pt idx="7" formatCode="0.0&quot;%&quot;">
                  <c:v>34.343434343434346</c:v>
                </c:pt>
                <c:pt idx="8" formatCode="0.0&quot;%&quot;">
                  <c:v>28.985507246376795</c:v>
                </c:pt>
                <c:pt idx="9" formatCode="0.0&quot;%&quot;">
                  <c:v>41.666666666666636</c:v>
                </c:pt>
                <c:pt idx="10" formatCode="0.0&quot;%&quot;">
                  <c:v>47.619047619047592</c:v>
                </c:pt>
                <c:pt idx="12" formatCode="0.0&quot;%&quot;">
                  <c:v>36.036036036036037</c:v>
                </c:pt>
                <c:pt idx="13" formatCode="0.0&quot;%&quot;">
                  <c:v>28.143712574850287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skôr alebo veľmi zle informovaný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Hárok1!$A$2:$A$15</c:f>
              <c:strCache>
                <c:ptCount val="14"/>
                <c:pt idx="0">
                  <c:v>Total</c:v>
                </c:pt>
                <c:pt idx="2">
                  <c:v>Muž</c:v>
                </c:pt>
                <c:pt idx="3">
                  <c:v>Žena</c:v>
                </c:pt>
                <c:pt idx="5">
                  <c:v>15-29 rokov</c:v>
                </c:pt>
                <c:pt idx="6">
                  <c:v>30-39 rokov</c:v>
                </c:pt>
                <c:pt idx="7">
                  <c:v>40-49 rokov</c:v>
                </c:pt>
                <c:pt idx="8">
                  <c:v>50-59 rokov</c:v>
                </c:pt>
                <c:pt idx="9">
                  <c:v>60-69 rokov</c:v>
                </c:pt>
                <c:pt idx="10">
                  <c:v>70-79 rokov</c:v>
                </c:pt>
                <c:pt idx="12">
                  <c:v>nižšie ako vysokoškolské vzdelanie</c:v>
                </c:pt>
                <c:pt idx="13">
                  <c:v>vysokoškolské vzdelanie</c:v>
                </c:pt>
              </c:strCache>
            </c:strRef>
          </c:cat>
          <c:val>
            <c:numRef>
              <c:f>Hárok1!$C$2:$C$15</c:f>
              <c:numCache>
                <c:formatCode>General</c:formatCode>
                <c:ptCount val="14"/>
                <c:pt idx="0" formatCode="0.0&quot;%&quot;">
                  <c:v>66.599999999999994</c:v>
                </c:pt>
                <c:pt idx="2" formatCode="0.0&quot;%&quot;">
                  <c:v>67.672413793103459</c:v>
                </c:pt>
                <c:pt idx="3" formatCode="0.0&quot;%&quot;">
                  <c:v>65.671641791044749</c:v>
                </c:pt>
                <c:pt idx="5" formatCode="0.0&quot;%&quot;">
                  <c:v>73.63636363636364</c:v>
                </c:pt>
                <c:pt idx="6" formatCode="0.0&quot;%&quot;">
                  <c:v>69.791666666666686</c:v>
                </c:pt>
                <c:pt idx="7" formatCode="0.0&quot;%&quot;">
                  <c:v>65.656565656565618</c:v>
                </c:pt>
                <c:pt idx="8" formatCode="0.0&quot;%&quot;">
                  <c:v>71.014492753623188</c:v>
                </c:pt>
                <c:pt idx="9" formatCode="0.0&quot;%&quot;">
                  <c:v>58.333333333333329</c:v>
                </c:pt>
                <c:pt idx="10" formatCode="0.0&quot;%&quot;">
                  <c:v>52.38095238095238</c:v>
                </c:pt>
                <c:pt idx="12" formatCode="0.0&quot;%&quot;">
                  <c:v>63.963963963963955</c:v>
                </c:pt>
                <c:pt idx="13" formatCode="0.0&quot;%&quot;">
                  <c:v>71.856287425149702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5086720"/>
        <c:axId val="125088512"/>
      </c:barChart>
      <c:catAx>
        <c:axId val="125086720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088512"/>
        <c:crosses val="autoZero"/>
        <c:auto val="1"/>
        <c:lblAlgn val="ctr"/>
        <c:lblOffset val="100"/>
        <c:noMultiLvlLbl val="0"/>
      </c:catAx>
      <c:valAx>
        <c:axId val="125088512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086720"/>
        <c:crosses val="autoZero"/>
        <c:crossBetween val="between"/>
      </c:valAx>
      <c:spPr>
        <a:noFill/>
      </c:spPr>
    </c:plotArea>
    <c:legend>
      <c:legendPos val="r"/>
      <c:layout>
        <c:manualLayout>
          <c:xMode val="edge"/>
          <c:yMode val="edge"/>
          <c:x val="0.13718175853018372"/>
          <c:y val="0.94965224356552391"/>
          <c:w val="0.75170713035870518"/>
          <c:h val="3.2433480218642396E-2"/>
        </c:manualLayout>
      </c:layout>
      <c:overlay val="0"/>
      <c:txPr>
        <a:bodyPr/>
        <a:lstStyle/>
        <a:p>
          <a:pPr>
            <a:defRPr sz="8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000" b="1" i="0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Do akej miery sa cítite byť informovaný o operačných programoch, teda o cieľoch a spôsobe rozdelenia finančných prostriedkov z EÚ určených pre Slovensko?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100" b="0">
                <a:latin typeface="Arial" panose="020B0604020202020204" pitchFamily="34" charset="0"/>
                <a:cs typeface="Arial" panose="020B0604020202020204" pitchFamily="34" charset="0"/>
              </a:rPr>
              <a:t>(</a:t>
            </a: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12077537182852149"/>
          <c:y val="6.1766897041799921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31429589530475383"/>
          <c:y val="0.1867204456585784"/>
          <c:w val="0.59293215952172618"/>
          <c:h val="0.74460138739855253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skôr alebo veľmi dobre informovaný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  <c:pt idx="11">
                  <c:v>do 1 999 obyvateľov</c:v>
                </c:pt>
                <c:pt idx="12">
                  <c:v>od 2 000 do 19 999 obyvateľov</c:v>
                </c:pt>
                <c:pt idx="13">
                  <c:v>od 20 000 do 99 999 obyvateľov</c:v>
                </c:pt>
                <c:pt idx="14">
                  <c:v>od 100 000 obyvateľov</c:v>
                </c:pt>
              </c:strCache>
            </c:strRef>
          </c:cat>
          <c:val>
            <c:numRef>
              <c:f>Hárok1!$B$2:$B$16</c:f>
              <c:numCache>
                <c:formatCode>General</c:formatCode>
                <c:ptCount val="15"/>
                <c:pt idx="0" formatCode="0.0&quot;%&quot;">
                  <c:v>33.4</c:v>
                </c:pt>
                <c:pt idx="2" formatCode="0.0&quot;%&quot;">
                  <c:v>21.666666666666668</c:v>
                </c:pt>
                <c:pt idx="3" formatCode="0.0&quot;%&quot;">
                  <c:v>43.636363636363626</c:v>
                </c:pt>
                <c:pt idx="4" formatCode="0.0&quot;%&quot;">
                  <c:v>33.898305084745779</c:v>
                </c:pt>
                <c:pt idx="5" formatCode="0.0&quot;%&quot;">
                  <c:v>29.629629629629626</c:v>
                </c:pt>
                <c:pt idx="6" formatCode="0.0&quot;%&quot;">
                  <c:v>35.820895522388057</c:v>
                </c:pt>
                <c:pt idx="7" formatCode="0.0&quot;%&quot;">
                  <c:v>42.85714285714284</c:v>
                </c:pt>
                <c:pt idx="8" formatCode="0.0&quot;%&quot;">
                  <c:v>31.168831168831176</c:v>
                </c:pt>
                <c:pt idx="9" formatCode="0.0&quot;%&quot;">
                  <c:v>30.555555555555557</c:v>
                </c:pt>
                <c:pt idx="11" formatCode="0.0&quot;%&quot;">
                  <c:v>40.845070422535208</c:v>
                </c:pt>
                <c:pt idx="12" formatCode="0.0&quot;%&quot;">
                  <c:v>35.220125786163543</c:v>
                </c:pt>
                <c:pt idx="13" formatCode="0.0&quot;%&quot;">
                  <c:v>29.1044776119403</c:v>
                </c:pt>
                <c:pt idx="14" formatCode="0.0&quot;%&quot;">
                  <c:v>21.538461538461533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skôr alebo veľmi zle informovaný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  <c:pt idx="11">
                  <c:v>do 1 999 obyvateľov</c:v>
                </c:pt>
                <c:pt idx="12">
                  <c:v>od 2 000 do 19 999 obyvateľov</c:v>
                </c:pt>
                <c:pt idx="13">
                  <c:v>od 20 000 do 99 999 obyvateľov</c:v>
                </c:pt>
                <c:pt idx="14">
                  <c:v>od 100 000 obyvateľov</c:v>
                </c:pt>
              </c:strCache>
            </c:strRef>
          </c:cat>
          <c:val>
            <c:numRef>
              <c:f>Hárok1!$C$2:$C$16</c:f>
              <c:numCache>
                <c:formatCode>General</c:formatCode>
                <c:ptCount val="15"/>
                <c:pt idx="0" formatCode="0.0&quot;%&quot;">
                  <c:v>66.599999999999994</c:v>
                </c:pt>
                <c:pt idx="2" formatCode="0.0&quot;%&quot;">
                  <c:v>78.333333333333314</c:v>
                </c:pt>
                <c:pt idx="3" formatCode="0.0&quot;%&quot;">
                  <c:v>56.363636363636338</c:v>
                </c:pt>
                <c:pt idx="4" formatCode="0.0&quot;%&quot;">
                  <c:v>66.101694915254228</c:v>
                </c:pt>
                <c:pt idx="5" formatCode="0.0&quot;%&quot;">
                  <c:v>70.370370370370338</c:v>
                </c:pt>
                <c:pt idx="6" formatCode="0.0&quot;%&quot;">
                  <c:v>64.179104477611915</c:v>
                </c:pt>
                <c:pt idx="7" formatCode="0.0&quot;%&quot;">
                  <c:v>57.142857142857153</c:v>
                </c:pt>
                <c:pt idx="8" formatCode="0.0&quot;%&quot;">
                  <c:v>68.83116883116881</c:v>
                </c:pt>
                <c:pt idx="9" formatCode="0.0&quot;%&quot;">
                  <c:v>69.444444444444471</c:v>
                </c:pt>
                <c:pt idx="11" formatCode="0.0&quot;%&quot;">
                  <c:v>59.15492957746477</c:v>
                </c:pt>
                <c:pt idx="12" formatCode="0.0&quot;%&quot;">
                  <c:v>64.779874213836436</c:v>
                </c:pt>
                <c:pt idx="13" formatCode="0.0&quot;%&quot;">
                  <c:v>70.895522388059689</c:v>
                </c:pt>
                <c:pt idx="14" formatCode="0.0&quot;%&quot;">
                  <c:v>78.461538461538467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5176448"/>
        <c:axId val="125194624"/>
      </c:barChart>
      <c:catAx>
        <c:axId val="125176448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194624"/>
        <c:crosses val="autoZero"/>
        <c:auto val="1"/>
        <c:lblAlgn val="ctr"/>
        <c:lblOffset val="100"/>
        <c:noMultiLvlLbl val="0"/>
      </c:catAx>
      <c:valAx>
        <c:axId val="125194624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176448"/>
        <c:crosses val="autoZero"/>
        <c:crossBetween val="between"/>
      </c:valAx>
      <c:spPr>
        <a:noFill/>
      </c:spPr>
    </c:plotArea>
    <c:legend>
      <c:legendPos val="r"/>
      <c:layout>
        <c:manualLayout>
          <c:xMode val="edge"/>
          <c:yMode val="edge"/>
          <c:x val="0.26218175853018361"/>
          <c:y val="0.94965224356552391"/>
          <c:w val="0.62670713035870562"/>
          <c:h val="3.2433480218642396E-2"/>
        </c:manualLayout>
      </c:layout>
      <c:overlay val="0"/>
      <c:txPr>
        <a:bodyPr/>
        <a:lstStyle/>
        <a:p>
          <a:pPr>
            <a:defRPr sz="8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 sz="1000"/>
            </a:pP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Do akej miery považujete informácie o  operačných programoch za zrozumiteľné?</a:t>
            </a:r>
          </a:p>
          <a:p>
            <a:pPr algn="ctr"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1290700641586465"/>
          <c:y val="0.25371191372817525"/>
          <c:w val="0.83303058471857683"/>
          <c:h val="0.58638052036973609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úplne zrozumiteľné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Hárok1!$B$2:$D$2</c:f>
              <c:numCache>
                <c:formatCode>General</c:formatCode>
                <c:ptCount val="3"/>
                <c:pt idx="0">
                  <c:v>2.8</c:v>
                </c:pt>
                <c:pt idx="1">
                  <c:v>6.2</c:v>
                </c:pt>
                <c:pt idx="2">
                  <c:v>8.3000000000000007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skôr zrozumiteľné</c:v>
                </c:pt>
              </c:strCache>
            </c:strRef>
          </c:tx>
          <c:spPr>
            <a:solidFill>
              <a:srgbClr val="CDC3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Hárok1!$B$3:$D$3</c:f>
              <c:numCache>
                <c:formatCode>General</c:formatCode>
                <c:ptCount val="3"/>
                <c:pt idx="0">
                  <c:v>47.4</c:v>
                </c:pt>
                <c:pt idx="1">
                  <c:v>63.4</c:v>
                </c:pt>
                <c:pt idx="2">
                  <c:v>63.1</c:v>
                </c:pt>
              </c:numCache>
            </c:numRef>
          </c:val>
        </c:ser>
        <c:ser>
          <c:idx val="2"/>
          <c:order val="2"/>
          <c:tx>
            <c:strRef>
              <c:f>Hárok1!$A$4</c:f>
              <c:strCache>
                <c:ptCount val="1"/>
                <c:pt idx="0">
                  <c:v>skôr nezrozumiteľné</c:v>
                </c:pt>
              </c:strCache>
            </c:strRef>
          </c:tx>
          <c:spPr>
            <a:solidFill>
              <a:srgbClr val="B50F22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Hárok1!$B$4:$D$4</c:f>
              <c:numCache>
                <c:formatCode>General</c:formatCode>
                <c:ptCount val="3"/>
                <c:pt idx="0">
                  <c:v>42.4</c:v>
                </c:pt>
                <c:pt idx="1">
                  <c:v>29.5</c:v>
                </c:pt>
                <c:pt idx="2">
                  <c:v>27.4</c:v>
                </c:pt>
              </c:numCache>
            </c:numRef>
          </c:val>
        </c:ser>
        <c:ser>
          <c:idx val="3"/>
          <c:order val="3"/>
          <c:tx>
            <c:strRef>
              <c:f>Hárok1!$A$5</c:f>
              <c:strCache>
                <c:ptCount val="1"/>
                <c:pt idx="0">
                  <c:v>úplne nezrozumiteľné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Hárok1!$B$5:$D$5</c:f>
              <c:numCache>
                <c:formatCode>General</c:formatCode>
                <c:ptCount val="3"/>
                <c:pt idx="0">
                  <c:v>7.4</c:v>
                </c:pt>
                <c:pt idx="1">
                  <c:v>0.9</c:v>
                </c:pt>
                <c:pt idx="2">
                  <c:v>1.2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5244160"/>
        <c:axId val="125245696"/>
      </c:barChart>
      <c:catAx>
        <c:axId val="125244160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245696"/>
        <c:crosses val="autoZero"/>
        <c:auto val="1"/>
        <c:lblAlgn val="ctr"/>
        <c:lblOffset val="100"/>
        <c:noMultiLvlLbl val="0"/>
      </c:catAx>
      <c:valAx>
        <c:axId val="125245696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244160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0.18579286964129493"/>
          <c:y val="0.85988303092548235"/>
          <c:w val="0.67582750072907583"/>
          <c:h val="0.10750827342234398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 sz="1000"/>
            </a:pPr>
            <a:r>
              <a:rPr lang="sk-SK" sz="1000" b="1" i="0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Do akej miery považujete informácie o  operačných programoch za zrozumiteľné?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algn="ctr"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46632144940215808"/>
          <c:y val="0.25371191372817525"/>
          <c:w val="0.49019484543598718"/>
          <c:h val="0.5610182015291566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úplne zrozumiteľné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hodnotenie všetkých respondentov</c:v>
                </c:pt>
                <c:pt idx="1">
                  <c:v>hodnotenie tých, ktorí sú veľmi dobre alebo skôr dobre informovaní</c:v>
                </c:pt>
              </c:strCache>
            </c:strRef>
          </c:cat>
          <c:val>
            <c:numRef>
              <c:f>Hárok1!$B$2:$C$2</c:f>
              <c:numCache>
                <c:formatCode>General</c:formatCode>
                <c:ptCount val="2"/>
                <c:pt idx="0">
                  <c:v>2.8</c:v>
                </c:pt>
                <c:pt idx="1">
                  <c:v>5.9880239520958094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skôr zrozumiteľné</c:v>
                </c:pt>
              </c:strCache>
            </c:strRef>
          </c:tx>
          <c:spPr>
            <a:solidFill>
              <a:srgbClr val="0087C8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hodnotenie všetkých respondentov</c:v>
                </c:pt>
                <c:pt idx="1">
                  <c:v>hodnotenie tých, ktorí sú veľmi dobre alebo skôr dobre informovaní</c:v>
                </c:pt>
              </c:strCache>
            </c:strRef>
          </c:cat>
          <c:val>
            <c:numRef>
              <c:f>Hárok1!$B$3:$C$3</c:f>
              <c:numCache>
                <c:formatCode>General</c:formatCode>
                <c:ptCount val="2"/>
                <c:pt idx="0">
                  <c:v>47.4</c:v>
                </c:pt>
                <c:pt idx="1">
                  <c:v>67.664670658682638</c:v>
                </c:pt>
              </c:numCache>
            </c:numRef>
          </c:val>
        </c:ser>
        <c:ser>
          <c:idx val="2"/>
          <c:order val="2"/>
          <c:tx>
            <c:strRef>
              <c:f>Hárok1!$A$4</c:f>
              <c:strCache>
                <c:ptCount val="1"/>
                <c:pt idx="0">
                  <c:v>skôr nezrozumiteľné</c:v>
                </c:pt>
              </c:strCache>
            </c:strRef>
          </c:tx>
          <c:spPr>
            <a:solidFill>
              <a:srgbClr val="B50F22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hodnotenie všetkých respondentov</c:v>
                </c:pt>
                <c:pt idx="1">
                  <c:v>hodnotenie tých, ktorí sú veľmi dobre alebo skôr dobre informovaní</c:v>
                </c:pt>
              </c:strCache>
            </c:strRef>
          </c:cat>
          <c:val>
            <c:numRef>
              <c:f>Hárok1!$B$4:$C$4</c:f>
              <c:numCache>
                <c:formatCode>General</c:formatCode>
                <c:ptCount val="2"/>
                <c:pt idx="0">
                  <c:v>42.4</c:v>
                </c:pt>
                <c:pt idx="1">
                  <c:v>23.952095808383223</c:v>
                </c:pt>
              </c:numCache>
            </c:numRef>
          </c:val>
        </c:ser>
        <c:ser>
          <c:idx val="3"/>
          <c:order val="3"/>
          <c:tx>
            <c:strRef>
              <c:f>Hárok1!$A$5</c:f>
              <c:strCache>
                <c:ptCount val="1"/>
                <c:pt idx="0">
                  <c:v>úplne nezrozumiteľné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#,##0" sourceLinked="0"/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hodnotenie všetkých respondentov</c:v>
                </c:pt>
                <c:pt idx="1">
                  <c:v>hodnotenie tých, ktorí sú veľmi dobre alebo skôr dobre informovaní</c:v>
                </c:pt>
              </c:strCache>
            </c:strRef>
          </c:cat>
          <c:val>
            <c:numRef>
              <c:f>Hárok1!$B$5:$C$5</c:f>
              <c:numCache>
                <c:formatCode>General</c:formatCode>
                <c:ptCount val="2"/>
                <c:pt idx="0">
                  <c:v>7.4</c:v>
                </c:pt>
                <c:pt idx="1">
                  <c:v>2.3952095808383227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5311616"/>
        <c:axId val="125346176"/>
      </c:barChart>
      <c:catAx>
        <c:axId val="125311616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346176"/>
        <c:crosses val="autoZero"/>
        <c:auto val="1"/>
        <c:lblAlgn val="ctr"/>
        <c:lblOffset val="100"/>
        <c:noMultiLvlLbl val="0"/>
      </c:catAx>
      <c:valAx>
        <c:axId val="125346176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311616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0.22282990667833188"/>
          <c:y val="0.87799897295446783"/>
          <c:w val="0.66656824146981641"/>
          <c:h val="0.10026189661074975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 sz="1000"/>
            </a:pP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Ako by ste ohodnotili dostupnosť informácií o  operačných programoch?</a:t>
            </a:r>
          </a:p>
          <a:p>
            <a:pPr algn="ctr"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2911071011956837"/>
          <c:y val="0.25371191372817525"/>
          <c:w val="0.81682688101487333"/>
          <c:h val="0.53203269428277977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úplne dostupné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Hárok1!$B$2:$D$2</c:f>
              <c:numCache>
                <c:formatCode>General</c:formatCode>
                <c:ptCount val="3"/>
                <c:pt idx="0">
                  <c:v>7</c:v>
                </c:pt>
                <c:pt idx="1">
                  <c:v>13.4</c:v>
                </c:pt>
                <c:pt idx="2">
                  <c:v>14.9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skôr dostupné</c:v>
                </c:pt>
              </c:strCache>
            </c:strRef>
          </c:tx>
          <c:spPr>
            <a:solidFill>
              <a:srgbClr val="CDC3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Hárok1!$B$3:$D$3</c:f>
              <c:numCache>
                <c:formatCode>General</c:formatCode>
                <c:ptCount val="3"/>
                <c:pt idx="0">
                  <c:v>54.6</c:v>
                </c:pt>
                <c:pt idx="1">
                  <c:v>64.3</c:v>
                </c:pt>
                <c:pt idx="2">
                  <c:v>63.7</c:v>
                </c:pt>
              </c:numCache>
            </c:numRef>
          </c:val>
        </c:ser>
        <c:ser>
          <c:idx val="2"/>
          <c:order val="2"/>
          <c:tx>
            <c:strRef>
              <c:f>Hárok1!$A$4</c:f>
              <c:strCache>
                <c:ptCount val="1"/>
                <c:pt idx="0">
                  <c:v>skôr nedostupné</c:v>
                </c:pt>
              </c:strCache>
            </c:strRef>
          </c:tx>
          <c:spPr>
            <a:solidFill>
              <a:srgbClr val="B50F22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Hárok1!$B$4:$D$4</c:f>
              <c:numCache>
                <c:formatCode>General</c:formatCode>
                <c:ptCount val="3"/>
                <c:pt idx="0">
                  <c:v>31.4</c:v>
                </c:pt>
                <c:pt idx="1">
                  <c:v>22.3</c:v>
                </c:pt>
                <c:pt idx="2">
                  <c:v>19.600000000000001</c:v>
                </c:pt>
              </c:numCache>
            </c:numRef>
          </c:val>
        </c:ser>
        <c:ser>
          <c:idx val="3"/>
          <c:order val="3"/>
          <c:tx>
            <c:strRef>
              <c:f>Hárok1!$A$5</c:f>
              <c:strCache>
                <c:ptCount val="1"/>
                <c:pt idx="0">
                  <c:v>úplne nedostupné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Hárok1!$B$5:$D$5</c:f>
              <c:numCache>
                <c:formatCode>General</c:formatCode>
                <c:ptCount val="3"/>
                <c:pt idx="0">
                  <c:v>7</c:v>
                </c:pt>
                <c:pt idx="1">
                  <c:v>0</c:v>
                </c:pt>
                <c:pt idx="2">
                  <c:v>1.8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5378944"/>
        <c:axId val="125380480"/>
      </c:barChart>
      <c:catAx>
        <c:axId val="125378944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380480"/>
        <c:crosses val="autoZero"/>
        <c:auto val="1"/>
        <c:lblAlgn val="ctr"/>
        <c:lblOffset val="100"/>
        <c:noMultiLvlLbl val="0"/>
      </c:catAx>
      <c:valAx>
        <c:axId val="125380480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378944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0.23208916593759119"/>
          <c:y val="0.84901346570809089"/>
          <c:w val="0.63879046369203873"/>
          <c:h val="8.57691429875614E-2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 sz="1000"/>
            </a:pPr>
            <a:r>
              <a:rPr lang="sk-SK" sz="1000" b="1" i="0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Ako by ste ohodnotili dostupnosť informácií o  operačných programoch?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algn="ctr"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46632144940215808"/>
          <c:y val="0.25371191372817525"/>
          <c:w val="0.49019484543598718"/>
          <c:h val="0.56826457834075061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úplne dostupné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hodnotenie všetkých respondentov</c:v>
                </c:pt>
                <c:pt idx="1">
                  <c:v>hodnotenie tých, ktorí sú veľmi dobre alebo skôr dobre informovaní</c:v>
                </c:pt>
              </c:strCache>
            </c:strRef>
          </c:cat>
          <c:val>
            <c:numRef>
              <c:f>Hárok1!$B$2:$C$2</c:f>
              <c:numCache>
                <c:formatCode>General</c:formatCode>
                <c:ptCount val="2"/>
                <c:pt idx="0">
                  <c:v>7</c:v>
                </c:pt>
                <c:pt idx="1">
                  <c:v>10.778443113772452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skôr dostupné</c:v>
                </c:pt>
              </c:strCache>
            </c:strRef>
          </c:tx>
          <c:spPr>
            <a:solidFill>
              <a:srgbClr val="0087C8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hodnotenie všetkých respondentov</c:v>
                </c:pt>
                <c:pt idx="1">
                  <c:v>hodnotenie tých, ktorí sú veľmi dobre alebo skôr dobre informovaní</c:v>
                </c:pt>
              </c:strCache>
            </c:strRef>
          </c:cat>
          <c:val>
            <c:numRef>
              <c:f>Hárok1!$B$3:$C$3</c:f>
              <c:numCache>
                <c:formatCode>General</c:formatCode>
                <c:ptCount val="2"/>
                <c:pt idx="0">
                  <c:v>54.6</c:v>
                </c:pt>
                <c:pt idx="1">
                  <c:v>76.047904191616766</c:v>
                </c:pt>
              </c:numCache>
            </c:numRef>
          </c:val>
        </c:ser>
        <c:ser>
          <c:idx val="2"/>
          <c:order val="2"/>
          <c:tx>
            <c:strRef>
              <c:f>Hárok1!$A$4</c:f>
              <c:strCache>
                <c:ptCount val="1"/>
                <c:pt idx="0">
                  <c:v>skôr nedostupné</c:v>
                </c:pt>
              </c:strCache>
            </c:strRef>
          </c:tx>
          <c:spPr>
            <a:solidFill>
              <a:srgbClr val="B50F22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hodnotenie všetkých respondentov</c:v>
                </c:pt>
                <c:pt idx="1">
                  <c:v>hodnotenie tých, ktorí sú veľmi dobre alebo skôr dobre informovaní</c:v>
                </c:pt>
              </c:strCache>
            </c:strRef>
          </c:cat>
          <c:val>
            <c:numRef>
              <c:f>Hárok1!$B$4:$C$4</c:f>
              <c:numCache>
                <c:formatCode>General</c:formatCode>
                <c:ptCount val="2"/>
                <c:pt idx="0">
                  <c:v>31.4</c:v>
                </c:pt>
                <c:pt idx="1">
                  <c:v>13.173652694610778</c:v>
                </c:pt>
              </c:numCache>
            </c:numRef>
          </c:val>
        </c:ser>
        <c:ser>
          <c:idx val="3"/>
          <c:order val="3"/>
          <c:tx>
            <c:strRef>
              <c:f>Hárok1!$A$5</c:f>
              <c:strCache>
                <c:ptCount val="1"/>
                <c:pt idx="0">
                  <c:v>úplne nedostupné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hodnotenie všetkých respondentov</c:v>
                </c:pt>
                <c:pt idx="1">
                  <c:v>hodnotenie tých, ktorí sú veľmi dobre alebo skôr dobre informovaní</c:v>
                </c:pt>
              </c:strCache>
            </c:strRef>
          </c:cat>
          <c:val>
            <c:numRef>
              <c:f>Hárok1!$B$5:$C$5</c:f>
              <c:numCache>
                <c:formatCode>General</c:formatCode>
                <c:ptCount val="2"/>
                <c:pt idx="0">
                  <c:v>7</c:v>
                </c:pt>
                <c:pt idx="1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5265792"/>
        <c:axId val="125267328"/>
      </c:barChart>
      <c:catAx>
        <c:axId val="125265792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267328"/>
        <c:crosses val="autoZero"/>
        <c:auto val="1"/>
        <c:lblAlgn val="ctr"/>
        <c:lblOffset val="100"/>
        <c:noMultiLvlLbl val="0"/>
      </c:catAx>
      <c:valAx>
        <c:axId val="125267328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265792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0.13486694371536889"/>
          <c:y val="0.85988303092548213"/>
          <c:w val="0.72351268591426077"/>
          <c:h val="0.11475465023393815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 sz="1000"/>
            </a:pP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Ako by ste ohodnotili úroveň informácií o  operačných programoch?</a:t>
            </a:r>
          </a:p>
          <a:p>
            <a:pPr algn="ctr"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1522182123067959"/>
          <c:y val="0.25371191372817525"/>
          <c:w val="0.83071576990376206"/>
          <c:h val="0.53203269428277977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veľmi dobrá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Hárok1!$B$2:$D$2</c:f>
              <c:numCache>
                <c:formatCode>General</c:formatCode>
                <c:ptCount val="3"/>
                <c:pt idx="0">
                  <c:v>4</c:v>
                </c:pt>
                <c:pt idx="1">
                  <c:v>8.9</c:v>
                </c:pt>
                <c:pt idx="2">
                  <c:v>8.9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skôr dobrá</c:v>
                </c:pt>
              </c:strCache>
            </c:strRef>
          </c:tx>
          <c:spPr>
            <a:solidFill>
              <a:srgbClr val="CDC3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Hárok1!$B$3:$D$3</c:f>
              <c:numCache>
                <c:formatCode>General</c:formatCode>
                <c:ptCount val="3"/>
                <c:pt idx="0">
                  <c:v>53</c:v>
                </c:pt>
                <c:pt idx="1">
                  <c:v>68.8</c:v>
                </c:pt>
                <c:pt idx="2">
                  <c:v>74.400000000000006</c:v>
                </c:pt>
              </c:numCache>
            </c:numRef>
          </c:val>
        </c:ser>
        <c:ser>
          <c:idx val="2"/>
          <c:order val="2"/>
          <c:tx>
            <c:strRef>
              <c:f>Hárok1!$A$4</c:f>
              <c:strCache>
                <c:ptCount val="1"/>
                <c:pt idx="0">
                  <c:v>skôr zlá</c:v>
                </c:pt>
              </c:strCache>
            </c:strRef>
          </c:tx>
          <c:spPr>
            <a:solidFill>
              <a:srgbClr val="B50F22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Hárok1!$B$4:$D$4</c:f>
              <c:numCache>
                <c:formatCode>General</c:formatCode>
                <c:ptCount val="3"/>
                <c:pt idx="0">
                  <c:v>35.800000000000004</c:v>
                </c:pt>
                <c:pt idx="1">
                  <c:v>21.4</c:v>
                </c:pt>
                <c:pt idx="2">
                  <c:v>14.9</c:v>
                </c:pt>
              </c:numCache>
            </c:numRef>
          </c:val>
        </c:ser>
        <c:ser>
          <c:idx val="3"/>
          <c:order val="3"/>
          <c:tx>
            <c:strRef>
              <c:f>Hárok1!$A$5</c:f>
              <c:strCache>
                <c:ptCount val="1"/>
                <c:pt idx="0">
                  <c:v>veľmi zlá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Hárok1!$B$5:$D$5</c:f>
              <c:numCache>
                <c:formatCode>General</c:formatCode>
                <c:ptCount val="3"/>
                <c:pt idx="0">
                  <c:v>7.2</c:v>
                </c:pt>
                <c:pt idx="1">
                  <c:v>0.9</c:v>
                </c:pt>
                <c:pt idx="2">
                  <c:v>1.8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5644160"/>
        <c:axId val="125662336"/>
      </c:barChart>
      <c:catAx>
        <c:axId val="125644160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662336"/>
        <c:crosses val="autoZero"/>
        <c:auto val="1"/>
        <c:lblAlgn val="ctr"/>
        <c:lblOffset val="100"/>
        <c:noMultiLvlLbl val="0"/>
      </c:catAx>
      <c:valAx>
        <c:axId val="125662336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644160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0.13023731408573933"/>
          <c:y val="0.86350621933127925"/>
          <c:w val="0.74174194371536895"/>
          <c:h val="8.57691429875614E-2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 sz="1000"/>
            </a:pPr>
            <a:r>
              <a:rPr lang="sk-SK" sz="1000" b="1" i="0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Ako by ste ohodnotili úroveň informácií o  operačných programoch?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algn="ctr"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6.4295895304753575E-2"/>
          <c:y val="0.25371191372817525"/>
          <c:w val="0.90543215952172618"/>
          <c:h val="0.58638052036973609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veľmi dobrá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hodnotenie všetkých respondentov</c:v>
                </c:pt>
                <c:pt idx="1">
                  <c:v>hodnotenie tých, ktorí sú veľmi dobre alebo skôr dobre informovaní</c:v>
                </c:pt>
              </c:strCache>
            </c:strRef>
          </c:cat>
          <c:val>
            <c:numRef>
              <c:f>Hárok1!$B$2:$C$2</c:f>
              <c:numCache>
                <c:formatCode>General</c:formatCode>
                <c:ptCount val="2"/>
                <c:pt idx="0">
                  <c:v>4</c:v>
                </c:pt>
                <c:pt idx="1">
                  <c:v>7.7844311377245505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skôr dobrá</c:v>
                </c:pt>
              </c:strCache>
            </c:strRef>
          </c:tx>
          <c:spPr>
            <a:solidFill>
              <a:srgbClr val="0087C8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hodnotenie všetkých respondentov</c:v>
                </c:pt>
                <c:pt idx="1">
                  <c:v>hodnotenie tých, ktorí sú veľmi dobre alebo skôr dobre informovaní</c:v>
                </c:pt>
              </c:strCache>
            </c:strRef>
          </c:cat>
          <c:val>
            <c:numRef>
              <c:f>Hárok1!$B$3:$C$3</c:f>
              <c:numCache>
                <c:formatCode>General</c:formatCode>
                <c:ptCount val="2"/>
                <c:pt idx="0">
                  <c:v>53</c:v>
                </c:pt>
                <c:pt idx="1">
                  <c:v>76.047904191616766</c:v>
                </c:pt>
              </c:numCache>
            </c:numRef>
          </c:val>
        </c:ser>
        <c:ser>
          <c:idx val="2"/>
          <c:order val="2"/>
          <c:tx>
            <c:strRef>
              <c:f>Hárok1!$A$4</c:f>
              <c:strCache>
                <c:ptCount val="1"/>
                <c:pt idx="0">
                  <c:v>skôr zlá</c:v>
                </c:pt>
              </c:strCache>
            </c:strRef>
          </c:tx>
          <c:spPr>
            <a:solidFill>
              <a:srgbClr val="B50F22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hodnotenie všetkých respondentov</c:v>
                </c:pt>
                <c:pt idx="1">
                  <c:v>hodnotenie tých, ktorí sú veľmi dobre alebo skôr dobre informovaní</c:v>
                </c:pt>
              </c:strCache>
            </c:strRef>
          </c:cat>
          <c:val>
            <c:numRef>
              <c:f>Hárok1!$B$4:$C$4</c:f>
              <c:numCache>
                <c:formatCode>General</c:formatCode>
                <c:ptCount val="2"/>
                <c:pt idx="0">
                  <c:v>35.800000000000004</c:v>
                </c:pt>
                <c:pt idx="1">
                  <c:v>14.371257485029943</c:v>
                </c:pt>
              </c:numCache>
            </c:numRef>
          </c:val>
        </c:ser>
        <c:ser>
          <c:idx val="3"/>
          <c:order val="3"/>
          <c:tx>
            <c:strRef>
              <c:f>Hárok1!$A$5</c:f>
              <c:strCache>
                <c:ptCount val="1"/>
                <c:pt idx="0">
                  <c:v>veľmi zlá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Hárok1!$B$1:$C$1</c:f>
              <c:strCache>
                <c:ptCount val="2"/>
                <c:pt idx="0">
                  <c:v>hodnotenie všetkých respondentov</c:v>
                </c:pt>
                <c:pt idx="1">
                  <c:v>hodnotenie tých, ktorí sú veľmi dobre alebo skôr dobre informovaní</c:v>
                </c:pt>
              </c:strCache>
            </c:strRef>
          </c:cat>
          <c:val>
            <c:numRef>
              <c:f>Hárok1!$B$5:$C$5</c:f>
              <c:numCache>
                <c:formatCode>General</c:formatCode>
                <c:ptCount val="2"/>
                <c:pt idx="0">
                  <c:v>7.2</c:v>
                </c:pt>
                <c:pt idx="1">
                  <c:v>1.7964071856287429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5715584"/>
        <c:axId val="125717120"/>
      </c:barChart>
      <c:catAx>
        <c:axId val="125715584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717120"/>
        <c:crosses val="autoZero"/>
        <c:auto val="1"/>
        <c:lblAlgn val="ctr"/>
        <c:lblOffset val="100"/>
        <c:noMultiLvlLbl val="0"/>
      </c:catAx>
      <c:valAx>
        <c:axId val="125717120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715584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0.10014472149314672"/>
          <c:y val="0.87075259614287381"/>
          <c:w val="0.7996123140857393"/>
          <c:h val="8.57691429875614E-2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 sz="1000"/>
            </a:pP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Dokážete sa zorientovať v problematike finančnej pomoci EÚ Slovensku?</a:t>
            </a:r>
          </a:p>
          <a:p>
            <a:pPr algn="ctr"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1290700641586465"/>
          <c:y val="0.25371191372817525"/>
          <c:w val="0.83303058471857683"/>
          <c:h val="0.53203269428277977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bez problémov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Hárok1!$B$2:$D$2</c:f>
              <c:numCache>
                <c:formatCode>General</c:formatCode>
                <c:ptCount val="3"/>
                <c:pt idx="0">
                  <c:v>7</c:v>
                </c:pt>
                <c:pt idx="1">
                  <c:v>4</c:v>
                </c:pt>
                <c:pt idx="2">
                  <c:v>5.6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s malými problémami, ale dokáže</c:v>
                </c:pt>
              </c:strCache>
            </c:strRef>
          </c:tx>
          <c:spPr>
            <a:solidFill>
              <a:srgbClr val="CDC3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Hárok1!$B$3:$D$3</c:f>
              <c:numCache>
                <c:formatCode>General</c:formatCode>
                <c:ptCount val="3"/>
                <c:pt idx="0">
                  <c:v>37.200000000000003</c:v>
                </c:pt>
                <c:pt idx="1">
                  <c:v>25.5</c:v>
                </c:pt>
                <c:pt idx="2">
                  <c:v>28.6</c:v>
                </c:pt>
              </c:numCache>
            </c:numRef>
          </c:val>
        </c:ser>
        <c:ser>
          <c:idx val="2"/>
          <c:order val="2"/>
          <c:tx>
            <c:strRef>
              <c:f>Hárok1!$A$4</c:f>
              <c:strCache>
                <c:ptCount val="1"/>
                <c:pt idx="0">
                  <c:v>s veľkými problémami,  iba okrajovo</c:v>
                </c:pt>
              </c:strCache>
            </c:strRef>
          </c:tx>
          <c:spPr>
            <a:solidFill>
              <a:srgbClr val="B50F22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Hárok1!$B$4:$D$4</c:f>
              <c:numCache>
                <c:formatCode>General</c:formatCode>
                <c:ptCount val="3"/>
                <c:pt idx="0">
                  <c:v>37.800000000000004</c:v>
                </c:pt>
                <c:pt idx="1">
                  <c:v>38.1</c:v>
                </c:pt>
                <c:pt idx="2">
                  <c:v>31</c:v>
                </c:pt>
              </c:numCache>
            </c:numRef>
          </c:val>
        </c:ser>
        <c:ser>
          <c:idx val="3"/>
          <c:order val="3"/>
          <c:tx>
            <c:strRef>
              <c:f>Hárok1!$A$5</c:f>
              <c:strCache>
                <c:ptCount val="1"/>
                <c:pt idx="0">
                  <c:v>vôbec sa nedokáže zorientovať 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Hárok1!$B$5:$D$5</c:f>
              <c:numCache>
                <c:formatCode>General</c:formatCode>
                <c:ptCount val="3"/>
                <c:pt idx="0">
                  <c:v>18</c:v>
                </c:pt>
                <c:pt idx="1">
                  <c:v>32.4</c:v>
                </c:pt>
                <c:pt idx="2">
                  <c:v>34.800000000000004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94357888"/>
        <c:axId val="194367872"/>
      </c:barChart>
      <c:catAx>
        <c:axId val="194357888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4367872"/>
        <c:crosses val="autoZero"/>
        <c:auto val="1"/>
        <c:lblAlgn val="ctr"/>
        <c:lblOffset val="100"/>
        <c:noMultiLvlLbl val="0"/>
      </c:catAx>
      <c:valAx>
        <c:axId val="194367872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4357888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8.162620297462822E-2"/>
          <c:y val="0.83814390049069964"/>
          <c:w val="0.89248268445610957"/>
          <c:h val="0.13287059226292366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 sz="1000"/>
            </a:pP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Myslíte si, že je činnosť fondov v rámci EÚ pre Slovensko prospešná?</a:t>
            </a:r>
          </a:p>
          <a:p>
            <a:pPr algn="ctr"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2216626567512399"/>
          <c:y val="0.25371191372817525"/>
          <c:w val="0.82377132545931764"/>
          <c:h val="0.53203269428277977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veľmi prospešná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Hárok1!$B$2:$D$2</c:f>
              <c:numCache>
                <c:formatCode>General</c:formatCode>
                <c:ptCount val="3"/>
                <c:pt idx="0">
                  <c:v>30.6</c:v>
                </c:pt>
                <c:pt idx="1">
                  <c:v>39</c:v>
                </c:pt>
                <c:pt idx="2">
                  <c:v>46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skôr prospešná</c:v>
                </c:pt>
              </c:strCache>
            </c:strRef>
          </c:tx>
          <c:spPr>
            <a:solidFill>
              <a:srgbClr val="CDC3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Hárok1!$B$3:$D$3</c:f>
              <c:numCache>
                <c:formatCode>General</c:formatCode>
                <c:ptCount val="3"/>
                <c:pt idx="0">
                  <c:v>51.8</c:v>
                </c:pt>
                <c:pt idx="1">
                  <c:v>47.4</c:v>
                </c:pt>
                <c:pt idx="2">
                  <c:v>48</c:v>
                </c:pt>
              </c:numCache>
            </c:numRef>
          </c:val>
        </c:ser>
        <c:ser>
          <c:idx val="2"/>
          <c:order val="2"/>
          <c:tx>
            <c:strRef>
              <c:f>Hárok1!$A$4</c:f>
              <c:strCache>
                <c:ptCount val="1"/>
                <c:pt idx="0">
                  <c:v>skôr neprospešná</c:v>
                </c:pt>
              </c:strCache>
            </c:strRef>
          </c:tx>
          <c:spPr>
            <a:solidFill>
              <a:srgbClr val="B50F22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Hárok1!$B$4:$D$4</c:f>
              <c:numCache>
                <c:formatCode>General</c:formatCode>
                <c:ptCount val="3"/>
                <c:pt idx="0">
                  <c:v>9.6</c:v>
                </c:pt>
                <c:pt idx="1">
                  <c:v>12.6</c:v>
                </c:pt>
                <c:pt idx="2">
                  <c:v>4</c:v>
                </c:pt>
              </c:numCache>
            </c:numRef>
          </c:val>
        </c:ser>
        <c:ser>
          <c:idx val="3"/>
          <c:order val="3"/>
          <c:tx>
            <c:strRef>
              <c:f>Hárok1!$A$5</c:f>
              <c:strCache>
                <c:ptCount val="1"/>
                <c:pt idx="0">
                  <c:v>vôbec nie prospešná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Hárok1!$B$5:$D$5</c:f>
              <c:numCache>
                <c:formatCode>General</c:formatCode>
                <c:ptCount val="3"/>
                <c:pt idx="0">
                  <c:v>3.4</c:v>
                </c:pt>
                <c:pt idx="1">
                  <c:v>1</c:v>
                </c:pt>
                <c:pt idx="2">
                  <c:v>2</c:v>
                </c:pt>
              </c:numCache>
            </c:numRef>
          </c:val>
        </c:ser>
        <c:ser>
          <c:idx val="4"/>
          <c:order val="4"/>
          <c:tx>
            <c:strRef>
              <c:f>Hárok1!$A$6</c:f>
              <c:strCache>
                <c:ptCount val="1"/>
                <c:pt idx="0">
                  <c:v>nevie posúdiť  </c:v>
                </c:pt>
              </c:strCache>
            </c:strRef>
          </c:tx>
          <c:spPr>
            <a:solidFill>
              <a:srgbClr val="6F635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Hárok1!$B$6:$D$6</c:f>
              <c:numCache>
                <c:formatCode>General</c:formatCode>
                <c:ptCount val="3"/>
                <c:pt idx="0">
                  <c:v>4.5999999999999996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94332160"/>
        <c:axId val="194333696"/>
      </c:barChart>
      <c:catAx>
        <c:axId val="194332160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4333696"/>
        <c:crosses val="autoZero"/>
        <c:auto val="1"/>
        <c:lblAlgn val="ctr"/>
        <c:lblOffset val="100"/>
        <c:noMultiLvlLbl val="0"/>
      </c:catAx>
      <c:valAx>
        <c:axId val="194333696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94332160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8.162620297462822E-2"/>
          <c:y val="0.8272743352733084"/>
          <c:w val="0.7067765748031497"/>
          <c:h val="0.17272566472669176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invertIfNegative val="0"/>
          <c:dLbls>
            <c:txPr>
              <a:bodyPr/>
              <a:lstStyle/>
              <a:p>
                <a:pPr>
                  <a:defRPr sz="900"/>
                </a:pPr>
                <a:endParaRPr lang="sk-SK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Hárok5!$B$821:$B$826</c:f>
              <c:strCache>
                <c:ptCount val="6"/>
                <c:pt idx="0">
                  <c:v>do 999 obyvateľov</c:v>
                </c:pt>
                <c:pt idx="1">
                  <c:v>1 000 – 4 999</c:v>
                </c:pt>
                <c:pt idx="2">
                  <c:v>5 000 – 19 999</c:v>
                </c:pt>
                <c:pt idx="3">
                  <c:v>20 000 – 49 999</c:v>
                </c:pt>
                <c:pt idx="4">
                  <c:v>50 000 – 99 999</c:v>
                </c:pt>
                <c:pt idx="5">
                  <c:v>100 000 a viac</c:v>
                </c:pt>
              </c:strCache>
            </c:strRef>
          </c:cat>
          <c:val>
            <c:numRef>
              <c:f>Hárok5!$C$821:$C$826</c:f>
              <c:numCache>
                <c:formatCode>#,##0</c:formatCode>
                <c:ptCount val="6"/>
                <c:pt idx="0">
                  <c:v>845746</c:v>
                </c:pt>
                <c:pt idx="1">
                  <c:v>1617625</c:v>
                </c:pt>
                <c:pt idx="2">
                  <c:v>888709</c:v>
                </c:pt>
                <c:pt idx="3">
                  <c:v>845724</c:v>
                </c:pt>
                <c:pt idx="4">
                  <c:v>560959</c:v>
                </c:pt>
                <c:pt idx="5">
                  <c:v>657186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axId val="117567872"/>
        <c:axId val="117569408"/>
      </c:barChart>
      <c:catAx>
        <c:axId val="117567872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9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17569408"/>
        <c:crosses val="autoZero"/>
        <c:auto val="1"/>
        <c:lblAlgn val="ctr"/>
        <c:lblOffset val="100"/>
        <c:noMultiLvlLbl val="0"/>
      </c:catAx>
      <c:valAx>
        <c:axId val="117569408"/>
        <c:scaling>
          <c:orientation val="minMax"/>
        </c:scaling>
        <c:delete val="0"/>
        <c:axPos val="l"/>
        <c:numFmt formatCode="#,##0" sourceLinked="1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sk-SK"/>
          </a:p>
        </c:txPr>
        <c:crossAx val="117567872"/>
        <c:crosses val="autoZero"/>
        <c:crossBetween val="between"/>
        <c:majorUnit val="500000"/>
      </c:valAx>
    </c:plotArea>
    <c:plotVisOnly val="1"/>
    <c:dispBlanksAs val="gap"/>
    <c:showDLblsOverMax val="0"/>
  </c:chart>
  <c:externalData r:id="rId2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000" b="1" i="0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Myslíte si, že je činnosť fondov v rámci EÚ pre Slovensko prospešná?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100" b="0">
                <a:latin typeface="Arial" panose="020B0604020202020204" pitchFamily="34" charset="0"/>
                <a:cs typeface="Arial" panose="020B0604020202020204" pitchFamily="34" charset="0"/>
              </a:rPr>
              <a:t>(</a:t>
            </a: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12077537182852149"/>
          <c:y val="6.1766897041799921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33281441382327243"/>
          <c:y val="0.16101116499510409"/>
          <c:w val="0.59293215952172618"/>
          <c:h val="0.76493229737011381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skôr a veľmi prospešná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Hárok1!$A$2:$A$15</c:f>
              <c:strCache>
                <c:ptCount val="14"/>
                <c:pt idx="0">
                  <c:v>Total</c:v>
                </c:pt>
                <c:pt idx="2">
                  <c:v>Muž</c:v>
                </c:pt>
                <c:pt idx="3">
                  <c:v>Žena</c:v>
                </c:pt>
                <c:pt idx="5">
                  <c:v>15-29 rokov</c:v>
                </c:pt>
                <c:pt idx="6">
                  <c:v>30-39 rokov</c:v>
                </c:pt>
                <c:pt idx="7">
                  <c:v>40-49 rokov</c:v>
                </c:pt>
                <c:pt idx="8">
                  <c:v>50-59 rokov</c:v>
                </c:pt>
                <c:pt idx="9">
                  <c:v>60-69 rokov</c:v>
                </c:pt>
                <c:pt idx="10">
                  <c:v>70-79 rokov</c:v>
                </c:pt>
                <c:pt idx="12">
                  <c:v>nižšie ako vysokoškolské vzdelanie</c:v>
                </c:pt>
                <c:pt idx="13">
                  <c:v>vysokoškolské vzdelanie</c:v>
                </c:pt>
              </c:strCache>
            </c:strRef>
          </c:cat>
          <c:val>
            <c:numRef>
              <c:f>Hárok1!$B$2:$B$15</c:f>
              <c:numCache>
                <c:formatCode>General</c:formatCode>
                <c:ptCount val="14"/>
                <c:pt idx="0" formatCode="0.0&quot;%&quot;">
                  <c:v>82.4</c:v>
                </c:pt>
                <c:pt idx="2" formatCode="0.0&quot;%&quot;">
                  <c:v>79.741379310344811</c:v>
                </c:pt>
                <c:pt idx="3" formatCode="0.0&quot;%&quot;">
                  <c:v>84.701492537313428</c:v>
                </c:pt>
                <c:pt idx="5" formatCode="0.0&quot;%&quot;">
                  <c:v>84.545454545454518</c:v>
                </c:pt>
                <c:pt idx="6" formatCode="0.0&quot;%&quot;">
                  <c:v>83.3333333333333</c:v>
                </c:pt>
                <c:pt idx="7" formatCode="0.0&quot;%&quot;">
                  <c:v>75.757575757575751</c:v>
                </c:pt>
                <c:pt idx="8" formatCode="0.0&quot;%&quot;">
                  <c:v>78.260869565217462</c:v>
                </c:pt>
                <c:pt idx="9" formatCode="0.0&quot;%&quot;">
                  <c:v>86.904761904761898</c:v>
                </c:pt>
                <c:pt idx="10" formatCode="0.0&quot;%&quot;">
                  <c:v>88.095238095238102</c:v>
                </c:pt>
                <c:pt idx="12" formatCode="0.0&quot;%&quot;">
                  <c:v>79.879879879879837</c:v>
                </c:pt>
                <c:pt idx="13" formatCode="0.0&quot;%&quot;">
                  <c:v>87.425149700598809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skôr neprospešná a vôbec nie prospešná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Hárok1!$A$2:$A$15</c:f>
              <c:strCache>
                <c:ptCount val="14"/>
                <c:pt idx="0">
                  <c:v>Total</c:v>
                </c:pt>
                <c:pt idx="2">
                  <c:v>Muž</c:v>
                </c:pt>
                <c:pt idx="3">
                  <c:v>Žena</c:v>
                </c:pt>
                <c:pt idx="5">
                  <c:v>15-29 rokov</c:v>
                </c:pt>
                <c:pt idx="6">
                  <c:v>30-39 rokov</c:v>
                </c:pt>
                <c:pt idx="7">
                  <c:v>40-49 rokov</c:v>
                </c:pt>
                <c:pt idx="8">
                  <c:v>50-59 rokov</c:v>
                </c:pt>
                <c:pt idx="9">
                  <c:v>60-69 rokov</c:v>
                </c:pt>
                <c:pt idx="10">
                  <c:v>70-79 rokov</c:v>
                </c:pt>
                <c:pt idx="12">
                  <c:v>nižšie ako vysokoškolské vzdelanie</c:v>
                </c:pt>
                <c:pt idx="13">
                  <c:v>vysokoškolské vzdelanie</c:v>
                </c:pt>
              </c:strCache>
            </c:strRef>
          </c:cat>
          <c:val>
            <c:numRef>
              <c:f>Hárok1!$C$2:$C$15</c:f>
              <c:numCache>
                <c:formatCode>General</c:formatCode>
                <c:ptCount val="14"/>
                <c:pt idx="0" formatCode="0.0&quot;%&quot;">
                  <c:v>13</c:v>
                </c:pt>
                <c:pt idx="2" formatCode="0.0&quot;%&quot;">
                  <c:v>15.086206896551724</c:v>
                </c:pt>
                <c:pt idx="3" formatCode="0.0&quot;%&quot;">
                  <c:v>11.19402985074627</c:v>
                </c:pt>
                <c:pt idx="5" formatCode="0.0&quot;%&quot;">
                  <c:v>12.72727272727272</c:v>
                </c:pt>
                <c:pt idx="6" formatCode="0.0&quot;%&quot;">
                  <c:v>15.625</c:v>
                </c:pt>
                <c:pt idx="7" formatCode="0.0&quot;%&quot;">
                  <c:v>17.171717171717173</c:v>
                </c:pt>
                <c:pt idx="8" formatCode="0.0&quot;%&quot;">
                  <c:v>11.594202898550725</c:v>
                </c:pt>
                <c:pt idx="9" formatCode="0.0&quot;%&quot;">
                  <c:v>9.5238095238095237</c:v>
                </c:pt>
                <c:pt idx="10" formatCode="0.0&quot;%&quot;">
                  <c:v>7.1428571428571415</c:v>
                </c:pt>
                <c:pt idx="12" formatCode="0.0&quot;%&quot;">
                  <c:v>15.015015015015019</c:v>
                </c:pt>
                <c:pt idx="13" formatCode="0.0&quot;%&quot;">
                  <c:v>8.9820359281437163</c:v>
                </c:pt>
              </c:numCache>
            </c:numRef>
          </c:val>
        </c:ser>
        <c:ser>
          <c:idx val="2"/>
          <c:order val="2"/>
          <c:tx>
            <c:strRef>
              <c:f>Hárok1!$D$1</c:f>
              <c:strCache>
                <c:ptCount val="1"/>
                <c:pt idx="0">
                  <c:v>nevie posúdiť</c:v>
                </c:pt>
              </c:strCache>
            </c:strRef>
          </c:tx>
          <c:spPr>
            <a:solidFill>
              <a:srgbClr val="6F635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Hárok1!$A$2:$A$15</c:f>
              <c:strCache>
                <c:ptCount val="14"/>
                <c:pt idx="0">
                  <c:v>Total</c:v>
                </c:pt>
                <c:pt idx="2">
                  <c:v>Muž</c:v>
                </c:pt>
                <c:pt idx="3">
                  <c:v>Žena</c:v>
                </c:pt>
                <c:pt idx="5">
                  <c:v>15-29 rokov</c:v>
                </c:pt>
                <c:pt idx="6">
                  <c:v>30-39 rokov</c:v>
                </c:pt>
                <c:pt idx="7">
                  <c:v>40-49 rokov</c:v>
                </c:pt>
                <c:pt idx="8">
                  <c:v>50-59 rokov</c:v>
                </c:pt>
                <c:pt idx="9">
                  <c:v>60-69 rokov</c:v>
                </c:pt>
                <c:pt idx="10">
                  <c:v>70-79 rokov</c:v>
                </c:pt>
                <c:pt idx="12">
                  <c:v>nižšie ako vysokoškolské vzdelanie</c:v>
                </c:pt>
                <c:pt idx="13">
                  <c:v>vysokoškolské vzdelanie</c:v>
                </c:pt>
              </c:strCache>
            </c:strRef>
          </c:cat>
          <c:val>
            <c:numRef>
              <c:f>Hárok1!$D$2:$D$15</c:f>
              <c:numCache>
                <c:formatCode>General</c:formatCode>
                <c:ptCount val="14"/>
                <c:pt idx="0" formatCode="0.0&quot;%&quot;">
                  <c:v>4.5999999999999996</c:v>
                </c:pt>
                <c:pt idx="2" formatCode="0.0&quot;%&quot;">
                  <c:v>5.1724137931034484</c:v>
                </c:pt>
                <c:pt idx="3" formatCode="0.0&quot;%&quot;">
                  <c:v>4.1044776119402968</c:v>
                </c:pt>
                <c:pt idx="5" formatCode="0.0&quot;%&quot;">
                  <c:v>2.727272727272728</c:v>
                </c:pt>
                <c:pt idx="6" formatCode="0.0&quot;%&quot;">
                  <c:v>1.0416666666666663</c:v>
                </c:pt>
                <c:pt idx="7" formatCode="0.0&quot;%&quot;">
                  <c:v>7.0707070707070709</c:v>
                </c:pt>
                <c:pt idx="8" formatCode="0.0&quot;%&quot;">
                  <c:v>10.144927536231881</c:v>
                </c:pt>
                <c:pt idx="9" formatCode="0.0&quot;%&quot;">
                  <c:v>3.5714285714285707</c:v>
                </c:pt>
                <c:pt idx="10" formatCode="0.0&quot;%&quot;">
                  <c:v>4.7619047619047619</c:v>
                </c:pt>
                <c:pt idx="12" formatCode="0.0&quot;%&quot;">
                  <c:v>5.1051051051051051</c:v>
                </c:pt>
                <c:pt idx="13" formatCode="0.0&quot;%&quot;">
                  <c:v>3.5928143712574849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5888384"/>
        <c:axId val="125889920"/>
      </c:barChart>
      <c:catAx>
        <c:axId val="125888384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889920"/>
        <c:crosses val="autoZero"/>
        <c:auto val="1"/>
        <c:lblAlgn val="ctr"/>
        <c:lblOffset val="100"/>
        <c:noMultiLvlLbl val="0"/>
      </c:catAx>
      <c:valAx>
        <c:axId val="125889920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888384"/>
        <c:crosses val="autoZero"/>
        <c:crossBetween val="between"/>
      </c:valAx>
      <c:spPr>
        <a:noFill/>
      </c:spPr>
    </c:plotArea>
    <c:legend>
      <c:legendPos val="r"/>
      <c:layout>
        <c:manualLayout>
          <c:xMode val="edge"/>
          <c:yMode val="edge"/>
          <c:x val="5.6163240011665214E-2"/>
          <c:y val="0.94696308656782135"/>
          <c:w val="0.86758511956838746"/>
          <c:h val="5.3036913432178617E-2"/>
        </c:manualLayout>
      </c:layout>
      <c:overlay val="0"/>
      <c:txPr>
        <a:bodyPr/>
        <a:lstStyle/>
        <a:p>
          <a:pPr>
            <a:defRPr sz="8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000" b="1" i="0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Myslíte si, že je činnosť fondov v rámci EÚ pre Slovensko prospešná?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100" b="0">
                <a:latin typeface="Arial" panose="020B0604020202020204" pitchFamily="34" charset="0"/>
                <a:cs typeface="Arial" panose="020B0604020202020204" pitchFamily="34" charset="0"/>
              </a:rPr>
              <a:t>(</a:t>
            </a: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12077537182852149"/>
          <c:y val="6.1766897041799921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33281441382327243"/>
          <c:y val="0.16101116499510409"/>
          <c:w val="0.59293215952172618"/>
          <c:h val="0.76493229737011381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skôr a veľmi prospešná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  <c:pt idx="11">
                  <c:v>do 1 999 obyvateľov</c:v>
                </c:pt>
                <c:pt idx="12">
                  <c:v>od 2 000 do 19 999 obyvateľov</c:v>
                </c:pt>
                <c:pt idx="13">
                  <c:v>od 20 000 do 99 999 obyvateľov</c:v>
                </c:pt>
                <c:pt idx="14">
                  <c:v>od 100 000 obyvateľov</c:v>
                </c:pt>
              </c:strCache>
            </c:strRef>
          </c:cat>
          <c:val>
            <c:numRef>
              <c:f>Hárok1!$B$2:$B$16</c:f>
              <c:numCache>
                <c:formatCode>General</c:formatCode>
                <c:ptCount val="15"/>
                <c:pt idx="0" formatCode="0.0&quot;%&quot;">
                  <c:v>82.4</c:v>
                </c:pt>
                <c:pt idx="2" formatCode="0.0&quot;%&quot;">
                  <c:v>80</c:v>
                </c:pt>
                <c:pt idx="3" formatCode="0.0&quot;%&quot;">
                  <c:v>96.363636363636346</c:v>
                </c:pt>
                <c:pt idx="4" formatCode="0.0&quot;%&quot;">
                  <c:v>83.0508474576271</c:v>
                </c:pt>
                <c:pt idx="5" formatCode="0.0&quot;%&quot;">
                  <c:v>77.777777777777743</c:v>
                </c:pt>
                <c:pt idx="6" formatCode="0.0&quot;%&quot;">
                  <c:v>82.08955223880595</c:v>
                </c:pt>
                <c:pt idx="7" formatCode="0.0&quot;%&quot;">
                  <c:v>83.928571428571402</c:v>
                </c:pt>
                <c:pt idx="8" formatCode="0.0&quot;%&quot;">
                  <c:v>79.220779220779193</c:v>
                </c:pt>
                <c:pt idx="9" formatCode="0.0&quot;%&quot;">
                  <c:v>79.166666666666657</c:v>
                </c:pt>
                <c:pt idx="11" formatCode="0.0&quot;%&quot;">
                  <c:v>80.2816901408451</c:v>
                </c:pt>
                <c:pt idx="12" formatCode="0.0&quot;%&quot;">
                  <c:v>82.389937106918197</c:v>
                </c:pt>
                <c:pt idx="13" formatCode="0.0&quot;%&quot;">
                  <c:v>86.567164179104495</c:v>
                </c:pt>
                <c:pt idx="14" formatCode="0.0&quot;%&quot;">
                  <c:v>78.461538461538467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skôr neprospešná a vôbec nie prospešná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  <c:pt idx="11">
                  <c:v>do 1 999 obyvateľov</c:v>
                </c:pt>
                <c:pt idx="12">
                  <c:v>od 2 000 do 19 999 obyvateľov</c:v>
                </c:pt>
                <c:pt idx="13">
                  <c:v>od 20 000 do 99 999 obyvateľov</c:v>
                </c:pt>
                <c:pt idx="14">
                  <c:v>od 100 000 obyvateľov</c:v>
                </c:pt>
              </c:strCache>
            </c:strRef>
          </c:cat>
          <c:val>
            <c:numRef>
              <c:f>Hárok1!$C$2:$C$16</c:f>
              <c:numCache>
                <c:formatCode>General</c:formatCode>
                <c:ptCount val="15"/>
                <c:pt idx="0" formatCode="0.0&quot;%&quot;">
                  <c:v>13</c:v>
                </c:pt>
                <c:pt idx="2" formatCode="0.0&quot;%&quot;">
                  <c:v>13.333333333333334</c:v>
                </c:pt>
                <c:pt idx="3" formatCode="0.0&quot;%&quot;">
                  <c:v>3.6363636363636354</c:v>
                </c:pt>
                <c:pt idx="4" formatCode="0.0&quot;%&quot;">
                  <c:v>11.864406779661024</c:v>
                </c:pt>
                <c:pt idx="5" formatCode="0.0&quot;%&quot;">
                  <c:v>16.666666666666668</c:v>
                </c:pt>
                <c:pt idx="6" formatCode="0.0&quot;%&quot;">
                  <c:v>11.940298507462687</c:v>
                </c:pt>
                <c:pt idx="7" formatCode="0.0&quot;%&quot;">
                  <c:v>14.285714285714286</c:v>
                </c:pt>
                <c:pt idx="8" formatCode="0.0&quot;%&quot;">
                  <c:v>16.883116883116877</c:v>
                </c:pt>
                <c:pt idx="9" formatCode="0.0&quot;%&quot;">
                  <c:v>13.888888888888889</c:v>
                </c:pt>
                <c:pt idx="11" formatCode="0.0&quot;%&quot;">
                  <c:v>14.084507042253518</c:v>
                </c:pt>
                <c:pt idx="12" formatCode="0.0&quot;%&quot;">
                  <c:v>11.320754716981135</c:v>
                </c:pt>
                <c:pt idx="13" formatCode="0.0&quot;%&quot;">
                  <c:v>11.19402985074627</c:v>
                </c:pt>
                <c:pt idx="14" formatCode="0.0&quot;%&quot;">
                  <c:v>18.461538461538463</c:v>
                </c:pt>
              </c:numCache>
            </c:numRef>
          </c:val>
        </c:ser>
        <c:ser>
          <c:idx val="2"/>
          <c:order val="2"/>
          <c:tx>
            <c:strRef>
              <c:f>Hárok1!$D$1</c:f>
              <c:strCache>
                <c:ptCount val="1"/>
                <c:pt idx="0">
                  <c:v>nevie posúdiť</c:v>
                </c:pt>
              </c:strCache>
            </c:strRef>
          </c:tx>
          <c:spPr>
            <a:solidFill>
              <a:srgbClr val="6F635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  <c:pt idx="11">
                  <c:v>do 1 999 obyvateľov</c:v>
                </c:pt>
                <c:pt idx="12">
                  <c:v>od 2 000 do 19 999 obyvateľov</c:v>
                </c:pt>
                <c:pt idx="13">
                  <c:v>od 20 000 do 99 999 obyvateľov</c:v>
                </c:pt>
                <c:pt idx="14">
                  <c:v>od 100 000 obyvateľov</c:v>
                </c:pt>
              </c:strCache>
            </c:strRef>
          </c:cat>
          <c:val>
            <c:numRef>
              <c:f>Hárok1!$D$2:$D$16</c:f>
              <c:numCache>
                <c:formatCode>General</c:formatCode>
                <c:ptCount val="15"/>
                <c:pt idx="0" formatCode="0.0&quot;%&quot;">
                  <c:v>4.5999999999999996</c:v>
                </c:pt>
                <c:pt idx="2" formatCode="0.0&quot;%&quot;">
                  <c:v>6.666666666666667</c:v>
                </c:pt>
                <c:pt idx="3" formatCode="0.0&quot;%&quot;">
                  <c:v>0</c:v>
                </c:pt>
                <c:pt idx="4" formatCode="0.0&quot;%&quot;">
                  <c:v>5.084745762711866</c:v>
                </c:pt>
                <c:pt idx="5" formatCode="0.0&quot;%&quot;">
                  <c:v>5.5555555555555518</c:v>
                </c:pt>
                <c:pt idx="6" formatCode="0.0&quot;%&quot;">
                  <c:v>5.9701492537313463</c:v>
                </c:pt>
                <c:pt idx="7" formatCode="0.0&quot;%&quot;">
                  <c:v>1.7857142857142854</c:v>
                </c:pt>
                <c:pt idx="8" formatCode="0.0&quot;%&quot;">
                  <c:v>3.8961038961038947</c:v>
                </c:pt>
                <c:pt idx="9" formatCode="0.0&quot;%&quot;">
                  <c:v>6.9444444444444464</c:v>
                </c:pt>
                <c:pt idx="11" formatCode="0.0&quot;%&quot;">
                  <c:v>5.6338028169014063</c:v>
                </c:pt>
                <c:pt idx="12" formatCode="0.0&quot;%&quot;">
                  <c:v>6.2893081761006311</c:v>
                </c:pt>
                <c:pt idx="13" formatCode="0.0&quot;%&quot;">
                  <c:v>2.2388059701492526</c:v>
                </c:pt>
                <c:pt idx="14" formatCode="0.0&quot;%&quot;">
                  <c:v>3.0769230769230771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5937920"/>
        <c:axId val="125956096"/>
      </c:barChart>
      <c:catAx>
        <c:axId val="125937920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956096"/>
        <c:crosses val="autoZero"/>
        <c:auto val="1"/>
        <c:lblAlgn val="ctr"/>
        <c:lblOffset val="100"/>
        <c:noMultiLvlLbl val="0"/>
      </c:catAx>
      <c:valAx>
        <c:axId val="125956096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937920"/>
        <c:crosses val="autoZero"/>
        <c:crossBetween val="between"/>
      </c:valAx>
      <c:spPr>
        <a:noFill/>
      </c:spPr>
    </c:plotArea>
    <c:legend>
      <c:legendPos val="r"/>
      <c:layout>
        <c:manualLayout>
          <c:xMode val="edge"/>
          <c:yMode val="edge"/>
          <c:x val="5.6163240011665214E-2"/>
          <c:y val="0.94696308656782135"/>
          <c:w val="0.86758511956838746"/>
          <c:h val="5.3036913432178617E-2"/>
        </c:manualLayout>
      </c:layout>
      <c:overlay val="0"/>
      <c:txPr>
        <a:bodyPr/>
        <a:lstStyle/>
        <a:p>
          <a:pPr>
            <a:defRPr sz="8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 sz="1000"/>
            </a:pP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Máte pocit, že Európska únia pomáha Slovensku?</a:t>
            </a:r>
          </a:p>
          <a:p>
            <a:pPr algn="ctr"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1753663604549434"/>
          <c:y val="0.25371191372817525"/>
          <c:w val="0.82840095508894718"/>
          <c:h val="0.53203269428277977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určite áno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Hárok1!$B$2:$D$2</c:f>
              <c:numCache>
                <c:formatCode>General</c:formatCode>
                <c:ptCount val="3"/>
                <c:pt idx="0">
                  <c:v>35.200000000000003</c:v>
                </c:pt>
                <c:pt idx="1">
                  <c:v>38.300000000000004</c:v>
                </c:pt>
                <c:pt idx="2">
                  <c:v>49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skôr áno</c:v>
                </c:pt>
              </c:strCache>
            </c:strRef>
          </c:tx>
          <c:spPr>
            <a:solidFill>
              <a:srgbClr val="CDC3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Hárok1!$B$3:$D$3</c:f>
              <c:numCache>
                <c:formatCode>General</c:formatCode>
                <c:ptCount val="3"/>
                <c:pt idx="0">
                  <c:v>47.6</c:v>
                </c:pt>
                <c:pt idx="1">
                  <c:v>41.7</c:v>
                </c:pt>
                <c:pt idx="2">
                  <c:v>42</c:v>
                </c:pt>
              </c:numCache>
            </c:numRef>
          </c:val>
        </c:ser>
        <c:ser>
          <c:idx val="2"/>
          <c:order val="2"/>
          <c:tx>
            <c:strRef>
              <c:f>Hárok1!$A$4</c:f>
              <c:strCache>
                <c:ptCount val="1"/>
                <c:pt idx="0">
                  <c:v>skôr nie</c:v>
                </c:pt>
              </c:strCache>
            </c:strRef>
          </c:tx>
          <c:spPr>
            <a:solidFill>
              <a:srgbClr val="B50F22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Hárok1!$B$4:$D$4</c:f>
              <c:numCache>
                <c:formatCode>General</c:formatCode>
                <c:ptCount val="3"/>
                <c:pt idx="0">
                  <c:v>12.8</c:v>
                </c:pt>
                <c:pt idx="1">
                  <c:v>15.7</c:v>
                </c:pt>
                <c:pt idx="2">
                  <c:v>7</c:v>
                </c:pt>
              </c:numCache>
            </c:numRef>
          </c:val>
        </c:ser>
        <c:ser>
          <c:idx val="3"/>
          <c:order val="3"/>
          <c:tx>
            <c:strRef>
              <c:f>Hárok1!$A$5</c:f>
              <c:strCache>
                <c:ptCount val="1"/>
                <c:pt idx="0">
                  <c:v>určite nie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Hárok1!$B$5:$D$5</c:f>
              <c:numCache>
                <c:formatCode>General</c:formatCode>
                <c:ptCount val="3"/>
                <c:pt idx="0">
                  <c:v>2.8</c:v>
                </c:pt>
                <c:pt idx="1">
                  <c:v>4.3</c:v>
                </c:pt>
                <c:pt idx="2">
                  <c:v>2</c:v>
                </c:pt>
              </c:numCache>
            </c:numRef>
          </c:val>
        </c:ser>
        <c:ser>
          <c:idx val="4"/>
          <c:order val="4"/>
          <c:tx>
            <c:strRef>
              <c:f>Hárok1!$A$6</c:f>
              <c:strCache>
                <c:ptCount val="1"/>
                <c:pt idx="0">
                  <c:v>nevie posúdiť </c:v>
                </c:pt>
              </c:strCache>
            </c:strRef>
          </c:tx>
          <c:spPr>
            <a:solidFill>
              <a:srgbClr val="6F635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Hárok1!$B$1:$D$1</c:f>
              <c:strCache>
                <c:ptCount val="3"/>
                <c:pt idx="0">
                  <c:v>2014</c:v>
                </c:pt>
                <c:pt idx="1">
                  <c:v>2011</c:v>
                </c:pt>
                <c:pt idx="2">
                  <c:v>2008</c:v>
                </c:pt>
              </c:strCache>
            </c:strRef>
          </c:cat>
          <c:val>
            <c:numRef>
              <c:f>Hárok1!$B$6:$D$6</c:f>
              <c:numCache>
                <c:formatCode>General</c:formatCode>
                <c:ptCount val="3"/>
                <c:pt idx="0">
                  <c:v>1.6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6047360"/>
        <c:axId val="126048896"/>
      </c:barChart>
      <c:catAx>
        <c:axId val="126047360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6048896"/>
        <c:crosses val="autoZero"/>
        <c:auto val="1"/>
        <c:lblAlgn val="ctr"/>
        <c:lblOffset val="100"/>
        <c:noMultiLvlLbl val="0"/>
      </c:catAx>
      <c:valAx>
        <c:axId val="126048896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6047360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0.14412620297462814"/>
          <c:y val="0.88162216136026439"/>
          <c:w val="0.7864062044327792"/>
          <c:h val="8.57691429875614E-2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000" b="1">
                <a:effectLst/>
                <a:latin typeface="Arial" panose="020B0604020202020204" pitchFamily="34" charset="0"/>
                <a:cs typeface="Arial" panose="020B0604020202020204" pitchFamily="34" charset="0"/>
              </a:rPr>
              <a:t>Máte pocit, že Európska únia pomáha Slovensku?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100" b="0">
                <a:latin typeface="Arial" panose="020B0604020202020204" pitchFamily="34" charset="0"/>
                <a:cs typeface="Arial" panose="020B0604020202020204" pitchFamily="34" charset="0"/>
              </a:rPr>
              <a:t>(</a:t>
            </a: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25040500145815109"/>
          <c:y val="1.054350193125423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31429589530475383"/>
          <c:y val="0.17438778572636845"/>
          <c:w val="0.59293215952172618"/>
          <c:h val="0.75104836565032895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skôr a určite áno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Hárok1!$A$2:$A$15</c:f>
              <c:strCache>
                <c:ptCount val="14"/>
                <c:pt idx="0">
                  <c:v>Total</c:v>
                </c:pt>
                <c:pt idx="2">
                  <c:v>Muž</c:v>
                </c:pt>
                <c:pt idx="3">
                  <c:v>Žena</c:v>
                </c:pt>
                <c:pt idx="5">
                  <c:v>15-29 rokov</c:v>
                </c:pt>
                <c:pt idx="6">
                  <c:v>30-39 rokov</c:v>
                </c:pt>
                <c:pt idx="7">
                  <c:v>40-49 rokov</c:v>
                </c:pt>
                <c:pt idx="8">
                  <c:v>50-59 rokov</c:v>
                </c:pt>
                <c:pt idx="9">
                  <c:v>60-69 rokov</c:v>
                </c:pt>
                <c:pt idx="10">
                  <c:v>70-79 rokov</c:v>
                </c:pt>
                <c:pt idx="12">
                  <c:v>nižšie ako vysokoškolské vzdelanie</c:v>
                </c:pt>
                <c:pt idx="13">
                  <c:v>vysokoškolské vzdelanie</c:v>
                </c:pt>
              </c:strCache>
            </c:strRef>
          </c:cat>
          <c:val>
            <c:numRef>
              <c:f>Hárok1!$B$2:$B$15</c:f>
              <c:numCache>
                <c:formatCode>General</c:formatCode>
                <c:ptCount val="14"/>
                <c:pt idx="0" formatCode="0.0&quot;%&quot;">
                  <c:v>82.800000000000011</c:v>
                </c:pt>
                <c:pt idx="2" formatCode="0.0&quot;%&quot;">
                  <c:v>81.034482758620655</c:v>
                </c:pt>
                <c:pt idx="3" formatCode="0.0&quot;%&quot;">
                  <c:v>84.328358208955166</c:v>
                </c:pt>
                <c:pt idx="5" formatCode="0.0&quot;%&quot;">
                  <c:v>78.181818181818187</c:v>
                </c:pt>
                <c:pt idx="6" formatCode="0.0&quot;%&quot;">
                  <c:v>81.25</c:v>
                </c:pt>
                <c:pt idx="7" formatCode="0.0&quot;%&quot;">
                  <c:v>80.808080808080746</c:v>
                </c:pt>
                <c:pt idx="8" formatCode="0.0&quot;%&quot;">
                  <c:v>79.710144927536234</c:v>
                </c:pt>
                <c:pt idx="9" formatCode="0.0&quot;%&quot;">
                  <c:v>89.285714285714292</c:v>
                </c:pt>
                <c:pt idx="10" formatCode="0.0&quot;%&quot;">
                  <c:v>95.238095238095241</c:v>
                </c:pt>
                <c:pt idx="12" formatCode="0.0&quot;%&quot;">
                  <c:v>81.381381381381345</c:v>
                </c:pt>
                <c:pt idx="13" formatCode="0.0&quot;%&quot;">
                  <c:v>85.628742514970014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skôr a určite nie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Hárok1!$A$2:$A$15</c:f>
              <c:strCache>
                <c:ptCount val="14"/>
                <c:pt idx="0">
                  <c:v>Total</c:v>
                </c:pt>
                <c:pt idx="2">
                  <c:v>Muž</c:v>
                </c:pt>
                <c:pt idx="3">
                  <c:v>Žena</c:v>
                </c:pt>
                <c:pt idx="5">
                  <c:v>15-29 rokov</c:v>
                </c:pt>
                <c:pt idx="6">
                  <c:v>30-39 rokov</c:v>
                </c:pt>
                <c:pt idx="7">
                  <c:v>40-49 rokov</c:v>
                </c:pt>
                <c:pt idx="8">
                  <c:v>50-59 rokov</c:v>
                </c:pt>
                <c:pt idx="9">
                  <c:v>60-69 rokov</c:v>
                </c:pt>
                <c:pt idx="10">
                  <c:v>70-79 rokov</c:v>
                </c:pt>
                <c:pt idx="12">
                  <c:v>nižšie ako vysokoškolské vzdelanie</c:v>
                </c:pt>
                <c:pt idx="13">
                  <c:v>vysokoškolské vzdelanie</c:v>
                </c:pt>
              </c:strCache>
            </c:strRef>
          </c:cat>
          <c:val>
            <c:numRef>
              <c:f>Hárok1!$C$2:$C$15</c:f>
              <c:numCache>
                <c:formatCode>General</c:formatCode>
                <c:ptCount val="14"/>
                <c:pt idx="0" formatCode="0.0&quot;%&quot;">
                  <c:v>15.600000000000001</c:v>
                </c:pt>
                <c:pt idx="2" formatCode="0.0&quot;%&quot;">
                  <c:v>18.103448275862061</c:v>
                </c:pt>
                <c:pt idx="3" formatCode="0.0&quot;%&quot;">
                  <c:v>13.432835820895523</c:v>
                </c:pt>
                <c:pt idx="5" formatCode="0.0&quot;%&quot;">
                  <c:v>21.81818181818182</c:v>
                </c:pt>
                <c:pt idx="6" formatCode="0.0&quot;%&quot;">
                  <c:v>17.708333333333314</c:v>
                </c:pt>
                <c:pt idx="7" formatCode="0.0&quot;%&quot;">
                  <c:v>16.16161616161617</c:v>
                </c:pt>
                <c:pt idx="8" formatCode="0.0&quot;%&quot;">
                  <c:v>14.492753623188406</c:v>
                </c:pt>
                <c:pt idx="9" formatCode="0.0&quot;%&quot;">
                  <c:v>10.714285714285714</c:v>
                </c:pt>
                <c:pt idx="10" formatCode="0.0&quot;%&quot;">
                  <c:v>4.7619047619047619</c:v>
                </c:pt>
                <c:pt idx="12" formatCode="0.0&quot;%&quot;">
                  <c:v>17.117117117117129</c:v>
                </c:pt>
                <c:pt idx="13" formatCode="0.0&quot;%&quot;">
                  <c:v>12.574850299401202</c:v>
                </c:pt>
              </c:numCache>
            </c:numRef>
          </c:val>
        </c:ser>
        <c:ser>
          <c:idx val="2"/>
          <c:order val="2"/>
          <c:tx>
            <c:strRef>
              <c:f>Hárok1!$D$1</c:f>
              <c:strCache>
                <c:ptCount val="1"/>
                <c:pt idx="0">
                  <c:v>nevie posúdiť</c:v>
                </c:pt>
              </c:strCache>
            </c:strRef>
          </c:tx>
          <c:spPr>
            <a:solidFill>
              <a:srgbClr val="6F635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Hárok1!$A$2:$A$15</c:f>
              <c:strCache>
                <c:ptCount val="14"/>
                <c:pt idx="0">
                  <c:v>Total</c:v>
                </c:pt>
                <c:pt idx="2">
                  <c:v>Muž</c:v>
                </c:pt>
                <c:pt idx="3">
                  <c:v>Žena</c:v>
                </c:pt>
                <c:pt idx="5">
                  <c:v>15-29 rokov</c:v>
                </c:pt>
                <c:pt idx="6">
                  <c:v>30-39 rokov</c:v>
                </c:pt>
                <c:pt idx="7">
                  <c:v>40-49 rokov</c:v>
                </c:pt>
                <c:pt idx="8">
                  <c:v>50-59 rokov</c:v>
                </c:pt>
                <c:pt idx="9">
                  <c:v>60-69 rokov</c:v>
                </c:pt>
                <c:pt idx="10">
                  <c:v>70-79 rokov</c:v>
                </c:pt>
                <c:pt idx="12">
                  <c:v>nižšie ako vysokoškolské vzdelanie</c:v>
                </c:pt>
                <c:pt idx="13">
                  <c:v>vysokoškolské vzdelanie</c:v>
                </c:pt>
              </c:strCache>
            </c:strRef>
          </c:cat>
          <c:val>
            <c:numRef>
              <c:f>Hárok1!$D$2:$D$15</c:f>
              <c:numCache>
                <c:formatCode>General</c:formatCode>
                <c:ptCount val="14"/>
                <c:pt idx="0" formatCode="0.0&quot;%&quot;">
                  <c:v>1.6</c:v>
                </c:pt>
                <c:pt idx="2" formatCode="0.0&quot;%&quot;">
                  <c:v>0.8620689655172411</c:v>
                </c:pt>
                <c:pt idx="3" formatCode="0.0&quot;%&quot;">
                  <c:v>2.2388059701492526</c:v>
                </c:pt>
                <c:pt idx="5" formatCode="0.0&quot;%&quot;">
                  <c:v>0</c:v>
                </c:pt>
                <c:pt idx="6" formatCode="0.0&quot;%&quot;">
                  <c:v>1.0416666666666663</c:v>
                </c:pt>
                <c:pt idx="7" formatCode="0.0&quot;%&quot;">
                  <c:v>3.0303030303030303</c:v>
                </c:pt>
                <c:pt idx="8" formatCode="0.0&quot;%&quot;">
                  <c:v>5.7971014492753605</c:v>
                </c:pt>
                <c:pt idx="9" formatCode="0.0&quot;%&quot;">
                  <c:v>0</c:v>
                </c:pt>
                <c:pt idx="10" formatCode="0.0&quot;%&quot;">
                  <c:v>0</c:v>
                </c:pt>
                <c:pt idx="12" formatCode="0.0&quot;%&quot;">
                  <c:v>1.5015015015015019</c:v>
                </c:pt>
                <c:pt idx="13" formatCode="0.0&quot;%&quot;">
                  <c:v>1.7964071856287429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6100992"/>
        <c:axId val="126102528"/>
      </c:barChart>
      <c:catAx>
        <c:axId val="126100992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6102528"/>
        <c:crosses val="autoZero"/>
        <c:auto val="1"/>
        <c:lblAlgn val="ctr"/>
        <c:lblOffset val="100"/>
        <c:noMultiLvlLbl val="0"/>
      </c:catAx>
      <c:valAx>
        <c:axId val="126102528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6100992"/>
        <c:crosses val="autoZero"/>
        <c:crossBetween val="between"/>
      </c:valAx>
      <c:spPr>
        <a:noFill/>
      </c:spPr>
    </c:plotArea>
    <c:legend>
      <c:legendPos val="r"/>
      <c:layout>
        <c:manualLayout>
          <c:xMode val="edge"/>
          <c:yMode val="edge"/>
          <c:x val="0.2830150918635172"/>
          <c:y val="0.94816245682387434"/>
          <c:w val="0.66249252697579464"/>
          <c:h val="3.2433523772106461E-2"/>
        </c:manualLayout>
      </c:layout>
      <c:overlay val="0"/>
      <c:txPr>
        <a:bodyPr/>
        <a:lstStyle/>
        <a:p>
          <a:pPr>
            <a:defRPr sz="8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000" b="1">
                <a:effectLst/>
                <a:latin typeface="Arial" panose="020B0604020202020204" pitchFamily="34" charset="0"/>
                <a:cs typeface="Arial" panose="020B0604020202020204" pitchFamily="34" charset="0"/>
              </a:rPr>
              <a:t>Máte pocit, že Európska únia pomáha Slovensku?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100" b="0">
                <a:latin typeface="Arial" panose="020B0604020202020204" pitchFamily="34" charset="0"/>
                <a:cs typeface="Arial" panose="020B0604020202020204" pitchFamily="34" charset="0"/>
              </a:rPr>
              <a:t>(</a:t>
            </a: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25040500145815109"/>
          <c:y val="1.054350193125423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31429589530475383"/>
          <c:y val="0.17438778572636845"/>
          <c:w val="0.59293215952172618"/>
          <c:h val="0.75104836565032895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skôr a určite áno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  <c:pt idx="11">
                  <c:v>do 1 999 obyvateľov</c:v>
                </c:pt>
                <c:pt idx="12">
                  <c:v>od 2 000 do 19 999 obyvateľov</c:v>
                </c:pt>
                <c:pt idx="13">
                  <c:v>od 20 000 do 99 999 obyvateľov</c:v>
                </c:pt>
                <c:pt idx="14">
                  <c:v>od 100 000 obyvateľov</c:v>
                </c:pt>
              </c:strCache>
            </c:strRef>
          </c:cat>
          <c:val>
            <c:numRef>
              <c:f>Hárok1!$B$2:$B$16</c:f>
              <c:numCache>
                <c:formatCode>General</c:formatCode>
                <c:ptCount val="15"/>
                <c:pt idx="0" formatCode="0.0&quot;%&quot;">
                  <c:v>82.800000000000011</c:v>
                </c:pt>
                <c:pt idx="2" formatCode="0.0&quot;%&quot;">
                  <c:v>81.666666666666671</c:v>
                </c:pt>
                <c:pt idx="3" formatCode="0.0&quot;%&quot;">
                  <c:v>85.454545454545467</c:v>
                </c:pt>
                <c:pt idx="4" formatCode="0.0&quot;%&quot;">
                  <c:v>77.966101694915309</c:v>
                </c:pt>
                <c:pt idx="5" formatCode="0.0&quot;%&quot;">
                  <c:v>75.925925925925924</c:v>
                </c:pt>
                <c:pt idx="6" formatCode="0.0&quot;%&quot;">
                  <c:v>83.582089552238784</c:v>
                </c:pt>
                <c:pt idx="7" formatCode="0.0&quot;%&quot;">
                  <c:v>83.928571428571402</c:v>
                </c:pt>
                <c:pt idx="8" formatCode="0.0&quot;%&quot;">
                  <c:v>83.116883116883074</c:v>
                </c:pt>
                <c:pt idx="9" formatCode="0.0&quot;%&quot;">
                  <c:v>88.888888888888829</c:v>
                </c:pt>
                <c:pt idx="11" formatCode="0.0&quot;%&quot;">
                  <c:v>85.91549295774648</c:v>
                </c:pt>
                <c:pt idx="12" formatCode="0.0&quot;%&quot;">
                  <c:v>79.874213836477978</c:v>
                </c:pt>
                <c:pt idx="13" formatCode="0.0&quot;%&quot;">
                  <c:v>82.08955223880595</c:v>
                </c:pt>
                <c:pt idx="14" formatCode="0.0&quot;%&quot;">
                  <c:v>84.615384615384585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skôr a určite nie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  <c:pt idx="11">
                  <c:v>do 1 999 obyvateľov</c:v>
                </c:pt>
                <c:pt idx="12">
                  <c:v>od 2 000 do 19 999 obyvateľov</c:v>
                </c:pt>
                <c:pt idx="13">
                  <c:v>od 20 000 do 99 999 obyvateľov</c:v>
                </c:pt>
                <c:pt idx="14">
                  <c:v>od 100 000 obyvateľov</c:v>
                </c:pt>
              </c:strCache>
            </c:strRef>
          </c:cat>
          <c:val>
            <c:numRef>
              <c:f>Hárok1!$C$2:$C$16</c:f>
              <c:numCache>
                <c:formatCode>General</c:formatCode>
                <c:ptCount val="15"/>
                <c:pt idx="0" formatCode="0.0&quot;%&quot;">
                  <c:v>15.600000000000001</c:v>
                </c:pt>
                <c:pt idx="2" formatCode="0.0&quot;%&quot;">
                  <c:v>16.666666666666668</c:v>
                </c:pt>
                <c:pt idx="3" formatCode="0.0&quot;%&quot;">
                  <c:v>14.545454545454549</c:v>
                </c:pt>
                <c:pt idx="4" formatCode="0.0&quot;%&quot;">
                  <c:v>18.644067796610184</c:v>
                </c:pt>
                <c:pt idx="5" formatCode="0.0&quot;%&quot;">
                  <c:v>24.074074074074083</c:v>
                </c:pt>
                <c:pt idx="6" formatCode="0.0&quot;%&quot;">
                  <c:v>11.940298507462687</c:v>
                </c:pt>
                <c:pt idx="7" formatCode="0.0&quot;%&quot;">
                  <c:v>16.071428571428573</c:v>
                </c:pt>
                <c:pt idx="8" formatCode="0.0&quot;%&quot;">
                  <c:v>15.584415584415583</c:v>
                </c:pt>
                <c:pt idx="9" formatCode="0.0&quot;%&quot;">
                  <c:v>9.7222222222222214</c:v>
                </c:pt>
                <c:pt idx="11" formatCode="0.0&quot;%&quot;">
                  <c:v>13.380281690140844</c:v>
                </c:pt>
                <c:pt idx="12" formatCode="0.0&quot;%&quot;">
                  <c:v>16.352201257861626</c:v>
                </c:pt>
                <c:pt idx="13" formatCode="0.0&quot;%&quot;">
                  <c:v>17.164179104477611</c:v>
                </c:pt>
                <c:pt idx="14" formatCode="0.0&quot;%&quot;">
                  <c:v>15.384615384615385</c:v>
                </c:pt>
              </c:numCache>
            </c:numRef>
          </c:val>
        </c:ser>
        <c:ser>
          <c:idx val="2"/>
          <c:order val="2"/>
          <c:tx>
            <c:strRef>
              <c:f>Hárok1!$D$1</c:f>
              <c:strCache>
                <c:ptCount val="1"/>
                <c:pt idx="0">
                  <c:v>nevie posúdiť</c:v>
                </c:pt>
              </c:strCache>
            </c:strRef>
          </c:tx>
          <c:spPr>
            <a:solidFill>
              <a:srgbClr val="6F635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  <c:pt idx="11">
                  <c:v>do 1 999 obyvateľov</c:v>
                </c:pt>
                <c:pt idx="12">
                  <c:v>od 2 000 do 19 999 obyvateľov</c:v>
                </c:pt>
                <c:pt idx="13">
                  <c:v>od 20 000 do 99 999 obyvateľov</c:v>
                </c:pt>
                <c:pt idx="14">
                  <c:v>od 100 000 obyvateľov</c:v>
                </c:pt>
              </c:strCache>
            </c:strRef>
          </c:cat>
          <c:val>
            <c:numRef>
              <c:f>Hárok1!$D$2:$D$16</c:f>
              <c:numCache>
                <c:formatCode>General</c:formatCode>
                <c:ptCount val="15"/>
                <c:pt idx="0" formatCode="0.0&quot;%&quot;">
                  <c:v>1.6</c:v>
                </c:pt>
                <c:pt idx="2" formatCode="0.0&quot;%&quot;">
                  <c:v>1.6666666666666667</c:v>
                </c:pt>
                <c:pt idx="3" formatCode="0.0&quot;%&quot;">
                  <c:v>0</c:v>
                </c:pt>
                <c:pt idx="4" formatCode="0.0&quot;%&quot;">
                  <c:v>3.389830508474577</c:v>
                </c:pt>
                <c:pt idx="5" formatCode="0.0&quot;%&quot;">
                  <c:v>0</c:v>
                </c:pt>
                <c:pt idx="6" formatCode="0.0&quot;%&quot;">
                  <c:v>4.4776119402985071</c:v>
                </c:pt>
                <c:pt idx="7" formatCode="0.0&quot;%&quot;">
                  <c:v>0</c:v>
                </c:pt>
                <c:pt idx="8" formatCode="0.0&quot;%&quot;">
                  <c:v>1.2987012987012982</c:v>
                </c:pt>
                <c:pt idx="9" formatCode="0.0&quot;%&quot;">
                  <c:v>1.3888888888888893</c:v>
                </c:pt>
                <c:pt idx="11" formatCode="0.0&quot;%&quot;">
                  <c:v>0.70422535211267623</c:v>
                </c:pt>
                <c:pt idx="12" formatCode="0.0&quot;%&quot;">
                  <c:v>3.7735849056603792</c:v>
                </c:pt>
                <c:pt idx="13" formatCode="0.0&quot;%&quot;">
                  <c:v>0.74626865671641818</c:v>
                </c:pt>
                <c:pt idx="14" formatCode="0.0&quot;%&quot;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6187392"/>
        <c:axId val="126188928"/>
      </c:barChart>
      <c:catAx>
        <c:axId val="126187392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6188928"/>
        <c:crosses val="autoZero"/>
        <c:auto val="1"/>
        <c:lblAlgn val="ctr"/>
        <c:lblOffset val="100"/>
        <c:noMultiLvlLbl val="0"/>
      </c:catAx>
      <c:valAx>
        <c:axId val="126188928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6187392"/>
        <c:crosses val="autoZero"/>
        <c:crossBetween val="between"/>
      </c:valAx>
      <c:spPr>
        <a:noFill/>
      </c:spPr>
    </c:plotArea>
    <c:legend>
      <c:legendPos val="r"/>
      <c:layout>
        <c:manualLayout>
          <c:xMode val="edge"/>
          <c:yMode val="edge"/>
          <c:x val="0.2830150918635172"/>
          <c:y val="0.94816245682387434"/>
          <c:w val="0.66249252697579464"/>
          <c:h val="3.2433523772106461E-2"/>
        </c:manualLayout>
      </c:layout>
      <c:overlay val="0"/>
      <c:txPr>
        <a:bodyPr/>
        <a:lstStyle/>
        <a:p>
          <a:pPr>
            <a:defRPr sz="8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 sz="1000"/>
            </a:pPr>
            <a:r>
              <a:rPr lang="sk-SK" sz="10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Ako by ste ohodnotili úroveň informácií o novom programovom období?</a:t>
            </a:r>
          </a:p>
          <a:p>
            <a:pPr algn="ctr">
              <a:defRPr sz="1000"/>
            </a:pP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(údaje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9.9018117526975771E-2"/>
          <c:y val="0.29719017459774061"/>
          <c:w val="0.846919473607466"/>
          <c:h val="0.5573950131233596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Hárok1!$A$2</c:f>
              <c:strCache>
                <c:ptCount val="1"/>
                <c:pt idx="0">
                  <c:v>veľmi dobrá</c:v>
                </c:pt>
              </c:strCache>
            </c:strRef>
          </c:tx>
          <c:spPr>
            <a:solidFill>
              <a:srgbClr val="A1AF00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</c:f>
              <c:strCache>
                <c:ptCount val="1"/>
                <c:pt idx="0">
                  <c:v>2014</c:v>
                </c:pt>
              </c:strCache>
            </c:strRef>
          </c:cat>
          <c:val>
            <c:numRef>
              <c:f>Hárok1!$B$2</c:f>
              <c:numCache>
                <c:formatCode>General</c:formatCode>
                <c:ptCount val="1"/>
                <c:pt idx="0">
                  <c:v>3.2</c:v>
                </c:pt>
              </c:numCache>
            </c:numRef>
          </c:val>
        </c:ser>
        <c:ser>
          <c:idx val="1"/>
          <c:order val="1"/>
          <c:tx>
            <c:strRef>
              <c:f>Hárok1!$A$3</c:f>
              <c:strCache>
                <c:ptCount val="1"/>
                <c:pt idx="0">
                  <c:v>skôr dobrá</c:v>
                </c:pt>
              </c:strCache>
            </c:strRef>
          </c:tx>
          <c:spPr>
            <a:solidFill>
              <a:srgbClr val="CDC3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</c:f>
              <c:strCache>
                <c:ptCount val="1"/>
                <c:pt idx="0">
                  <c:v>2014</c:v>
                </c:pt>
              </c:strCache>
            </c:strRef>
          </c:cat>
          <c:val>
            <c:numRef>
              <c:f>Hárok1!$B$3</c:f>
              <c:numCache>
                <c:formatCode>General</c:formatCode>
                <c:ptCount val="1"/>
                <c:pt idx="0">
                  <c:v>41</c:v>
                </c:pt>
              </c:numCache>
            </c:numRef>
          </c:val>
        </c:ser>
        <c:ser>
          <c:idx val="2"/>
          <c:order val="2"/>
          <c:tx>
            <c:strRef>
              <c:f>Hárok1!$A$4</c:f>
              <c:strCache>
                <c:ptCount val="1"/>
                <c:pt idx="0">
                  <c:v>skôr zlá</c:v>
                </c:pt>
              </c:strCache>
            </c:strRef>
          </c:tx>
          <c:spPr>
            <a:solidFill>
              <a:srgbClr val="B50F22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</c:f>
              <c:strCache>
                <c:ptCount val="1"/>
                <c:pt idx="0">
                  <c:v>2014</c:v>
                </c:pt>
              </c:strCache>
            </c:strRef>
          </c:cat>
          <c:val>
            <c:numRef>
              <c:f>Hárok1!$B$4</c:f>
              <c:numCache>
                <c:formatCode>General</c:formatCode>
                <c:ptCount val="1"/>
                <c:pt idx="0">
                  <c:v>25.8</c:v>
                </c:pt>
              </c:numCache>
            </c:numRef>
          </c:val>
        </c:ser>
        <c:ser>
          <c:idx val="3"/>
          <c:order val="3"/>
          <c:tx>
            <c:strRef>
              <c:f>Hárok1!$A$5</c:f>
              <c:strCache>
                <c:ptCount val="1"/>
                <c:pt idx="0">
                  <c:v>veľmi zlá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</c:f>
              <c:strCache>
                <c:ptCount val="1"/>
                <c:pt idx="0">
                  <c:v>2014</c:v>
                </c:pt>
              </c:strCache>
            </c:strRef>
          </c:cat>
          <c:val>
            <c:numRef>
              <c:f>Hárok1!$B$5</c:f>
              <c:numCache>
                <c:formatCode>General</c:formatCode>
                <c:ptCount val="1"/>
                <c:pt idx="0">
                  <c:v>9.8000000000000007</c:v>
                </c:pt>
              </c:numCache>
            </c:numRef>
          </c:val>
        </c:ser>
        <c:ser>
          <c:idx val="4"/>
          <c:order val="4"/>
          <c:tx>
            <c:strRef>
              <c:f>Hárok1!$A$6</c:f>
              <c:strCache>
                <c:ptCount val="1"/>
                <c:pt idx="0">
                  <c:v>nevie posúdiť</c:v>
                </c:pt>
              </c:strCache>
            </c:strRef>
          </c:tx>
          <c:spPr>
            <a:solidFill>
              <a:srgbClr val="6F635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Hárok1!$B$1</c:f>
              <c:strCache>
                <c:ptCount val="1"/>
                <c:pt idx="0">
                  <c:v>2014</c:v>
                </c:pt>
              </c:strCache>
            </c:strRef>
          </c:cat>
          <c:val>
            <c:numRef>
              <c:f>Hárok1!$B$6</c:f>
              <c:numCache>
                <c:formatCode>General</c:formatCode>
                <c:ptCount val="1"/>
                <c:pt idx="0">
                  <c:v>20.2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26247680"/>
        <c:axId val="126249216"/>
      </c:barChart>
      <c:catAx>
        <c:axId val="126247680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6249216"/>
        <c:crosses val="autoZero"/>
        <c:auto val="1"/>
        <c:lblAlgn val="ctr"/>
        <c:lblOffset val="100"/>
        <c:noMultiLvlLbl val="0"/>
      </c:catAx>
      <c:valAx>
        <c:axId val="126249216"/>
        <c:scaling>
          <c:orientation val="minMax"/>
          <c:max val="1"/>
        </c:scaling>
        <c:delete val="0"/>
        <c:axPos val="t"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6247680"/>
        <c:crosses val="autoZero"/>
        <c:crossBetween val="between"/>
        <c:majorUnit val="0.2"/>
      </c:valAx>
      <c:spPr>
        <a:noFill/>
      </c:spPr>
    </c:plotArea>
    <c:legend>
      <c:legendPos val="r"/>
      <c:layout>
        <c:manualLayout>
          <c:xMode val="edge"/>
          <c:yMode val="edge"/>
          <c:x val="8.162620297462822E-2"/>
          <c:y val="0.87075259614287381"/>
          <c:w val="0.84710064887722358"/>
          <c:h val="8.57691429875614E-2"/>
        </c:manualLayout>
      </c:layout>
      <c:overlay val="0"/>
      <c:txPr>
        <a:bodyPr/>
        <a:lstStyle/>
        <a:p>
          <a:pPr>
            <a:defRPr sz="10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000" b="1" i="0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Ako by ste ohodnotili úroveň informácií o novom programovom období?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100" b="0">
                <a:latin typeface="Arial" panose="020B0604020202020204" pitchFamily="34" charset="0"/>
                <a:cs typeface="Arial" panose="020B0604020202020204" pitchFamily="34" charset="0"/>
              </a:rPr>
              <a:t>(</a:t>
            </a: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1740161125692623"/>
          <c:y val="1.0423875162873057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31429589530475383"/>
          <c:y val="0.17438778572636845"/>
          <c:w val="0.59293215952172618"/>
          <c:h val="0.75104836565032895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veľmi a skôr dobrá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Hárok1!$A$2:$A$15</c:f>
              <c:strCache>
                <c:ptCount val="14"/>
                <c:pt idx="0">
                  <c:v>Total</c:v>
                </c:pt>
                <c:pt idx="2">
                  <c:v>Muž</c:v>
                </c:pt>
                <c:pt idx="3">
                  <c:v>Žena</c:v>
                </c:pt>
                <c:pt idx="5">
                  <c:v>15-29 rokov</c:v>
                </c:pt>
                <c:pt idx="6">
                  <c:v>30-39 rokov</c:v>
                </c:pt>
                <c:pt idx="7">
                  <c:v>40-49 rokov</c:v>
                </c:pt>
                <c:pt idx="8">
                  <c:v>50-59 rokov</c:v>
                </c:pt>
                <c:pt idx="9">
                  <c:v>60-69 rokov</c:v>
                </c:pt>
                <c:pt idx="10">
                  <c:v>70-79 rokov</c:v>
                </c:pt>
                <c:pt idx="12">
                  <c:v>nižšie ako vysokoškolské vzdelanie</c:v>
                </c:pt>
                <c:pt idx="13">
                  <c:v>vysokoškolské vzdelanie</c:v>
                </c:pt>
              </c:strCache>
            </c:strRef>
          </c:cat>
          <c:val>
            <c:numRef>
              <c:f>Hárok1!$B$2:$B$15</c:f>
              <c:numCache>
                <c:formatCode>General</c:formatCode>
                <c:ptCount val="14"/>
                <c:pt idx="0" formatCode="0.0&quot;%&quot;">
                  <c:v>44.2</c:v>
                </c:pt>
                <c:pt idx="2" formatCode="0.0&quot;%&quot;">
                  <c:v>42.672413793103452</c:v>
                </c:pt>
                <c:pt idx="3" formatCode="0.0&quot;%&quot;">
                  <c:v>45.522388059701491</c:v>
                </c:pt>
                <c:pt idx="5" formatCode="0.0&quot;%&quot;">
                  <c:v>45.454545454545425</c:v>
                </c:pt>
                <c:pt idx="6" formatCode="0.0&quot;%&quot;">
                  <c:v>37.5</c:v>
                </c:pt>
                <c:pt idx="7" formatCode="0.0&quot;%&quot;">
                  <c:v>38.383838383838373</c:v>
                </c:pt>
                <c:pt idx="8" formatCode="0.0&quot;%&quot;">
                  <c:v>50.724637681159422</c:v>
                </c:pt>
                <c:pt idx="9" formatCode="0.0&quot;%&quot;">
                  <c:v>46.428571428571438</c:v>
                </c:pt>
                <c:pt idx="10" formatCode="0.0&quot;%&quot;">
                  <c:v>54.761904761904759</c:v>
                </c:pt>
                <c:pt idx="12" formatCode="0.0&quot;%&quot;">
                  <c:v>48.948948948948967</c:v>
                </c:pt>
                <c:pt idx="13" formatCode="0.0&quot;%&quot;">
                  <c:v>34.730538922155723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veľmi a skôr zlá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Hárok1!$A$2:$A$15</c:f>
              <c:strCache>
                <c:ptCount val="14"/>
                <c:pt idx="0">
                  <c:v>Total</c:v>
                </c:pt>
                <c:pt idx="2">
                  <c:v>Muž</c:v>
                </c:pt>
                <c:pt idx="3">
                  <c:v>Žena</c:v>
                </c:pt>
                <c:pt idx="5">
                  <c:v>15-29 rokov</c:v>
                </c:pt>
                <c:pt idx="6">
                  <c:v>30-39 rokov</c:v>
                </c:pt>
                <c:pt idx="7">
                  <c:v>40-49 rokov</c:v>
                </c:pt>
                <c:pt idx="8">
                  <c:v>50-59 rokov</c:v>
                </c:pt>
                <c:pt idx="9">
                  <c:v>60-69 rokov</c:v>
                </c:pt>
                <c:pt idx="10">
                  <c:v>70-79 rokov</c:v>
                </c:pt>
                <c:pt idx="12">
                  <c:v>nižšie ako vysokoškolské vzdelanie</c:v>
                </c:pt>
                <c:pt idx="13">
                  <c:v>vysokoškolské vzdelanie</c:v>
                </c:pt>
              </c:strCache>
            </c:strRef>
          </c:cat>
          <c:val>
            <c:numRef>
              <c:f>Hárok1!$C$2:$C$15</c:f>
              <c:numCache>
                <c:formatCode>General</c:formatCode>
                <c:ptCount val="14"/>
                <c:pt idx="0" formatCode="0.0&quot;%&quot;">
                  <c:v>35.6</c:v>
                </c:pt>
                <c:pt idx="2" formatCode="0.0&quot;%&quot;">
                  <c:v>43.534482758620669</c:v>
                </c:pt>
                <c:pt idx="3" formatCode="0.0&quot;%&quot;">
                  <c:v>28.731343283582085</c:v>
                </c:pt>
                <c:pt idx="5" formatCode="0.0&quot;%&quot;">
                  <c:v>40.909090909090907</c:v>
                </c:pt>
                <c:pt idx="6" formatCode="0.0&quot;%&quot;">
                  <c:v>43.75</c:v>
                </c:pt>
                <c:pt idx="7" formatCode="0.0&quot;%&quot;">
                  <c:v>35.353535353535356</c:v>
                </c:pt>
                <c:pt idx="8" formatCode="0.0&quot;%&quot;">
                  <c:v>24.6376811594203</c:v>
                </c:pt>
                <c:pt idx="9" formatCode="0.0&quot;%&quot;">
                  <c:v>32.142857142857153</c:v>
                </c:pt>
                <c:pt idx="10" formatCode="0.0&quot;%&quot;">
                  <c:v>28.571428571428569</c:v>
                </c:pt>
                <c:pt idx="12" formatCode="0.0&quot;%&quot;">
                  <c:v>33.933933933933943</c:v>
                </c:pt>
                <c:pt idx="13" formatCode="0.0&quot;%&quot;">
                  <c:v>38.922155688622766</c:v>
                </c:pt>
              </c:numCache>
            </c:numRef>
          </c:val>
        </c:ser>
        <c:ser>
          <c:idx val="2"/>
          <c:order val="2"/>
          <c:tx>
            <c:strRef>
              <c:f>Hárok1!$D$1</c:f>
              <c:strCache>
                <c:ptCount val="1"/>
                <c:pt idx="0">
                  <c:v>nevie posúdiť</c:v>
                </c:pt>
              </c:strCache>
            </c:strRef>
          </c:tx>
          <c:spPr>
            <a:solidFill>
              <a:srgbClr val="6F635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Hárok1!$A$2:$A$15</c:f>
              <c:strCache>
                <c:ptCount val="14"/>
                <c:pt idx="0">
                  <c:v>Total</c:v>
                </c:pt>
                <c:pt idx="2">
                  <c:v>Muž</c:v>
                </c:pt>
                <c:pt idx="3">
                  <c:v>Žena</c:v>
                </c:pt>
                <c:pt idx="5">
                  <c:v>15-29 rokov</c:v>
                </c:pt>
                <c:pt idx="6">
                  <c:v>30-39 rokov</c:v>
                </c:pt>
                <c:pt idx="7">
                  <c:v>40-49 rokov</c:v>
                </c:pt>
                <c:pt idx="8">
                  <c:v>50-59 rokov</c:v>
                </c:pt>
                <c:pt idx="9">
                  <c:v>60-69 rokov</c:v>
                </c:pt>
                <c:pt idx="10">
                  <c:v>70-79 rokov</c:v>
                </c:pt>
                <c:pt idx="12">
                  <c:v>nižšie ako vysokoškolské vzdelanie</c:v>
                </c:pt>
                <c:pt idx="13">
                  <c:v>vysokoškolské vzdelanie</c:v>
                </c:pt>
              </c:strCache>
            </c:strRef>
          </c:cat>
          <c:val>
            <c:numRef>
              <c:f>Hárok1!$D$2:$D$15</c:f>
              <c:numCache>
                <c:formatCode>General</c:formatCode>
                <c:ptCount val="14"/>
                <c:pt idx="0" formatCode="0.0&quot;%&quot;">
                  <c:v>20.2</c:v>
                </c:pt>
                <c:pt idx="2" formatCode="0.0&quot;%&quot;">
                  <c:v>13.793103448275856</c:v>
                </c:pt>
                <c:pt idx="3" formatCode="0.0&quot;%&quot;">
                  <c:v>25.746268656716424</c:v>
                </c:pt>
                <c:pt idx="5" formatCode="0.0&quot;%&quot;">
                  <c:v>13.636363636363637</c:v>
                </c:pt>
                <c:pt idx="6" formatCode="0.0&quot;%&quot;">
                  <c:v>18.75</c:v>
                </c:pt>
                <c:pt idx="7" formatCode="0.0&quot;%&quot;">
                  <c:v>26.262626262626249</c:v>
                </c:pt>
                <c:pt idx="8" formatCode="0.0&quot;%&quot;">
                  <c:v>24.6376811594203</c:v>
                </c:pt>
                <c:pt idx="9" formatCode="0.0&quot;%&quot;">
                  <c:v>21.428571428571427</c:v>
                </c:pt>
                <c:pt idx="10" formatCode="0.0&quot;%&quot;">
                  <c:v>16.666666666666668</c:v>
                </c:pt>
                <c:pt idx="12" formatCode="0.0&quot;%&quot;">
                  <c:v>17.117117117117129</c:v>
                </c:pt>
                <c:pt idx="13" formatCode="0.0&quot;%&quot;">
                  <c:v>26.347305389221557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5437056"/>
        <c:axId val="125438592"/>
      </c:barChart>
      <c:catAx>
        <c:axId val="125437056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438592"/>
        <c:crosses val="autoZero"/>
        <c:auto val="1"/>
        <c:lblAlgn val="ctr"/>
        <c:lblOffset val="100"/>
        <c:noMultiLvlLbl val="0"/>
      </c:catAx>
      <c:valAx>
        <c:axId val="125438592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437056"/>
        <c:crosses val="autoZero"/>
        <c:crossBetween val="between"/>
      </c:valAx>
      <c:spPr>
        <a:noFill/>
      </c:spPr>
    </c:plotArea>
    <c:legend>
      <c:legendPos val="r"/>
      <c:layout>
        <c:manualLayout>
          <c:xMode val="edge"/>
          <c:yMode val="edge"/>
          <c:x val="0.2830150918635172"/>
          <c:y val="0.94816245682387434"/>
          <c:w val="0.66249252697579464"/>
          <c:h val="3.2433523772106461E-2"/>
        </c:manualLayout>
      </c:layout>
      <c:overlay val="0"/>
      <c:txPr>
        <a:bodyPr/>
        <a:lstStyle/>
        <a:p>
          <a:pPr>
            <a:defRPr sz="8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000" b="1" i="0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Ako by ste ohodnotili úroveň informácií o novom programovom období?</a:t>
            </a:r>
            <a:endParaRPr lang="sk-SK" sz="1000">
              <a:effectLst/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marR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8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sk-SK" sz="1100" b="0">
                <a:latin typeface="Arial" panose="020B0604020202020204" pitchFamily="34" charset="0"/>
                <a:cs typeface="Arial" panose="020B0604020202020204" pitchFamily="34" charset="0"/>
              </a:rPr>
              <a:t>(</a:t>
            </a:r>
            <a:r>
              <a:rPr lang="sk-SK" sz="1000" b="0">
                <a:latin typeface="Arial" panose="020B0604020202020204" pitchFamily="34" charset="0"/>
                <a:cs typeface="Arial" panose="020B0604020202020204" pitchFamily="34" charset="0"/>
              </a:rPr>
              <a:t>údaje</a:t>
            </a:r>
            <a:r>
              <a:rPr lang="sk-SK" sz="1000" b="0" baseline="0">
                <a:latin typeface="Arial" panose="020B0604020202020204" pitchFamily="34" charset="0"/>
                <a:cs typeface="Arial" panose="020B0604020202020204" pitchFamily="34" charset="0"/>
              </a:rPr>
              <a:t> v %)</a:t>
            </a:r>
            <a:endParaRPr lang="sk-SK" sz="1000" b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18790500145815112"/>
          <c:y val="1.0423875162873057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31429589530475383"/>
          <c:y val="0.17438778572636845"/>
          <c:w val="0.59293215952172618"/>
          <c:h val="0.75104836565032895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Hárok1!$B$1</c:f>
              <c:strCache>
                <c:ptCount val="1"/>
                <c:pt idx="0">
                  <c:v>veľmi a skôr dobrá</c:v>
                </c:pt>
              </c:strCache>
            </c:strRef>
          </c:tx>
          <c:spPr>
            <a:solidFill>
              <a:srgbClr val="004186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  <c:pt idx="11">
                  <c:v>do 1 999 obyvateľov</c:v>
                </c:pt>
                <c:pt idx="12">
                  <c:v>od 2 000 do 19 999 obyvateľov</c:v>
                </c:pt>
                <c:pt idx="13">
                  <c:v>od 20 000 do 99 999 obyvateľov</c:v>
                </c:pt>
                <c:pt idx="14">
                  <c:v>od 100 000 obyvateľov</c:v>
                </c:pt>
              </c:strCache>
            </c:strRef>
          </c:cat>
          <c:val>
            <c:numRef>
              <c:f>Hárok1!$B$2:$B$16</c:f>
              <c:numCache>
                <c:formatCode>General</c:formatCode>
                <c:ptCount val="15"/>
                <c:pt idx="0" formatCode="0.0&quot;%&quot;">
                  <c:v>44.2</c:v>
                </c:pt>
                <c:pt idx="2" formatCode="0.0&quot;%&quot;">
                  <c:v>23.333333333333325</c:v>
                </c:pt>
                <c:pt idx="3" formatCode="0.0&quot;%&quot;">
                  <c:v>49.090909090909108</c:v>
                </c:pt>
                <c:pt idx="4" formatCode="0.0&quot;%&quot;">
                  <c:v>49.152542372881371</c:v>
                </c:pt>
                <c:pt idx="5" formatCode="0.0&quot;%&quot;">
                  <c:v>51.851851851851833</c:v>
                </c:pt>
                <c:pt idx="6" formatCode="0.0&quot;%&quot;">
                  <c:v>32.835820895522374</c:v>
                </c:pt>
                <c:pt idx="7" formatCode="0.0&quot;%&quot;">
                  <c:v>53.571428571428548</c:v>
                </c:pt>
                <c:pt idx="8" formatCode="0.0&quot;%&quot;">
                  <c:v>50.649350649350652</c:v>
                </c:pt>
                <c:pt idx="9" formatCode="0.0&quot;%&quot;">
                  <c:v>44.444444444444414</c:v>
                </c:pt>
                <c:pt idx="11" formatCode="0.0&quot;%&quot;">
                  <c:v>54.929577464788736</c:v>
                </c:pt>
                <c:pt idx="12" formatCode="0.0&quot;%&quot;">
                  <c:v>49.056603773584904</c:v>
                </c:pt>
                <c:pt idx="13" formatCode="0.0&quot;%&quot;">
                  <c:v>35.074626865671618</c:v>
                </c:pt>
                <c:pt idx="14" formatCode="0.0&quot;%&quot;">
                  <c:v>27.692307692307686</c:v>
                </c:pt>
              </c:numCache>
            </c:numRef>
          </c:val>
        </c:ser>
        <c:ser>
          <c:idx val="1"/>
          <c:order val="1"/>
          <c:tx>
            <c:strRef>
              <c:f>Hárok1!$C$1</c:f>
              <c:strCache>
                <c:ptCount val="1"/>
                <c:pt idx="0">
                  <c:v>veľmi a skôr zlá</c:v>
                </c:pt>
              </c:strCache>
            </c:strRef>
          </c:tx>
          <c:spPr>
            <a:solidFill>
              <a:srgbClr val="E31B19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  <c:pt idx="11">
                  <c:v>do 1 999 obyvateľov</c:v>
                </c:pt>
                <c:pt idx="12">
                  <c:v>od 2 000 do 19 999 obyvateľov</c:v>
                </c:pt>
                <c:pt idx="13">
                  <c:v>od 20 000 do 99 999 obyvateľov</c:v>
                </c:pt>
                <c:pt idx="14">
                  <c:v>od 100 000 obyvateľov</c:v>
                </c:pt>
              </c:strCache>
            </c:strRef>
          </c:cat>
          <c:val>
            <c:numRef>
              <c:f>Hárok1!$C$2:$C$16</c:f>
              <c:numCache>
                <c:formatCode>General</c:formatCode>
                <c:ptCount val="15"/>
                <c:pt idx="0" formatCode="0.0&quot;%&quot;">
                  <c:v>35.6</c:v>
                </c:pt>
                <c:pt idx="2" formatCode="0.0&quot;%&quot;">
                  <c:v>51.666666666666636</c:v>
                </c:pt>
                <c:pt idx="3" formatCode="0.0&quot;%&quot;">
                  <c:v>29.090909090909086</c:v>
                </c:pt>
                <c:pt idx="4" formatCode="0.0&quot;%&quot;">
                  <c:v>38.983050847457626</c:v>
                </c:pt>
                <c:pt idx="5" formatCode="0.0&quot;%&quot;">
                  <c:v>35.185185185185183</c:v>
                </c:pt>
                <c:pt idx="6" formatCode="0.0&quot;%&quot;">
                  <c:v>37.313432835820912</c:v>
                </c:pt>
                <c:pt idx="7" formatCode="0.0&quot;%&quot;">
                  <c:v>23.214285714285726</c:v>
                </c:pt>
                <c:pt idx="8" formatCode="0.0&quot;%&quot;">
                  <c:v>37.662337662337656</c:v>
                </c:pt>
                <c:pt idx="9" formatCode="0.0&quot;%&quot;">
                  <c:v>30.555555555555554</c:v>
                </c:pt>
                <c:pt idx="11" formatCode="0.0&quot;%&quot;">
                  <c:v>28.169014084507033</c:v>
                </c:pt>
                <c:pt idx="12" formatCode="0.0&quot;%&quot;">
                  <c:v>32.704402515723274</c:v>
                </c:pt>
                <c:pt idx="13" formatCode="0.0&quot;%&quot;">
                  <c:v>41.044776119402975</c:v>
                </c:pt>
                <c:pt idx="14" formatCode="0.0&quot;%&quot;">
                  <c:v>47.692307692307693</c:v>
                </c:pt>
              </c:numCache>
            </c:numRef>
          </c:val>
        </c:ser>
        <c:ser>
          <c:idx val="2"/>
          <c:order val="2"/>
          <c:tx>
            <c:strRef>
              <c:f>Hárok1!$D$1</c:f>
              <c:strCache>
                <c:ptCount val="1"/>
                <c:pt idx="0">
                  <c:v>nevie posúdiť</c:v>
                </c:pt>
              </c:strCache>
            </c:strRef>
          </c:tx>
          <c:spPr>
            <a:solidFill>
              <a:srgbClr val="6F635F"/>
            </a:solidFill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Hárok1!$A$2:$A$16</c:f>
              <c:strCache>
                <c:ptCount val="15"/>
                <c:pt idx="0">
                  <c:v>Total</c:v>
                </c:pt>
                <c:pt idx="2">
                  <c:v>Bratislavský kraj</c:v>
                </c:pt>
                <c:pt idx="3">
                  <c:v>Trnavský kraj</c:v>
                </c:pt>
                <c:pt idx="4">
                  <c:v>Trenčiansky kraj</c:v>
                </c:pt>
                <c:pt idx="5">
                  <c:v>Nitriansky kraj</c:v>
                </c:pt>
                <c:pt idx="6">
                  <c:v>Žilinský kraj</c:v>
                </c:pt>
                <c:pt idx="7">
                  <c:v>Banskobystrický kraj</c:v>
                </c:pt>
                <c:pt idx="8">
                  <c:v>Prešovský kraj</c:v>
                </c:pt>
                <c:pt idx="9">
                  <c:v>Košický kraj</c:v>
                </c:pt>
                <c:pt idx="11">
                  <c:v>do 1 999 obyvateľov</c:v>
                </c:pt>
                <c:pt idx="12">
                  <c:v>od 2 000 do 19 999 obyvateľov</c:v>
                </c:pt>
                <c:pt idx="13">
                  <c:v>od 20 000 do 99 999 obyvateľov</c:v>
                </c:pt>
                <c:pt idx="14">
                  <c:v>od 100 000 obyvateľov</c:v>
                </c:pt>
              </c:strCache>
            </c:strRef>
          </c:cat>
          <c:val>
            <c:numRef>
              <c:f>Hárok1!$D$2:$D$16</c:f>
              <c:numCache>
                <c:formatCode>General</c:formatCode>
                <c:ptCount val="15"/>
                <c:pt idx="0" formatCode="0.0&quot;%&quot;">
                  <c:v>20.2</c:v>
                </c:pt>
                <c:pt idx="2" formatCode="0.0&quot;%&quot;">
                  <c:v>25</c:v>
                </c:pt>
                <c:pt idx="3" formatCode="0.0&quot;%&quot;">
                  <c:v>21.818181818181817</c:v>
                </c:pt>
                <c:pt idx="4" formatCode="0.0&quot;%&quot;">
                  <c:v>11.864406779661024</c:v>
                </c:pt>
                <c:pt idx="5" formatCode="0.0&quot;%&quot;">
                  <c:v>12.962962962962967</c:v>
                </c:pt>
                <c:pt idx="6" formatCode="0.0&quot;%&quot;">
                  <c:v>29.850746268656717</c:v>
                </c:pt>
                <c:pt idx="7" formatCode="0.0&quot;%&quot;">
                  <c:v>23.214285714285726</c:v>
                </c:pt>
                <c:pt idx="8" formatCode="0.0&quot;%&quot;">
                  <c:v>11.688311688311682</c:v>
                </c:pt>
                <c:pt idx="9" formatCode="0.0&quot;%&quot;">
                  <c:v>25</c:v>
                </c:pt>
                <c:pt idx="11" formatCode="0.0&quot;%&quot;">
                  <c:v>16.901408450704224</c:v>
                </c:pt>
                <c:pt idx="12" formatCode="0.0&quot;%&quot;">
                  <c:v>18.23899371069183</c:v>
                </c:pt>
                <c:pt idx="13" formatCode="0.0&quot;%&quot;">
                  <c:v>23.88059701492536</c:v>
                </c:pt>
                <c:pt idx="14" formatCode="0.0&quot;%&quot;">
                  <c:v>24.615384615384624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25781504"/>
        <c:axId val="125783040"/>
      </c:barChart>
      <c:catAx>
        <c:axId val="125781504"/>
        <c:scaling>
          <c:orientation val="maxMin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783040"/>
        <c:crosses val="autoZero"/>
        <c:auto val="1"/>
        <c:lblAlgn val="ctr"/>
        <c:lblOffset val="100"/>
        <c:noMultiLvlLbl val="0"/>
      </c:catAx>
      <c:valAx>
        <c:axId val="125783040"/>
        <c:scaling>
          <c:orientation val="minMax"/>
          <c:max val="100"/>
        </c:scaling>
        <c:delete val="0"/>
        <c:axPos val="t"/>
        <c:numFmt formatCode="#,##0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" panose="020B0604020202020204" pitchFamily="34" charset="0"/>
                <a:cs typeface="Arial" panose="020B0604020202020204" pitchFamily="34" charset="0"/>
              </a:defRPr>
            </a:pPr>
            <a:endParaRPr lang="sk-SK"/>
          </a:p>
        </c:txPr>
        <c:crossAx val="125781504"/>
        <c:crosses val="autoZero"/>
        <c:crossBetween val="between"/>
      </c:valAx>
      <c:spPr>
        <a:noFill/>
      </c:spPr>
    </c:plotArea>
    <c:legend>
      <c:legendPos val="r"/>
      <c:layout>
        <c:manualLayout>
          <c:xMode val="edge"/>
          <c:yMode val="edge"/>
          <c:x val="0.2830150918635172"/>
          <c:y val="0.94816245682387434"/>
          <c:w val="0.66249252697579464"/>
          <c:h val="3.2433523772106461E-2"/>
        </c:manualLayout>
      </c:layout>
      <c:overlay val="0"/>
      <c:txPr>
        <a:bodyPr/>
        <a:lstStyle/>
        <a:p>
          <a:pPr>
            <a:defRPr sz="800">
              <a:latin typeface="Arial" panose="020B0604020202020204" pitchFamily="34" charset="0"/>
              <a:cs typeface="Arial" panose="020B0604020202020204" pitchFamily="34" charset="0"/>
            </a:defRPr>
          </a:pPr>
          <a:endParaRPr lang="sk-SK"/>
        </a:p>
      </c:txPr>
    </c:legend>
    <c:plotVisOnly val="1"/>
    <c:dispBlanksAs val="gap"/>
    <c:showDLblsOverMax val="0"/>
  </c:chart>
  <c:spPr>
    <a:noFill/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6683891716652543E-2"/>
          <c:y val="8.7147634614227046E-2"/>
          <c:w val="0.92489366544896556"/>
          <c:h val="0.82483076274835743"/>
        </c:manualLayout>
      </c:layout>
      <c:barChart>
        <c:barDir val="col"/>
        <c:grouping val="percentStacked"/>
        <c:varyColors val="0"/>
        <c:ser>
          <c:idx val="5"/>
          <c:order val="0"/>
          <c:tx>
            <c:strRef>
              <c:f>harok7!$A$134</c:f>
              <c:strCache>
                <c:ptCount val="1"/>
                <c:pt idx="0">
                  <c:v>ostatné, iné, a neudané</c:v>
                </c:pt>
              </c:strCache>
            </c:strRef>
          </c:tx>
          <c:spPr>
            <a:solidFill>
              <a:schemeClr val="bg2"/>
            </a:solidFill>
          </c:spPr>
          <c:invertIfNegative val="0"/>
          <c:cat>
            <c:strRef>
              <c:f>harok7!$B$128:$K$128</c:f>
              <c:strCache>
                <c:ptCount val="10"/>
                <c:pt idx="0">
                  <c:v>SR</c:v>
                </c:pt>
                <c:pt idx="2">
                  <c:v>BA</c:v>
                </c:pt>
                <c:pt idx="3">
                  <c:v>TT</c:v>
                </c:pt>
                <c:pt idx="4">
                  <c:v>TN</c:v>
                </c:pt>
                <c:pt idx="5">
                  <c:v>NR</c:v>
                </c:pt>
                <c:pt idx="6">
                  <c:v>ZA</c:v>
                </c:pt>
                <c:pt idx="7">
                  <c:v>BB</c:v>
                </c:pt>
                <c:pt idx="8">
                  <c:v>PO</c:v>
                </c:pt>
                <c:pt idx="9">
                  <c:v>KE</c:v>
                </c:pt>
              </c:strCache>
            </c:strRef>
          </c:cat>
          <c:val>
            <c:numRef>
              <c:f>harok7!$B$134:$K$134</c:f>
              <c:numCache>
                <c:formatCode>General</c:formatCode>
                <c:ptCount val="10"/>
                <c:pt idx="0" formatCode="0.0%">
                  <c:v>7.2326382689349558E-2</c:v>
                </c:pt>
                <c:pt idx="2" formatCode="0.0%">
                  <c:v>4.5276367282253628E-2</c:v>
                </c:pt>
                <c:pt idx="3" formatCode="0.0%">
                  <c:v>5.550314916572216E-2</c:v>
                </c:pt>
                <c:pt idx="4" formatCode="0.0%">
                  <c:v>6.7333565161024594E-2</c:v>
                </c:pt>
                <c:pt idx="5" formatCode="0.0%">
                  <c:v>5.42275530027874E-2</c:v>
                </c:pt>
                <c:pt idx="6" formatCode="0.0%">
                  <c:v>5.41974450334579E-2</c:v>
                </c:pt>
                <c:pt idx="7" formatCode="0.0%">
                  <c:v>9.7050454238877731E-2</c:v>
                </c:pt>
                <c:pt idx="8" formatCode="0.0%">
                  <c:v>8.0988770521030234E-2</c:v>
                </c:pt>
                <c:pt idx="9" formatCode="0.0%">
                  <c:v>0.11092586907176541</c:v>
                </c:pt>
              </c:numCache>
            </c:numRef>
          </c:val>
        </c:ser>
        <c:ser>
          <c:idx val="4"/>
          <c:order val="1"/>
          <c:tx>
            <c:strRef>
              <c:f>harok7!$A$133</c:f>
              <c:strCache>
                <c:ptCount val="1"/>
                <c:pt idx="0">
                  <c:v>rusínska</c:v>
                </c:pt>
              </c:strCache>
            </c:strRef>
          </c:tx>
          <c:spPr>
            <a:solidFill>
              <a:schemeClr val="tx2"/>
            </a:solidFill>
          </c:spPr>
          <c:invertIfNegative val="0"/>
          <c:cat>
            <c:strRef>
              <c:f>harok7!$B$128:$K$128</c:f>
              <c:strCache>
                <c:ptCount val="10"/>
                <c:pt idx="0">
                  <c:v>SR</c:v>
                </c:pt>
                <c:pt idx="2">
                  <c:v>BA</c:v>
                </c:pt>
                <c:pt idx="3">
                  <c:v>TT</c:v>
                </c:pt>
                <c:pt idx="4">
                  <c:v>TN</c:v>
                </c:pt>
                <c:pt idx="5">
                  <c:v>NR</c:v>
                </c:pt>
                <c:pt idx="6">
                  <c:v>ZA</c:v>
                </c:pt>
                <c:pt idx="7">
                  <c:v>BB</c:v>
                </c:pt>
                <c:pt idx="8">
                  <c:v>PO</c:v>
                </c:pt>
                <c:pt idx="9">
                  <c:v>KE</c:v>
                </c:pt>
              </c:strCache>
            </c:strRef>
          </c:cat>
          <c:val>
            <c:numRef>
              <c:f>harok7!$B$133:$K$133</c:f>
              <c:numCache>
                <c:formatCode>General</c:formatCode>
                <c:ptCount val="10"/>
                <c:pt idx="0" formatCode="0.0%">
                  <c:v>5.9719912429012905E-3</c:v>
                </c:pt>
                <c:pt idx="2" formatCode="0.0%">
                  <c:v>1.4424787347585627E-3</c:v>
                </c:pt>
                <c:pt idx="3" formatCode="0.0%">
                  <c:v>1.8651095393179437E-4</c:v>
                </c:pt>
                <c:pt idx="4" formatCode="0.0%">
                  <c:v>1.9919175413660504E-4</c:v>
                </c:pt>
                <c:pt idx="5" formatCode="0.0%">
                  <c:v>1.485446988474679E-4</c:v>
                </c:pt>
                <c:pt idx="6" formatCode="0.0%">
                  <c:v>2.6071087164334755E-4</c:v>
                </c:pt>
                <c:pt idx="7" formatCode="0.0%">
                  <c:v>2.8014061841041512E-4</c:v>
                </c:pt>
                <c:pt idx="8" formatCode="0.0%">
                  <c:v>3.3891143902427111E-2</c:v>
                </c:pt>
                <c:pt idx="9" formatCode="0.0%">
                  <c:v>3.7873259214148743E-3</c:v>
                </c:pt>
              </c:numCache>
            </c:numRef>
          </c:val>
        </c:ser>
        <c:ser>
          <c:idx val="3"/>
          <c:order val="2"/>
          <c:tx>
            <c:strRef>
              <c:f>harok7!$A$132</c:f>
              <c:strCache>
                <c:ptCount val="1"/>
                <c:pt idx="0">
                  <c:v>česká, moravská, sliezska</c:v>
                </c:pt>
              </c:strCache>
            </c:strRef>
          </c:tx>
          <c:spPr>
            <a:solidFill>
              <a:schemeClr val="accent6"/>
            </a:solidFill>
          </c:spPr>
          <c:invertIfNegative val="0"/>
          <c:cat>
            <c:strRef>
              <c:f>harok7!$B$128:$K$128</c:f>
              <c:strCache>
                <c:ptCount val="10"/>
                <c:pt idx="0">
                  <c:v>SR</c:v>
                </c:pt>
                <c:pt idx="2">
                  <c:v>BA</c:v>
                </c:pt>
                <c:pt idx="3">
                  <c:v>TT</c:v>
                </c:pt>
                <c:pt idx="4">
                  <c:v>TN</c:v>
                </c:pt>
                <c:pt idx="5">
                  <c:v>NR</c:v>
                </c:pt>
                <c:pt idx="6">
                  <c:v>ZA</c:v>
                </c:pt>
                <c:pt idx="7">
                  <c:v>BB</c:v>
                </c:pt>
                <c:pt idx="8">
                  <c:v>PO</c:v>
                </c:pt>
                <c:pt idx="9">
                  <c:v>KE</c:v>
                </c:pt>
              </c:strCache>
            </c:strRef>
          </c:cat>
          <c:val>
            <c:numRef>
              <c:f>harok7!$B$132:$K$132</c:f>
              <c:numCache>
                <c:formatCode>General</c:formatCode>
                <c:ptCount val="10"/>
                <c:pt idx="0" formatCode="0.0%">
                  <c:v>6.961291548350991E-3</c:v>
                </c:pt>
                <c:pt idx="2" formatCode="0.0%">
                  <c:v>1.3818364112681523E-2</c:v>
                </c:pt>
                <c:pt idx="3" formatCode="0.0%">
                  <c:v>7.3976700477754983E-3</c:v>
                </c:pt>
                <c:pt idx="4" formatCode="0.0%">
                  <c:v>8.5044750622052211E-3</c:v>
                </c:pt>
                <c:pt idx="5" formatCode="0.0%">
                  <c:v>5.7175145850505782E-3</c:v>
                </c:pt>
                <c:pt idx="6" formatCode="0.0%">
                  <c:v>7.6533124764636019E-3</c:v>
                </c:pt>
                <c:pt idx="7" formatCode="0.0%">
                  <c:v>5.4657870657249478E-3</c:v>
                </c:pt>
                <c:pt idx="8" formatCode="0.0%">
                  <c:v>4.0394863453638713E-3</c:v>
                </c:pt>
                <c:pt idx="9" formatCode="0.0%">
                  <c:v>4.8895510068499015E-3</c:v>
                </c:pt>
              </c:numCache>
            </c:numRef>
          </c:val>
        </c:ser>
        <c:ser>
          <c:idx val="2"/>
          <c:order val="3"/>
          <c:tx>
            <c:strRef>
              <c:f>harok7!$A$131</c:f>
              <c:strCache>
                <c:ptCount val="1"/>
                <c:pt idx="0">
                  <c:v>rómska</c:v>
                </c:pt>
              </c:strCache>
            </c:strRef>
          </c:tx>
          <c:spPr>
            <a:solidFill>
              <a:schemeClr val="accent2"/>
            </a:solidFill>
          </c:spPr>
          <c:invertIfNegative val="0"/>
          <c:cat>
            <c:strRef>
              <c:f>harok7!$B$128:$K$128</c:f>
              <c:strCache>
                <c:ptCount val="10"/>
                <c:pt idx="0">
                  <c:v>SR</c:v>
                </c:pt>
                <c:pt idx="2">
                  <c:v>BA</c:v>
                </c:pt>
                <c:pt idx="3">
                  <c:v>TT</c:v>
                </c:pt>
                <c:pt idx="4">
                  <c:v>TN</c:v>
                </c:pt>
                <c:pt idx="5">
                  <c:v>NR</c:v>
                </c:pt>
                <c:pt idx="6">
                  <c:v>ZA</c:v>
                </c:pt>
                <c:pt idx="7">
                  <c:v>BB</c:v>
                </c:pt>
                <c:pt idx="8">
                  <c:v>PO</c:v>
                </c:pt>
                <c:pt idx="9">
                  <c:v>KE</c:v>
                </c:pt>
              </c:strCache>
            </c:strRef>
          </c:cat>
          <c:val>
            <c:numRef>
              <c:f>harok7!$B$131:$K$131</c:f>
              <c:numCache>
                <c:formatCode>General</c:formatCode>
                <c:ptCount val="10"/>
                <c:pt idx="0" formatCode="0.0%">
                  <c:v>1.9925409194215087E-2</c:v>
                </c:pt>
                <c:pt idx="2" formatCode="0.0%">
                  <c:v>1.2160807270610303E-3</c:v>
                </c:pt>
                <c:pt idx="3" formatCode="0.0%">
                  <c:v>5.3765369219953806E-3</c:v>
                </c:pt>
                <c:pt idx="4" formatCode="0.0%">
                  <c:v>9.5038099643142903E-4</c:v>
                </c:pt>
                <c:pt idx="5" formatCode="0.0%">
                  <c:v>5.7539225994739773E-3</c:v>
                </c:pt>
                <c:pt idx="6" formatCode="0.0%">
                  <c:v>3.2096405086758785E-3</c:v>
                </c:pt>
                <c:pt idx="7" formatCode="0.0%">
                  <c:v>2.3108556012137398E-2</c:v>
                </c:pt>
                <c:pt idx="8" formatCode="0.0%">
                  <c:v>5.3445041982327857E-2</c:v>
                </c:pt>
                <c:pt idx="9" formatCode="0.0%">
                  <c:v>4.8429958377162297E-2</c:v>
                </c:pt>
              </c:numCache>
            </c:numRef>
          </c:val>
        </c:ser>
        <c:ser>
          <c:idx val="1"/>
          <c:order val="4"/>
          <c:tx>
            <c:strRef>
              <c:f>harok7!$A$130</c:f>
              <c:strCache>
                <c:ptCount val="1"/>
                <c:pt idx="0">
                  <c:v>maďarská</c:v>
                </c:pt>
              </c:strCache>
            </c:strRef>
          </c:tx>
          <c:spPr>
            <a:solidFill>
              <a:schemeClr val="accent1"/>
            </a:solidFill>
          </c:spPr>
          <c:invertIfNegative val="0"/>
          <c:dLbls>
            <c:dLbl>
              <c:idx val="8"/>
              <c:layout>
                <c:manualLayout>
                  <c:x val="0"/>
                  <c:y val="1.768040715054135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solidFill>
                      <a:schemeClr val="bg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harok7!$B$128:$K$128</c:f>
              <c:strCache>
                <c:ptCount val="10"/>
                <c:pt idx="0">
                  <c:v>SR</c:v>
                </c:pt>
                <c:pt idx="2">
                  <c:v>BA</c:v>
                </c:pt>
                <c:pt idx="3">
                  <c:v>TT</c:v>
                </c:pt>
                <c:pt idx="4">
                  <c:v>TN</c:v>
                </c:pt>
                <c:pt idx="5">
                  <c:v>NR</c:v>
                </c:pt>
                <c:pt idx="6">
                  <c:v>ZA</c:v>
                </c:pt>
                <c:pt idx="7">
                  <c:v>BB</c:v>
                </c:pt>
                <c:pt idx="8">
                  <c:v>PO</c:v>
                </c:pt>
                <c:pt idx="9">
                  <c:v>KE</c:v>
                </c:pt>
              </c:strCache>
            </c:strRef>
          </c:cat>
          <c:val>
            <c:numRef>
              <c:f>harok7!$B$130:$K$130</c:f>
              <c:numCache>
                <c:formatCode>General</c:formatCode>
                <c:ptCount val="10"/>
                <c:pt idx="0" formatCode="0.0%">
                  <c:v>8.4572066686743178E-2</c:v>
                </c:pt>
                <c:pt idx="2" formatCode="0.0%">
                  <c:v>3.945146996992141E-2</c:v>
                </c:pt>
                <c:pt idx="3" formatCode="0.0%">
                  <c:v>0.2156855712256639</c:v>
                </c:pt>
                <c:pt idx="4" formatCode="0.0%">
                  <c:v>1.5074426817287144E-3</c:v>
                </c:pt>
                <c:pt idx="5" formatCode="0.0%">
                  <c:v>0.24561865954428816</c:v>
                </c:pt>
                <c:pt idx="6" formatCode="0.0%">
                  <c:v>8.5889748269169495E-4</c:v>
                </c:pt>
                <c:pt idx="7" formatCode="0.0%">
                  <c:v>0.10395500698067792</c:v>
                </c:pt>
                <c:pt idx="8" formatCode="0.0%">
                  <c:v>8.8165330754314236E-4</c:v>
                </c:pt>
                <c:pt idx="9" formatCode="0.0%">
                  <c:v>9.3399735264659847E-2</c:v>
                </c:pt>
              </c:numCache>
            </c:numRef>
          </c:val>
        </c:ser>
        <c:ser>
          <c:idx val="0"/>
          <c:order val="5"/>
          <c:tx>
            <c:strRef>
              <c:f>harok7!$A$129</c:f>
              <c:strCache>
                <c:ptCount val="1"/>
                <c:pt idx="0">
                  <c:v>slovenská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txPr>
              <a:bodyPr/>
              <a:lstStyle/>
              <a:p>
                <a:pPr>
                  <a:defRPr sz="800"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endParaRPr lang="sk-SK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harok7!$B$128:$K$128</c:f>
              <c:strCache>
                <c:ptCount val="10"/>
                <c:pt idx="0">
                  <c:v>SR</c:v>
                </c:pt>
                <c:pt idx="2">
                  <c:v>BA</c:v>
                </c:pt>
                <c:pt idx="3">
                  <c:v>TT</c:v>
                </c:pt>
                <c:pt idx="4">
                  <c:v>TN</c:v>
                </c:pt>
                <c:pt idx="5">
                  <c:v>NR</c:v>
                </c:pt>
                <c:pt idx="6">
                  <c:v>ZA</c:v>
                </c:pt>
                <c:pt idx="7">
                  <c:v>BB</c:v>
                </c:pt>
                <c:pt idx="8">
                  <c:v>PO</c:v>
                </c:pt>
                <c:pt idx="9">
                  <c:v>KE</c:v>
                </c:pt>
              </c:strCache>
            </c:strRef>
          </c:cat>
          <c:val>
            <c:numRef>
              <c:f>harok7!$B$129:$K$129</c:f>
              <c:numCache>
                <c:formatCode>General</c:formatCode>
                <c:ptCount val="10"/>
                <c:pt idx="0" formatCode="0.0%">
                  <c:v>0.81024285863843992</c:v>
                </c:pt>
                <c:pt idx="2" formatCode="0.0%">
                  <c:v>0.89879523917332382</c:v>
                </c:pt>
                <c:pt idx="3" formatCode="0.0%">
                  <c:v>0.71585056168491124</c:v>
                </c:pt>
                <c:pt idx="4" formatCode="0.0%">
                  <c:v>0.92150494434447339</c:v>
                </c:pt>
                <c:pt idx="5" formatCode="0.0%">
                  <c:v>0.68853380556955246</c:v>
                </c:pt>
                <c:pt idx="6" formatCode="0.0%">
                  <c:v>0.93381999362706758</c:v>
                </c:pt>
                <c:pt idx="7" formatCode="0.0%">
                  <c:v>0.7701400550841716</c:v>
                </c:pt>
                <c:pt idx="8" formatCode="0.0%">
                  <c:v>0.82675390394130777</c:v>
                </c:pt>
                <c:pt idx="9" formatCode="0.0%">
                  <c:v>0.73856756035814763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9"/>
        <c:overlap val="100"/>
        <c:axId val="146806656"/>
        <c:axId val="146808192"/>
      </c:barChart>
      <c:catAx>
        <c:axId val="146806656"/>
        <c:scaling>
          <c:orientation val="minMax"/>
        </c:scaling>
        <c:delete val="0"/>
        <c:axPos val="t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sk-SK"/>
          </a:p>
        </c:txPr>
        <c:crossAx val="146808192"/>
        <c:crosses val="autoZero"/>
        <c:auto val="1"/>
        <c:lblAlgn val="ctr"/>
        <c:lblOffset val="100"/>
        <c:noMultiLvlLbl val="0"/>
      </c:catAx>
      <c:valAx>
        <c:axId val="146808192"/>
        <c:scaling>
          <c:orientation val="maxMin"/>
        </c:scaling>
        <c:delete val="0"/>
        <c:axPos val="l"/>
        <c:numFmt formatCode="0%" sourceLinked="1"/>
        <c:majorTickMark val="out"/>
        <c:minorTickMark val="none"/>
        <c:tickLblPos val="none"/>
        <c:txPr>
          <a:bodyPr/>
          <a:lstStyle/>
          <a:p>
            <a:pPr>
              <a:defRPr sz="800"/>
            </a:pPr>
            <a:endParaRPr lang="sk-SK"/>
          </a:p>
        </c:txPr>
        <c:crossAx val="146806656"/>
        <c:crosses val="autoZero"/>
        <c:crossBetween val="between"/>
        <c:majorUnit val="0.5"/>
      </c:valAx>
      <c:dTable>
        <c:showHorzBorder val="1"/>
        <c:showVertBorder val="1"/>
        <c:showOutline val="1"/>
        <c:showKeys val="1"/>
        <c:txPr>
          <a:bodyPr/>
          <a:lstStyle/>
          <a:p>
            <a:pPr rtl="0">
              <a:defRPr sz="900"/>
            </a:pPr>
            <a:endParaRPr lang="sk-SK"/>
          </a:p>
        </c:txPr>
      </c:dTable>
    </c:plotArea>
    <c:plotVisOnly val="1"/>
    <c:dispBlanksAs val="gap"/>
    <c:showDLblsOverMax val="0"/>
  </c:chart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1.6553799849510911E-2"/>
          <c:y val="4.226705091258405E-2"/>
          <c:w val="0.96829574068478452"/>
          <c:h val="0.76123845630407305"/>
        </c:manualLayout>
      </c:layout>
      <c:barChart>
        <c:barDir val="col"/>
        <c:grouping val="percentStacked"/>
        <c:varyColors val="0"/>
        <c:ser>
          <c:idx val="2"/>
          <c:order val="0"/>
          <c:tx>
            <c:strRef>
              <c:f>harok8!$A$46</c:f>
              <c:strCache>
                <c:ptCount val="1"/>
                <c:pt idx="0">
                  <c:v>Poproduktívny vek - EU (65 - 100+)</c:v>
                </c:pt>
              </c:strCache>
            </c:strRef>
          </c:tx>
          <c:spPr>
            <a:solidFill>
              <a:schemeClr val="accent2"/>
            </a:solidFill>
          </c:spPr>
          <c:invertIfNegative val="0"/>
          <c:dLbls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</a:defRPr>
                </a:pPr>
                <a:endParaRPr lang="sk-SK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harok8!$B$43:$L$43</c:f>
              <c:strCach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strCache>
            </c:strRef>
          </c:cat>
          <c:val>
            <c:numRef>
              <c:f>harok8!$B$46:$L$46</c:f>
              <c:numCache>
                <c:formatCode>0.0%</c:formatCode>
                <c:ptCount val="11"/>
                <c:pt idx="0">
                  <c:v>0.11529830654084634</c:v>
                </c:pt>
                <c:pt idx="1">
                  <c:v>0.11624321101050322</c:v>
                </c:pt>
                <c:pt idx="2">
                  <c:v>0.11739040076597924</c:v>
                </c:pt>
                <c:pt idx="3">
                  <c:v>0.1185914068744337</c:v>
                </c:pt>
                <c:pt idx="4">
                  <c:v>0.11975231244299665</c:v>
                </c:pt>
                <c:pt idx="5">
                  <c:v>0.12089325445553738</c:v>
                </c:pt>
                <c:pt idx="6">
                  <c:v>0.12260704065033157</c:v>
                </c:pt>
                <c:pt idx="7">
                  <c:v>0.12377004798103057</c:v>
                </c:pt>
                <c:pt idx="8">
                  <c:v>0.12779808457009037</c:v>
                </c:pt>
                <c:pt idx="9">
                  <c:v>0.13125919913299905</c:v>
                </c:pt>
                <c:pt idx="10">
                  <c:v>0.13536611958495179</c:v>
                </c:pt>
              </c:numCache>
            </c:numRef>
          </c:val>
        </c:ser>
        <c:ser>
          <c:idx val="1"/>
          <c:order val="1"/>
          <c:tx>
            <c:strRef>
              <c:f>harok8!$A$45</c:f>
              <c:strCache>
                <c:ptCount val="1"/>
                <c:pt idx="0">
                  <c:v>Produktívny vek - EU (15 - 64)</c:v>
                </c:pt>
              </c:strCache>
            </c:strRef>
          </c:tx>
          <c:spPr>
            <a:solidFill>
              <a:schemeClr val="accent1"/>
            </a:solidFill>
          </c:spPr>
          <c:invertIfNegative val="0"/>
          <c:dLbls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</a:defRPr>
                </a:pPr>
                <a:endParaRPr lang="sk-SK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harok8!$B$43:$L$43</c:f>
              <c:strCach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strCache>
            </c:strRef>
          </c:cat>
          <c:val>
            <c:numRef>
              <c:f>harok8!$B$45:$L$45</c:f>
              <c:numCache>
                <c:formatCode>0.0%</c:formatCode>
                <c:ptCount val="11"/>
                <c:pt idx="0">
                  <c:v>0.70915398045335243</c:v>
                </c:pt>
                <c:pt idx="1">
                  <c:v>0.71310769418190612</c:v>
                </c:pt>
                <c:pt idx="2">
                  <c:v>0.71666450183515862</c:v>
                </c:pt>
                <c:pt idx="3">
                  <c:v>0.71999209438825784</c:v>
                </c:pt>
                <c:pt idx="4">
                  <c:v>0.72267606838587983</c:v>
                </c:pt>
                <c:pt idx="5">
                  <c:v>0.7246297014146047</c:v>
                </c:pt>
                <c:pt idx="6">
                  <c:v>0.72415213113545351</c:v>
                </c:pt>
                <c:pt idx="7">
                  <c:v>0.72343965059344761</c:v>
                </c:pt>
                <c:pt idx="8">
                  <c:v>0.71814521784601293</c:v>
                </c:pt>
                <c:pt idx="9">
                  <c:v>0.71523845853025303</c:v>
                </c:pt>
                <c:pt idx="10">
                  <c:v>0.71139665458445045</c:v>
                </c:pt>
              </c:numCache>
            </c:numRef>
          </c:val>
        </c:ser>
        <c:ser>
          <c:idx val="0"/>
          <c:order val="2"/>
          <c:tx>
            <c:strRef>
              <c:f>harok8!$A$44</c:f>
              <c:strCache>
                <c:ptCount val="1"/>
                <c:pt idx="0">
                  <c:v>Predproduktívny vek - EU (0 - 14)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</a:defRPr>
                </a:pPr>
                <a:endParaRPr lang="sk-SK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harok8!$B$43:$L$43</c:f>
              <c:strCach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strCache>
            </c:strRef>
          </c:cat>
          <c:val>
            <c:numRef>
              <c:f>harok8!$B$44:$L$44</c:f>
              <c:numCache>
                <c:formatCode>0.0%</c:formatCode>
                <c:ptCount val="11"/>
                <c:pt idx="0">
                  <c:v>0.17554771300580124</c:v>
                </c:pt>
                <c:pt idx="1">
                  <c:v>0.17064909480759066</c:v>
                </c:pt>
                <c:pt idx="2">
                  <c:v>0.16594509739886215</c:v>
                </c:pt>
                <c:pt idx="3">
                  <c:v>0.16141649873730843</c:v>
                </c:pt>
                <c:pt idx="4">
                  <c:v>0.15757161917112356</c:v>
                </c:pt>
                <c:pt idx="5">
                  <c:v>0.15447704412985791</c:v>
                </c:pt>
                <c:pt idx="6">
                  <c:v>0.15324082821421495</c:v>
                </c:pt>
                <c:pt idx="7">
                  <c:v>0.15279030142552177</c:v>
                </c:pt>
                <c:pt idx="8">
                  <c:v>0.15405669758389673</c:v>
                </c:pt>
                <c:pt idx="9">
                  <c:v>0.15350234233674795</c:v>
                </c:pt>
                <c:pt idx="10">
                  <c:v>0.15323722583059773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4"/>
        <c:overlap val="100"/>
        <c:axId val="112311296"/>
        <c:axId val="112325376"/>
      </c:barChart>
      <c:catAx>
        <c:axId val="112311296"/>
        <c:scaling>
          <c:orientation val="minMax"/>
        </c:scaling>
        <c:delete val="0"/>
        <c:axPos val="b"/>
        <c:majorTickMark val="out"/>
        <c:minorTickMark val="none"/>
        <c:tickLblPos val="nextTo"/>
        <c:crossAx val="112325376"/>
        <c:crosses val="autoZero"/>
        <c:auto val="1"/>
        <c:lblAlgn val="ctr"/>
        <c:lblOffset val="100"/>
        <c:noMultiLvlLbl val="0"/>
      </c:catAx>
      <c:valAx>
        <c:axId val="112325376"/>
        <c:scaling>
          <c:orientation val="minMax"/>
        </c:scaling>
        <c:delete val="0"/>
        <c:axPos val="l"/>
        <c:numFmt formatCode="0%" sourceLinked="1"/>
        <c:majorTickMark val="out"/>
        <c:minorTickMark val="none"/>
        <c:tickLblPos val="none"/>
        <c:crossAx val="112311296"/>
        <c:crosses val="autoZero"/>
        <c:crossBetween val="between"/>
        <c:majorUnit val="0.5"/>
      </c:valAx>
    </c:plotArea>
    <c:legend>
      <c:legendPos val="r"/>
      <c:layout>
        <c:manualLayout>
          <c:xMode val="edge"/>
          <c:yMode val="edge"/>
          <c:x val="1.4194912994792145E-2"/>
          <c:y val="0.90557013706620004"/>
          <c:w val="0.98306639769202409"/>
          <c:h val="9.2378730436473225E-2"/>
        </c:manualLayout>
      </c:layout>
      <c:overlay val="0"/>
      <c:txPr>
        <a:bodyPr/>
        <a:lstStyle/>
        <a:p>
          <a:pPr>
            <a:defRPr sz="900"/>
          </a:pPr>
          <a:endParaRPr lang="sk-SK"/>
        </a:p>
      </c:txPr>
    </c:legend>
    <c:plotVisOnly val="1"/>
    <c:dispBlanksAs val="gap"/>
    <c:showDLblsOverMax val="0"/>
  </c:chart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sk-SK"/>
    </a:p>
  </c:txPr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 b="0"/>
            </a:pPr>
            <a:r>
              <a:rPr lang="sk-SK" sz="1200" b="0"/>
              <a:t>Index ekonomického</a:t>
            </a:r>
            <a:r>
              <a:rPr lang="sk-SK" sz="1200" b="0" baseline="0"/>
              <a:t> zaťaženia</a:t>
            </a:r>
            <a:endParaRPr lang="en-US" sz="1200" b="0"/>
          </a:p>
        </c:rich>
      </c:tx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harok8!$A$49</c:f>
              <c:strCache>
                <c:ptCount val="1"/>
                <c:pt idx="0">
                  <c:v>index ekonomického zaťaženia</c:v>
                </c:pt>
              </c:strCache>
            </c:strRef>
          </c:tx>
          <c:spPr>
            <a:ln>
              <a:solidFill>
                <a:schemeClr val="accent2"/>
              </a:solidFill>
            </a:ln>
          </c:spPr>
          <c:marker>
            <c:symbol val="circle"/>
            <c:size val="7"/>
            <c:spPr>
              <a:solidFill>
                <a:schemeClr val="bg1"/>
              </a:solidFill>
              <a:ln>
                <a:solidFill>
                  <a:schemeClr val="accent2"/>
                </a:solidFill>
              </a:ln>
            </c:spPr>
          </c:marker>
          <c:dLbls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harok8!$B$48:$L$48</c:f>
              <c:strCach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strCache>
            </c:strRef>
          </c:cat>
          <c:val>
            <c:numRef>
              <c:f>harok8!$B$49:$L$49</c:f>
              <c:numCache>
                <c:formatCode>0.0</c:formatCode>
                <c:ptCount val="11"/>
                <c:pt idx="0">
                  <c:v>41.013098362743975</c:v>
                </c:pt>
                <c:pt idx="1">
                  <c:v>40.231273362885737</c:v>
                </c:pt>
                <c:pt idx="2">
                  <c:v>39.53530521454681</c:v>
                </c:pt>
                <c:pt idx="3">
                  <c:v>38.890413907898697</c:v>
                </c:pt>
                <c:pt idx="4">
                  <c:v>38.374583543845873</c:v>
                </c:pt>
                <c:pt idx="5">
                  <c:v>38.001519679337456</c:v>
                </c:pt>
                <c:pt idx="6">
                  <c:v>38.092530147225219</c:v>
                </c:pt>
                <c:pt idx="7">
                  <c:v>38.228530766828442</c:v>
                </c:pt>
                <c:pt idx="8">
                  <c:v>39.24760273407869</c:v>
                </c:pt>
                <c:pt idx="9">
                  <c:v>39.813510875087019</c:v>
                </c:pt>
                <c:pt idx="10">
                  <c:v>40.568555327847577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2304896"/>
        <c:axId val="112306432"/>
      </c:lineChart>
      <c:catAx>
        <c:axId val="112304896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sk-SK"/>
          </a:p>
        </c:txPr>
        <c:crossAx val="112306432"/>
        <c:crosses val="autoZero"/>
        <c:auto val="1"/>
        <c:lblAlgn val="ctr"/>
        <c:lblOffset val="100"/>
        <c:noMultiLvlLbl val="0"/>
      </c:catAx>
      <c:valAx>
        <c:axId val="112306432"/>
        <c:scaling>
          <c:orientation val="minMax"/>
          <c:max val="60"/>
          <c:min val="0"/>
        </c:scaling>
        <c:delete val="0"/>
        <c:axPos val="l"/>
        <c:numFmt formatCode="0.0" sourceLinked="1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sk-SK"/>
          </a:p>
        </c:txPr>
        <c:crossAx val="112304896"/>
        <c:crosses val="autoZero"/>
        <c:crossBetween val="between"/>
        <c:majorUnit val="10"/>
      </c:valAx>
    </c:plotArea>
    <c:plotVisOnly val="1"/>
    <c:dispBlanksAs val="gap"/>
    <c:showDLblsOverMax val="0"/>
  </c:chart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sk-SK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Hárok10!$A$4</c:f>
              <c:strCache>
                <c:ptCount val="1"/>
                <c:pt idx="0">
                  <c:v>Priemerný vek muži</c:v>
                </c:pt>
              </c:strCache>
            </c:strRef>
          </c:tx>
          <c:marker>
            <c:symbol val="circle"/>
            <c:size val="7"/>
            <c:spPr>
              <a:solidFill>
                <a:schemeClr val="bg1"/>
              </a:solidFill>
            </c:spPr>
          </c:marker>
          <c:dLbls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Hárok10!$B$3:$L$3</c:f>
              <c:numCache>
                <c:formatCode>General</c:formatCod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numCache>
            </c:numRef>
          </c:cat>
          <c:val>
            <c:numRef>
              <c:f>Hárok10!$B$4:$L$4</c:f>
              <c:numCache>
                <c:formatCode>0.0</c:formatCode>
                <c:ptCount val="11"/>
                <c:pt idx="0">
                  <c:v>35.200000000000003</c:v>
                </c:pt>
                <c:pt idx="1">
                  <c:v>35.49</c:v>
                </c:pt>
                <c:pt idx="2">
                  <c:v>35.78</c:v>
                </c:pt>
                <c:pt idx="3">
                  <c:v>36.06</c:v>
                </c:pt>
                <c:pt idx="4">
                  <c:v>36.340000000000003</c:v>
                </c:pt>
                <c:pt idx="5">
                  <c:v>36.61</c:v>
                </c:pt>
                <c:pt idx="6">
                  <c:v>36.840000000000003</c:v>
                </c:pt>
                <c:pt idx="7">
                  <c:v>37.090000000000003</c:v>
                </c:pt>
                <c:pt idx="8">
                  <c:v>37.409999999999997</c:v>
                </c:pt>
                <c:pt idx="9">
                  <c:v>37.68</c:v>
                </c:pt>
                <c:pt idx="10">
                  <c:v>37.96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Hárok10!$A$5</c:f>
              <c:strCache>
                <c:ptCount val="1"/>
                <c:pt idx="0">
                  <c:v>Priemerný vek ženy</c:v>
                </c:pt>
              </c:strCache>
            </c:strRef>
          </c:tx>
          <c:spPr>
            <a:ln>
              <a:solidFill>
                <a:schemeClr val="accent6"/>
              </a:solidFill>
            </a:ln>
          </c:spPr>
          <c:marker>
            <c:symbol val="circle"/>
            <c:size val="7"/>
            <c:spPr>
              <a:solidFill>
                <a:schemeClr val="bg1"/>
              </a:solidFill>
              <a:ln>
                <a:solidFill>
                  <a:schemeClr val="accent6"/>
                </a:solidFill>
              </a:ln>
            </c:spPr>
          </c:marker>
          <c:dLbls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Hárok10!$B$3:$L$3</c:f>
              <c:numCache>
                <c:formatCode>General</c:formatCode>
                <c:ptCount val="1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</c:numCache>
            </c:numRef>
          </c:cat>
          <c:val>
            <c:numRef>
              <c:f>Hárok10!$B$5:$L$5</c:f>
              <c:numCache>
                <c:formatCode>0.0</c:formatCode>
                <c:ptCount val="11"/>
                <c:pt idx="0">
                  <c:v>38.35</c:v>
                </c:pt>
                <c:pt idx="1">
                  <c:v>38.659999999999997</c:v>
                </c:pt>
                <c:pt idx="2">
                  <c:v>38.96</c:v>
                </c:pt>
                <c:pt idx="3">
                  <c:v>39.25</c:v>
                </c:pt>
                <c:pt idx="4">
                  <c:v>39.54</c:v>
                </c:pt>
                <c:pt idx="5">
                  <c:v>39.81</c:v>
                </c:pt>
                <c:pt idx="6">
                  <c:v>40.049999999999997</c:v>
                </c:pt>
                <c:pt idx="7">
                  <c:v>40.28</c:v>
                </c:pt>
                <c:pt idx="8">
                  <c:v>40.61</c:v>
                </c:pt>
                <c:pt idx="9">
                  <c:v>40.869999999999997</c:v>
                </c:pt>
                <c:pt idx="10">
                  <c:v>41.15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6312576"/>
        <c:axId val="146318464"/>
      </c:lineChart>
      <c:catAx>
        <c:axId val="1463125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46318464"/>
        <c:crosses val="autoZero"/>
        <c:auto val="1"/>
        <c:lblAlgn val="ctr"/>
        <c:lblOffset val="100"/>
        <c:noMultiLvlLbl val="0"/>
      </c:catAx>
      <c:valAx>
        <c:axId val="146318464"/>
        <c:scaling>
          <c:orientation val="minMax"/>
          <c:max val="60"/>
          <c:min val="20"/>
        </c:scaling>
        <c:delete val="0"/>
        <c:axPos val="l"/>
        <c:numFmt formatCode="0" sourceLinked="0"/>
        <c:majorTickMark val="out"/>
        <c:minorTickMark val="none"/>
        <c:tickLblPos val="nextTo"/>
        <c:txPr>
          <a:bodyPr/>
          <a:lstStyle/>
          <a:p>
            <a:pPr>
              <a:defRPr sz="900"/>
            </a:pPr>
            <a:endParaRPr lang="sk-SK"/>
          </a:p>
        </c:txPr>
        <c:crossAx val="14631257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7522455021841989E-2"/>
          <c:y val="0.90792031323953359"/>
          <c:w val="0.91881880681869788"/>
          <c:h val="7.4593347962652212E-2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GfK color scheme for Office 2010">
    <a:dk1>
      <a:srgbClr val="000000"/>
    </a:dk1>
    <a:lt1>
      <a:srgbClr val="FFFFFF"/>
    </a:lt1>
    <a:dk2>
      <a:srgbClr val="E95E0F"/>
    </a:dk2>
    <a:lt2>
      <a:srgbClr val="928580"/>
    </a:lt2>
    <a:accent1>
      <a:srgbClr val="004186"/>
    </a:accent1>
    <a:accent2>
      <a:srgbClr val="0087C8"/>
    </a:accent2>
    <a:accent3>
      <a:srgbClr val="A1AF00"/>
    </a:accent3>
    <a:accent4>
      <a:srgbClr val="CDC300"/>
    </a:accent4>
    <a:accent5>
      <a:srgbClr val="B50F22"/>
    </a:accent5>
    <a:accent6>
      <a:srgbClr val="E31B19"/>
    </a:accent6>
    <a:hlink>
      <a:srgbClr val="A1AF00"/>
    </a:hlink>
    <a:folHlink>
      <a:srgbClr val="CDC300"/>
    </a:folHlink>
  </a:clrScheme>
  <a:fontScheme name="Master Salzgitter AG">
    <a:majorFont>
      <a:latin typeface="Arial"/>
      <a:ea typeface=""/>
      <a:cs typeface="Arial"/>
    </a:majorFont>
    <a:minorFont>
      <a:latin typeface="Arial"/>
      <a:ea typeface=""/>
      <a:cs typeface=""/>
    </a:minorFont>
  </a:fontScheme>
  <a:fmtScheme name="Larissa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GfK color scheme for Office 2010">
    <a:dk1>
      <a:srgbClr val="000000"/>
    </a:dk1>
    <a:lt1>
      <a:srgbClr val="FFFFFF"/>
    </a:lt1>
    <a:dk2>
      <a:srgbClr val="E95E0F"/>
    </a:dk2>
    <a:lt2>
      <a:srgbClr val="928580"/>
    </a:lt2>
    <a:accent1>
      <a:srgbClr val="004186"/>
    </a:accent1>
    <a:accent2>
      <a:srgbClr val="0087C8"/>
    </a:accent2>
    <a:accent3>
      <a:srgbClr val="A1AF00"/>
    </a:accent3>
    <a:accent4>
      <a:srgbClr val="CDC300"/>
    </a:accent4>
    <a:accent5>
      <a:srgbClr val="B50F22"/>
    </a:accent5>
    <a:accent6>
      <a:srgbClr val="E31B19"/>
    </a:accent6>
    <a:hlink>
      <a:srgbClr val="A1AF00"/>
    </a:hlink>
    <a:folHlink>
      <a:srgbClr val="CDC300"/>
    </a:folHlink>
  </a:clrScheme>
  <a:fontScheme name="Master Salzgitter AG">
    <a:majorFont>
      <a:latin typeface="Arial"/>
      <a:ea typeface=""/>
      <a:cs typeface="Arial"/>
    </a:majorFont>
    <a:minorFont>
      <a:latin typeface="Arial"/>
      <a:ea typeface=""/>
      <a:cs typeface=""/>
    </a:minorFont>
  </a:fontScheme>
  <a:fmtScheme name="Larissa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GfK color scheme for Office 2010">
    <a:dk1>
      <a:srgbClr val="000000"/>
    </a:dk1>
    <a:lt1>
      <a:srgbClr val="FFFFFF"/>
    </a:lt1>
    <a:dk2>
      <a:srgbClr val="E95E0F"/>
    </a:dk2>
    <a:lt2>
      <a:srgbClr val="928580"/>
    </a:lt2>
    <a:accent1>
      <a:srgbClr val="004186"/>
    </a:accent1>
    <a:accent2>
      <a:srgbClr val="0087C8"/>
    </a:accent2>
    <a:accent3>
      <a:srgbClr val="A1AF00"/>
    </a:accent3>
    <a:accent4>
      <a:srgbClr val="CDC300"/>
    </a:accent4>
    <a:accent5>
      <a:srgbClr val="B50F22"/>
    </a:accent5>
    <a:accent6>
      <a:srgbClr val="E31B19"/>
    </a:accent6>
    <a:hlink>
      <a:srgbClr val="A1AF00"/>
    </a:hlink>
    <a:folHlink>
      <a:srgbClr val="CDC300"/>
    </a:folHlink>
  </a:clrScheme>
  <a:fontScheme name="Master Salzgitter AG">
    <a:majorFont>
      <a:latin typeface="Arial"/>
      <a:ea typeface=""/>
      <a:cs typeface="Arial"/>
    </a:majorFont>
    <a:minorFont>
      <a:latin typeface="Arial"/>
      <a:ea typeface=""/>
      <a:cs typeface=""/>
    </a:minorFont>
  </a:fontScheme>
  <a:fmtScheme name="Larissa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GfK color scheme for Office 2010">
    <a:dk1>
      <a:srgbClr val="000000"/>
    </a:dk1>
    <a:lt1>
      <a:srgbClr val="FFFFFF"/>
    </a:lt1>
    <a:dk2>
      <a:srgbClr val="E95E0F"/>
    </a:dk2>
    <a:lt2>
      <a:srgbClr val="928580"/>
    </a:lt2>
    <a:accent1>
      <a:srgbClr val="004186"/>
    </a:accent1>
    <a:accent2>
      <a:srgbClr val="0087C8"/>
    </a:accent2>
    <a:accent3>
      <a:srgbClr val="A1AF00"/>
    </a:accent3>
    <a:accent4>
      <a:srgbClr val="CDC300"/>
    </a:accent4>
    <a:accent5>
      <a:srgbClr val="B50F22"/>
    </a:accent5>
    <a:accent6>
      <a:srgbClr val="E31B19"/>
    </a:accent6>
    <a:hlink>
      <a:srgbClr val="A1AF00"/>
    </a:hlink>
    <a:folHlink>
      <a:srgbClr val="CDC300"/>
    </a:folHlink>
  </a:clrScheme>
  <a:fontScheme name="Master Salzgitter AG">
    <a:majorFont>
      <a:latin typeface="Arial"/>
      <a:ea typeface=""/>
      <a:cs typeface="Arial"/>
    </a:majorFont>
    <a:minorFont>
      <a:latin typeface="Arial"/>
      <a:ea typeface=""/>
      <a:cs typeface=""/>
    </a:minorFont>
  </a:fontScheme>
  <a:fmtScheme name="Larissa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GfK color scheme for Office 2010">
    <a:dk1>
      <a:srgbClr val="000000"/>
    </a:dk1>
    <a:lt1>
      <a:srgbClr val="FFFFFF"/>
    </a:lt1>
    <a:dk2>
      <a:srgbClr val="E95E0F"/>
    </a:dk2>
    <a:lt2>
      <a:srgbClr val="928580"/>
    </a:lt2>
    <a:accent1>
      <a:srgbClr val="004186"/>
    </a:accent1>
    <a:accent2>
      <a:srgbClr val="0087C8"/>
    </a:accent2>
    <a:accent3>
      <a:srgbClr val="A1AF00"/>
    </a:accent3>
    <a:accent4>
      <a:srgbClr val="CDC300"/>
    </a:accent4>
    <a:accent5>
      <a:srgbClr val="B50F22"/>
    </a:accent5>
    <a:accent6>
      <a:srgbClr val="E31B19"/>
    </a:accent6>
    <a:hlink>
      <a:srgbClr val="A1AF00"/>
    </a:hlink>
    <a:folHlink>
      <a:srgbClr val="CDC300"/>
    </a:folHlink>
  </a:clrScheme>
  <a:fontScheme name="Master Salzgitter AG">
    <a:majorFont>
      <a:latin typeface="Arial"/>
      <a:ea typeface=""/>
      <a:cs typeface="Arial"/>
    </a:majorFont>
    <a:minorFont>
      <a:latin typeface="Arial"/>
      <a:ea typeface=""/>
      <a:cs typeface=""/>
    </a:minorFont>
  </a:fontScheme>
  <a:fmtScheme name="Larissa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GfK color scheme for Office 2010">
    <a:dk1>
      <a:srgbClr val="000000"/>
    </a:dk1>
    <a:lt1>
      <a:srgbClr val="FFFFFF"/>
    </a:lt1>
    <a:dk2>
      <a:srgbClr val="E95E0F"/>
    </a:dk2>
    <a:lt2>
      <a:srgbClr val="928580"/>
    </a:lt2>
    <a:accent1>
      <a:srgbClr val="004186"/>
    </a:accent1>
    <a:accent2>
      <a:srgbClr val="0087C8"/>
    </a:accent2>
    <a:accent3>
      <a:srgbClr val="A1AF00"/>
    </a:accent3>
    <a:accent4>
      <a:srgbClr val="CDC300"/>
    </a:accent4>
    <a:accent5>
      <a:srgbClr val="B50F22"/>
    </a:accent5>
    <a:accent6>
      <a:srgbClr val="E31B19"/>
    </a:accent6>
    <a:hlink>
      <a:srgbClr val="A1AF00"/>
    </a:hlink>
    <a:folHlink>
      <a:srgbClr val="CDC300"/>
    </a:folHlink>
  </a:clrScheme>
  <a:fontScheme name="Master Salzgitter AG">
    <a:majorFont>
      <a:latin typeface="Arial"/>
      <a:ea typeface=""/>
      <a:cs typeface="Arial"/>
    </a:majorFont>
    <a:minorFont>
      <a:latin typeface="Arial"/>
      <a:ea typeface=""/>
      <a:cs typeface=""/>
    </a:minorFont>
  </a:fontScheme>
  <a:fmtScheme name="Larissa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GfK color scheme for Office 2010">
    <a:dk1>
      <a:srgbClr val="000000"/>
    </a:dk1>
    <a:lt1>
      <a:srgbClr val="FFFFFF"/>
    </a:lt1>
    <a:dk2>
      <a:srgbClr val="E95E0F"/>
    </a:dk2>
    <a:lt2>
      <a:srgbClr val="928580"/>
    </a:lt2>
    <a:accent1>
      <a:srgbClr val="004186"/>
    </a:accent1>
    <a:accent2>
      <a:srgbClr val="0087C8"/>
    </a:accent2>
    <a:accent3>
      <a:srgbClr val="A1AF00"/>
    </a:accent3>
    <a:accent4>
      <a:srgbClr val="CDC300"/>
    </a:accent4>
    <a:accent5>
      <a:srgbClr val="B50F22"/>
    </a:accent5>
    <a:accent6>
      <a:srgbClr val="E31B19"/>
    </a:accent6>
    <a:hlink>
      <a:srgbClr val="A1AF00"/>
    </a:hlink>
    <a:folHlink>
      <a:srgbClr val="CDC300"/>
    </a:folHlink>
  </a:clrScheme>
  <a:fontScheme name="Master Salzgitter AG">
    <a:majorFont>
      <a:latin typeface="Arial"/>
      <a:ea typeface=""/>
      <a:cs typeface="Arial"/>
    </a:majorFont>
    <a:minorFont>
      <a:latin typeface="Arial"/>
      <a:ea typeface=""/>
      <a:cs typeface=""/>
    </a:minorFont>
  </a:fontScheme>
  <a:fmtScheme name="Larissa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GfK color scheme for Office 2010">
    <a:dk1>
      <a:srgbClr val="000000"/>
    </a:dk1>
    <a:lt1>
      <a:srgbClr val="FFFFFF"/>
    </a:lt1>
    <a:dk2>
      <a:srgbClr val="E95E0F"/>
    </a:dk2>
    <a:lt2>
      <a:srgbClr val="928580"/>
    </a:lt2>
    <a:accent1>
      <a:srgbClr val="004186"/>
    </a:accent1>
    <a:accent2>
      <a:srgbClr val="0087C8"/>
    </a:accent2>
    <a:accent3>
      <a:srgbClr val="A1AF00"/>
    </a:accent3>
    <a:accent4>
      <a:srgbClr val="CDC300"/>
    </a:accent4>
    <a:accent5>
      <a:srgbClr val="B50F22"/>
    </a:accent5>
    <a:accent6>
      <a:srgbClr val="E31B19"/>
    </a:accent6>
    <a:hlink>
      <a:srgbClr val="A1AF00"/>
    </a:hlink>
    <a:folHlink>
      <a:srgbClr val="CDC300"/>
    </a:folHlink>
  </a:clrScheme>
  <a:fontScheme name="Master Salzgitter AG">
    <a:majorFont>
      <a:latin typeface="Arial"/>
      <a:ea typeface=""/>
      <a:cs typeface="Arial"/>
    </a:majorFont>
    <a:minorFont>
      <a:latin typeface="Arial"/>
      <a:ea typeface=""/>
      <a:cs typeface=""/>
    </a:minorFont>
  </a:fontScheme>
  <a:fmtScheme name="Larissa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GfK color scheme for Office 2010">
    <a:dk1>
      <a:srgbClr val="000000"/>
    </a:dk1>
    <a:lt1>
      <a:srgbClr val="FFFFFF"/>
    </a:lt1>
    <a:dk2>
      <a:srgbClr val="E95E0F"/>
    </a:dk2>
    <a:lt2>
      <a:srgbClr val="928580"/>
    </a:lt2>
    <a:accent1>
      <a:srgbClr val="004186"/>
    </a:accent1>
    <a:accent2>
      <a:srgbClr val="0087C8"/>
    </a:accent2>
    <a:accent3>
      <a:srgbClr val="A1AF00"/>
    </a:accent3>
    <a:accent4>
      <a:srgbClr val="CDC300"/>
    </a:accent4>
    <a:accent5>
      <a:srgbClr val="B50F22"/>
    </a:accent5>
    <a:accent6>
      <a:srgbClr val="E31B19"/>
    </a:accent6>
    <a:hlink>
      <a:srgbClr val="A1AF00"/>
    </a:hlink>
    <a:folHlink>
      <a:srgbClr val="CDC300"/>
    </a:folHlink>
  </a:clrScheme>
  <a:fontScheme name="Master Salzgitter AG">
    <a:majorFont>
      <a:latin typeface="Arial"/>
      <a:ea typeface=""/>
      <a:cs typeface="Arial"/>
    </a:majorFont>
    <a:minorFont>
      <a:latin typeface="Arial"/>
      <a:ea typeface=""/>
      <a:cs typeface=""/>
    </a:minorFont>
  </a:fontScheme>
  <a:fmtScheme name="Larissa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GfK color scheme for Office 2010">
    <a:dk1>
      <a:srgbClr val="000000"/>
    </a:dk1>
    <a:lt1>
      <a:srgbClr val="FFFFFF"/>
    </a:lt1>
    <a:dk2>
      <a:srgbClr val="E95E0F"/>
    </a:dk2>
    <a:lt2>
      <a:srgbClr val="928580"/>
    </a:lt2>
    <a:accent1>
      <a:srgbClr val="004186"/>
    </a:accent1>
    <a:accent2>
      <a:srgbClr val="0087C8"/>
    </a:accent2>
    <a:accent3>
      <a:srgbClr val="A1AF00"/>
    </a:accent3>
    <a:accent4>
      <a:srgbClr val="CDC300"/>
    </a:accent4>
    <a:accent5>
      <a:srgbClr val="B50F22"/>
    </a:accent5>
    <a:accent6>
      <a:srgbClr val="E31B19"/>
    </a:accent6>
    <a:hlink>
      <a:srgbClr val="A1AF00"/>
    </a:hlink>
    <a:folHlink>
      <a:srgbClr val="CDC300"/>
    </a:folHlink>
  </a:clrScheme>
  <a:fontScheme name="Master Salzgitter AG">
    <a:majorFont>
      <a:latin typeface="Arial"/>
      <a:ea typeface=""/>
      <a:cs typeface="Arial"/>
    </a:majorFont>
    <a:minorFont>
      <a:latin typeface="Arial"/>
      <a:ea typeface=""/>
      <a:cs typeface=""/>
    </a:minorFont>
  </a:fontScheme>
  <a:fmtScheme name="Larissa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GfK color scheme for Office 2010">
    <a:dk1>
      <a:srgbClr val="000000"/>
    </a:dk1>
    <a:lt1>
      <a:srgbClr val="FFFFFF"/>
    </a:lt1>
    <a:dk2>
      <a:srgbClr val="E95E0F"/>
    </a:dk2>
    <a:lt2>
      <a:srgbClr val="928580"/>
    </a:lt2>
    <a:accent1>
      <a:srgbClr val="004186"/>
    </a:accent1>
    <a:accent2>
      <a:srgbClr val="0087C8"/>
    </a:accent2>
    <a:accent3>
      <a:srgbClr val="A1AF00"/>
    </a:accent3>
    <a:accent4>
      <a:srgbClr val="CDC300"/>
    </a:accent4>
    <a:accent5>
      <a:srgbClr val="B50F22"/>
    </a:accent5>
    <a:accent6>
      <a:srgbClr val="E31B19"/>
    </a:accent6>
    <a:hlink>
      <a:srgbClr val="A1AF00"/>
    </a:hlink>
    <a:folHlink>
      <a:srgbClr val="CDC300"/>
    </a:folHlink>
  </a:clrScheme>
  <a:fontScheme name="Master Salzgitter AG">
    <a:majorFont>
      <a:latin typeface="Arial"/>
      <a:ea typeface=""/>
      <a:cs typeface="Arial"/>
    </a:majorFont>
    <a:minorFont>
      <a:latin typeface="Arial"/>
      <a:ea typeface=""/>
      <a:cs typeface=""/>
    </a:minorFont>
  </a:fontScheme>
  <a:fmtScheme name="Larissa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GfK color scheme for Office 2010">
    <a:dk1>
      <a:srgbClr val="000000"/>
    </a:dk1>
    <a:lt1>
      <a:srgbClr val="FFFFFF"/>
    </a:lt1>
    <a:dk2>
      <a:srgbClr val="E95E0F"/>
    </a:dk2>
    <a:lt2>
      <a:srgbClr val="928580"/>
    </a:lt2>
    <a:accent1>
      <a:srgbClr val="004186"/>
    </a:accent1>
    <a:accent2>
      <a:srgbClr val="0087C8"/>
    </a:accent2>
    <a:accent3>
      <a:srgbClr val="A1AF00"/>
    </a:accent3>
    <a:accent4>
      <a:srgbClr val="CDC300"/>
    </a:accent4>
    <a:accent5>
      <a:srgbClr val="B50F22"/>
    </a:accent5>
    <a:accent6>
      <a:srgbClr val="E31B19"/>
    </a:accent6>
    <a:hlink>
      <a:srgbClr val="A1AF00"/>
    </a:hlink>
    <a:folHlink>
      <a:srgbClr val="CDC300"/>
    </a:folHlink>
  </a:clrScheme>
  <a:fontScheme name="Master Salzgitter AG">
    <a:majorFont>
      <a:latin typeface="Arial"/>
      <a:ea typeface=""/>
      <a:cs typeface="Arial"/>
    </a:majorFont>
    <a:minorFont>
      <a:latin typeface="Arial"/>
      <a:ea typeface=""/>
      <a:cs typeface=""/>
    </a:minorFont>
  </a:fontScheme>
  <a:fmtScheme name="Larissa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GfK color scheme for Office 2010">
    <a:dk1>
      <a:srgbClr val="000000"/>
    </a:dk1>
    <a:lt1>
      <a:srgbClr val="FFFFFF"/>
    </a:lt1>
    <a:dk2>
      <a:srgbClr val="E95E0F"/>
    </a:dk2>
    <a:lt2>
      <a:srgbClr val="928580"/>
    </a:lt2>
    <a:accent1>
      <a:srgbClr val="004186"/>
    </a:accent1>
    <a:accent2>
      <a:srgbClr val="0087C8"/>
    </a:accent2>
    <a:accent3>
      <a:srgbClr val="A1AF00"/>
    </a:accent3>
    <a:accent4>
      <a:srgbClr val="CDC300"/>
    </a:accent4>
    <a:accent5>
      <a:srgbClr val="B50F22"/>
    </a:accent5>
    <a:accent6>
      <a:srgbClr val="E31B19"/>
    </a:accent6>
    <a:hlink>
      <a:srgbClr val="A1AF00"/>
    </a:hlink>
    <a:folHlink>
      <a:srgbClr val="CDC300"/>
    </a:folHlink>
  </a:clrScheme>
  <a:fontScheme name="Master Salzgitter AG">
    <a:majorFont>
      <a:latin typeface="Arial"/>
      <a:ea typeface=""/>
      <a:cs typeface="Arial"/>
    </a:majorFont>
    <a:minorFont>
      <a:latin typeface="Arial"/>
      <a:ea typeface=""/>
      <a:cs typeface=""/>
    </a:minorFont>
  </a:fontScheme>
  <a:fmtScheme name="Larissa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GfK color scheme for Office 2010">
    <a:dk1>
      <a:srgbClr val="000000"/>
    </a:dk1>
    <a:lt1>
      <a:srgbClr val="FFFFFF"/>
    </a:lt1>
    <a:dk2>
      <a:srgbClr val="E95E0F"/>
    </a:dk2>
    <a:lt2>
      <a:srgbClr val="928580"/>
    </a:lt2>
    <a:accent1>
      <a:srgbClr val="004186"/>
    </a:accent1>
    <a:accent2>
      <a:srgbClr val="0087C8"/>
    </a:accent2>
    <a:accent3>
      <a:srgbClr val="A1AF00"/>
    </a:accent3>
    <a:accent4>
      <a:srgbClr val="CDC300"/>
    </a:accent4>
    <a:accent5>
      <a:srgbClr val="B50F22"/>
    </a:accent5>
    <a:accent6>
      <a:srgbClr val="E31B19"/>
    </a:accent6>
    <a:hlink>
      <a:srgbClr val="A1AF00"/>
    </a:hlink>
    <a:folHlink>
      <a:srgbClr val="CDC300"/>
    </a:folHlink>
  </a:clrScheme>
  <a:fontScheme name="Master Salzgitter AG">
    <a:majorFont>
      <a:latin typeface="Arial"/>
      <a:ea typeface=""/>
      <a:cs typeface="Arial"/>
    </a:majorFont>
    <a:minorFont>
      <a:latin typeface="Arial"/>
      <a:ea typeface=""/>
      <a:cs typeface=""/>
    </a:minorFont>
  </a:fontScheme>
  <a:fmtScheme name="Larissa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GfK color scheme for Office 2010">
    <a:dk1>
      <a:srgbClr val="000000"/>
    </a:dk1>
    <a:lt1>
      <a:srgbClr val="FFFFFF"/>
    </a:lt1>
    <a:dk2>
      <a:srgbClr val="E95E0F"/>
    </a:dk2>
    <a:lt2>
      <a:srgbClr val="928580"/>
    </a:lt2>
    <a:accent1>
      <a:srgbClr val="004186"/>
    </a:accent1>
    <a:accent2>
      <a:srgbClr val="0087C8"/>
    </a:accent2>
    <a:accent3>
      <a:srgbClr val="A1AF00"/>
    </a:accent3>
    <a:accent4>
      <a:srgbClr val="CDC300"/>
    </a:accent4>
    <a:accent5>
      <a:srgbClr val="B50F22"/>
    </a:accent5>
    <a:accent6>
      <a:srgbClr val="E31B19"/>
    </a:accent6>
    <a:hlink>
      <a:srgbClr val="A1AF00"/>
    </a:hlink>
    <a:folHlink>
      <a:srgbClr val="CDC300"/>
    </a:folHlink>
  </a:clrScheme>
  <a:fontScheme name="Master Salzgitter AG">
    <a:majorFont>
      <a:latin typeface="Arial"/>
      <a:ea typeface=""/>
      <a:cs typeface="Arial"/>
    </a:majorFont>
    <a:minorFont>
      <a:latin typeface="Arial"/>
      <a:ea typeface=""/>
      <a:cs typeface=""/>
    </a:minorFont>
  </a:fontScheme>
  <a:fmtScheme name="Larissa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GfK color scheme for Office 2010">
    <a:dk1>
      <a:srgbClr val="000000"/>
    </a:dk1>
    <a:lt1>
      <a:srgbClr val="FFFFFF"/>
    </a:lt1>
    <a:dk2>
      <a:srgbClr val="E95E0F"/>
    </a:dk2>
    <a:lt2>
      <a:srgbClr val="928580"/>
    </a:lt2>
    <a:accent1>
      <a:srgbClr val="004186"/>
    </a:accent1>
    <a:accent2>
      <a:srgbClr val="0087C8"/>
    </a:accent2>
    <a:accent3>
      <a:srgbClr val="A1AF00"/>
    </a:accent3>
    <a:accent4>
      <a:srgbClr val="CDC300"/>
    </a:accent4>
    <a:accent5>
      <a:srgbClr val="B50F22"/>
    </a:accent5>
    <a:accent6>
      <a:srgbClr val="E31B19"/>
    </a:accent6>
    <a:hlink>
      <a:srgbClr val="A1AF00"/>
    </a:hlink>
    <a:folHlink>
      <a:srgbClr val="CDC300"/>
    </a:folHlink>
  </a:clrScheme>
  <a:fontScheme name="Master Salzgitter AG">
    <a:majorFont>
      <a:latin typeface="Arial"/>
      <a:ea typeface=""/>
      <a:cs typeface="Arial"/>
    </a:majorFont>
    <a:minorFont>
      <a:latin typeface="Arial"/>
      <a:ea typeface=""/>
      <a:cs typeface=""/>
    </a:minorFont>
  </a:fontScheme>
  <a:fmtScheme name="Larissa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05BC86-55A0-4294-BE27-428585FCC6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6092</Words>
  <Characters>34730</Characters>
  <Application>Microsoft Office Word</Application>
  <DocSecurity>0</DocSecurity>
  <Lines>289</Lines>
  <Paragraphs>81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40741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Konkolyova, Natalia (GfK)</dc:creator>
  <cp:lastModifiedBy>CKO</cp:lastModifiedBy>
  <cp:revision>30</cp:revision>
  <cp:lastPrinted>2014-11-28T10:23:00Z</cp:lastPrinted>
  <dcterms:created xsi:type="dcterms:W3CDTF">2015-01-26T13:59:00Z</dcterms:created>
  <dcterms:modified xsi:type="dcterms:W3CDTF">2015-04-14T13:13:00Z</dcterms:modified>
</cp:coreProperties>
</file>