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324707E" w14:textId="77777777" w:rsidR="00F046C4" w:rsidRDefault="00F046C4" w:rsidP="00F046C4">
      <w:bookmarkStart w:id="0" w:name="_Toc404872045"/>
      <w:bookmarkStart w:id="1" w:name="_Toc404872120"/>
    </w:p>
    <w:p w14:paraId="27FC33CB" w14:textId="77777777" w:rsidR="00F046C4" w:rsidRDefault="00F046C4" w:rsidP="00F046C4"/>
    <w:p w14:paraId="115BB80F" w14:textId="77777777" w:rsidR="00F046C4" w:rsidRDefault="00F046C4" w:rsidP="00F046C4"/>
    <w:p w14:paraId="06B0E29B" w14:textId="77777777" w:rsidR="00F046C4" w:rsidRDefault="00F046C4" w:rsidP="00F046C4"/>
    <w:p w14:paraId="4AF20EE7" w14:textId="77777777" w:rsidR="00F046C4" w:rsidRDefault="00F046C4" w:rsidP="00F046C4"/>
    <w:p w14:paraId="43328F68" w14:textId="77777777" w:rsidR="00F046C4" w:rsidRDefault="00F046C4" w:rsidP="00F046C4"/>
    <w:p w14:paraId="05B45A4F" w14:textId="77777777" w:rsidR="00F046C4" w:rsidRDefault="00F046C4" w:rsidP="00F046C4"/>
    <w:p w14:paraId="72F92DC9" w14:textId="77777777" w:rsidR="00F046C4" w:rsidRPr="00F046C4" w:rsidRDefault="00066284" w:rsidP="00F046C4">
      <w:pPr>
        <w:spacing w:before="360"/>
        <w:jc w:val="center"/>
        <w:rPr>
          <w:b/>
          <w:smallCaps/>
          <w:sz w:val="56"/>
        </w:rPr>
      </w:pPr>
      <w:r>
        <w:rPr>
          <w:b/>
          <w:smallCaps/>
          <w:sz w:val="56"/>
        </w:rPr>
        <w:t>Komunikačná stratégia</w:t>
      </w:r>
    </w:p>
    <w:p w14:paraId="5C5E74D9" w14:textId="0B1ED8C8" w:rsidR="00F046C4" w:rsidRPr="00C05C08" w:rsidRDefault="00F046C4" w:rsidP="00F046C4">
      <w:pPr>
        <w:widowControl w:val="0"/>
        <w:tabs>
          <w:tab w:val="left" w:pos="5848"/>
          <w:tab w:val="left" w:pos="10348"/>
        </w:tabs>
        <w:autoSpaceDE w:val="0"/>
        <w:autoSpaceDN w:val="0"/>
        <w:adjustRightInd w:val="0"/>
        <w:spacing w:before="360" w:line="860" w:lineRule="exact"/>
        <w:ind w:left="1560" w:right="1886"/>
        <w:jc w:val="center"/>
        <w:rPr>
          <w:color w:val="000000"/>
          <w:w w:val="98"/>
          <w:sz w:val="36"/>
          <w:szCs w:val="36"/>
        </w:rPr>
      </w:pPr>
      <w:r w:rsidRPr="00C05C08">
        <w:rPr>
          <w:b/>
          <w:color w:val="000000"/>
          <w:w w:val="98"/>
          <w:sz w:val="36"/>
          <w:szCs w:val="36"/>
        </w:rPr>
        <w:t xml:space="preserve">na </w:t>
      </w:r>
      <w:r w:rsidR="00C05C08" w:rsidRPr="00C05C08">
        <w:rPr>
          <w:b/>
          <w:color w:val="000000"/>
          <w:w w:val="98"/>
          <w:sz w:val="36"/>
          <w:szCs w:val="36"/>
        </w:rPr>
        <w:t>programové obdobie 2014-2020</w:t>
      </w:r>
    </w:p>
    <w:p w14:paraId="2EB59A5A" w14:textId="77777777" w:rsidR="00F046C4" w:rsidRDefault="00F046C4" w:rsidP="00F046C4"/>
    <w:p w14:paraId="07EF294B" w14:textId="77777777" w:rsidR="00F046C4" w:rsidRDefault="00F046C4">
      <w:pPr>
        <w:spacing w:after="200" w:line="276" w:lineRule="auto"/>
      </w:pPr>
    </w:p>
    <w:p w14:paraId="7D0FD75E" w14:textId="77777777" w:rsidR="00F046C4" w:rsidRDefault="00F046C4">
      <w:pPr>
        <w:spacing w:after="200" w:line="276" w:lineRule="auto"/>
      </w:pPr>
    </w:p>
    <w:p w14:paraId="63C62908" w14:textId="77777777" w:rsidR="00F046C4" w:rsidRDefault="00F046C4">
      <w:pPr>
        <w:spacing w:after="200" w:line="276" w:lineRule="auto"/>
      </w:pPr>
    </w:p>
    <w:p w14:paraId="442109B9" w14:textId="77777777" w:rsidR="00F046C4" w:rsidRPr="00F046C4" w:rsidRDefault="00F046C4" w:rsidP="00F046C4">
      <w:pPr>
        <w:widowControl w:val="0"/>
        <w:tabs>
          <w:tab w:val="left" w:pos="3402"/>
        </w:tabs>
        <w:autoSpaceDE w:val="0"/>
        <w:autoSpaceDN w:val="0"/>
        <w:adjustRightInd w:val="0"/>
        <w:spacing w:before="240" w:after="120" w:line="253" w:lineRule="exact"/>
        <w:ind w:left="567"/>
        <w:rPr>
          <w:b/>
          <w:color w:val="000000"/>
          <w:spacing w:val="-2"/>
          <w:sz w:val="28"/>
          <w:szCs w:val="28"/>
        </w:rPr>
      </w:pPr>
      <w:r w:rsidRPr="00F046C4">
        <w:rPr>
          <w:b/>
          <w:color w:val="000000"/>
          <w:spacing w:val="-2"/>
          <w:sz w:val="28"/>
          <w:szCs w:val="28"/>
        </w:rPr>
        <w:t xml:space="preserve">Operačný program : </w:t>
      </w:r>
      <w:r w:rsidRPr="00F046C4">
        <w:rPr>
          <w:b/>
          <w:color w:val="000000"/>
          <w:spacing w:val="-2"/>
          <w:sz w:val="28"/>
          <w:szCs w:val="28"/>
        </w:rPr>
        <w:tab/>
      </w:r>
    </w:p>
    <w:p w14:paraId="427ED4AD" w14:textId="77777777" w:rsidR="00F046C4" w:rsidRPr="00F046C4" w:rsidRDefault="00F046C4" w:rsidP="00F046C4">
      <w:pPr>
        <w:widowControl w:val="0"/>
        <w:tabs>
          <w:tab w:val="left" w:pos="3402"/>
        </w:tabs>
        <w:autoSpaceDE w:val="0"/>
        <w:autoSpaceDN w:val="0"/>
        <w:adjustRightInd w:val="0"/>
        <w:spacing w:before="240" w:after="120" w:line="253" w:lineRule="exact"/>
        <w:ind w:left="567"/>
        <w:rPr>
          <w:b/>
          <w:color w:val="000000"/>
          <w:spacing w:val="-2"/>
          <w:sz w:val="28"/>
          <w:szCs w:val="28"/>
        </w:rPr>
      </w:pPr>
      <w:r w:rsidRPr="00F046C4">
        <w:rPr>
          <w:b/>
          <w:color w:val="000000"/>
          <w:spacing w:val="-2"/>
          <w:sz w:val="28"/>
          <w:szCs w:val="28"/>
        </w:rPr>
        <w:t xml:space="preserve">Riadiaci orgán: </w:t>
      </w:r>
      <w:r>
        <w:rPr>
          <w:b/>
          <w:color w:val="000000"/>
          <w:spacing w:val="-2"/>
          <w:sz w:val="28"/>
          <w:szCs w:val="28"/>
        </w:rPr>
        <w:tab/>
      </w:r>
    </w:p>
    <w:p w14:paraId="16B1BBDB" w14:textId="77777777" w:rsidR="00F046C4" w:rsidRPr="00F046C4" w:rsidRDefault="00F046C4" w:rsidP="00F046C4">
      <w:pPr>
        <w:widowControl w:val="0"/>
        <w:tabs>
          <w:tab w:val="left" w:pos="3402"/>
        </w:tabs>
        <w:autoSpaceDE w:val="0"/>
        <w:autoSpaceDN w:val="0"/>
        <w:adjustRightInd w:val="0"/>
        <w:spacing w:before="240" w:after="120" w:line="253" w:lineRule="exact"/>
        <w:ind w:left="567"/>
        <w:rPr>
          <w:b/>
          <w:color w:val="000000"/>
          <w:spacing w:val="-2"/>
          <w:sz w:val="28"/>
          <w:szCs w:val="28"/>
        </w:rPr>
      </w:pPr>
      <w:r w:rsidRPr="00F046C4">
        <w:rPr>
          <w:b/>
          <w:color w:val="000000"/>
          <w:spacing w:val="-2"/>
          <w:sz w:val="28"/>
          <w:szCs w:val="28"/>
        </w:rPr>
        <w:t>Vypracoval :</w:t>
      </w:r>
      <w:r>
        <w:rPr>
          <w:b/>
          <w:color w:val="000000"/>
          <w:spacing w:val="-2"/>
          <w:sz w:val="28"/>
          <w:szCs w:val="28"/>
        </w:rPr>
        <w:tab/>
      </w:r>
    </w:p>
    <w:p w14:paraId="3B806D37" w14:textId="77777777" w:rsidR="00F046C4" w:rsidRPr="00F046C4" w:rsidRDefault="00F046C4" w:rsidP="00F046C4">
      <w:pPr>
        <w:widowControl w:val="0"/>
        <w:tabs>
          <w:tab w:val="left" w:pos="3402"/>
        </w:tabs>
        <w:autoSpaceDE w:val="0"/>
        <w:autoSpaceDN w:val="0"/>
        <w:adjustRightInd w:val="0"/>
        <w:spacing w:before="240" w:after="120" w:line="253" w:lineRule="exact"/>
        <w:ind w:left="567"/>
        <w:rPr>
          <w:b/>
          <w:color w:val="000000"/>
          <w:spacing w:val="-2"/>
          <w:sz w:val="28"/>
          <w:szCs w:val="28"/>
        </w:rPr>
      </w:pPr>
      <w:r w:rsidRPr="00F046C4">
        <w:rPr>
          <w:b/>
          <w:color w:val="000000"/>
          <w:spacing w:val="-2"/>
          <w:sz w:val="28"/>
          <w:szCs w:val="28"/>
        </w:rPr>
        <w:t>Schválil :</w:t>
      </w:r>
      <w:r w:rsidRPr="00F046C4">
        <w:rPr>
          <w:b/>
          <w:color w:val="000000"/>
          <w:spacing w:val="-2"/>
          <w:sz w:val="28"/>
          <w:szCs w:val="28"/>
        </w:rPr>
        <w:tab/>
      </w:r>
    </w:p>
    <w:p w14:paraId="48EABAB6" w14:textId="77777777" w:rsidR="00F046C4" w:rsidRDefault="00F046C4">
      <w:pPr>
        <w:spacing w:after="200" w:line="276" w:lineRule="auto"/>
      </w:pPr>
      <w:r>
        <w:br w:type="page"/>
      </w:r>
    </w:p>
    <w:sdt>
      <w:sdtPr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  <w:id w:val="-1004741171"/>
        <w:docPartObj>
          <w:docPartGallery w:val="Table of Contents"/>
          <w:docPartUnique/>
        </w:docPartObj>
      </w:sdtPr>
      <w:sdtEndPr/>
      <w:sdtContent>
        <w:p w14:paraId="7009A8E3" w14:textId="77777777" w:rsidR="00F046C4" w:rsidRDefault="00F046C4" w:rsidP="00F046C4">
          <w:pPr>
            <w:pStyle w:val="Hlavikaobsahu"/>
          </w:pPr>
          <w:r>
            <w:t>Obsah</w:t>
          </w:r>
        </w:p>
        <w:p w14:paraId="3DA10553" w14:textId="77777777" w:rsidR="00F046C4" w:rsidRPr="00460F75" w:rsidRDefault="00F046C4" w:rsidP="00F046C4"/>
        <w:p w14:paraId="54F91D9D" w14:textId="77777777" w:rsidR="002D2E90" w:rsidRDefault="00F046C4">
          <w:pPr>
            <w:pStyle w:val="Obsah2"/>
            <w:rPr>
              <w:rFonts w:asciiTheme="minorHAnsi" w:eastAsiaTheme="minorEastAsia" w:hAnsiTheme="minorHAnsi" w:cstheme="minorBidi"/>
              <w:noProof/>
              <w:sz w:val="22"/>
              <w:szCs w:val="22"/>
              <w:lang w:val="en-US" w:eastAsia="en-US"/>
            </w:rPr>
          </w:pPr>
          <w:r>
            <w:fldChar w:fldCharType="begin"/>
          </w:r>
          <w:r>
            <w:instrText xml:space="preserve"> TOC \o "1-5" \h \z \u </w:instrText>
          </w:r>
          <w:r>
            <w:fldChar w:fldCharType="separate"/>
          </w:r>
          <w:hyperlink w:anchor="_Toc469255065" w:history="1">
            <w:r w:rsidR="002D2E90" w:rsidRPr="00314E44">
              <w:rPr>
                <w:rStyle w:val="Hypertextovprepojenie"/>
                <w:noProof/>
              </w:rPr>
              <w:t>Úvod</w:t>
            </w:r>
            <w:r w:rsidR="002D2E90">
              <w:rPr>
                <w:noProof/>
                <w:webHidden/>
              </w:rPr>
              <w:tab/>
            </w:r>
            <w:r w:rsidR="002D2E90">
              <w:rPr>
                <w:noProof/>
                <w:webHidden/>
              </w:rPr>
              <w:fldChar w:fldCharType="begin"/>
            </w:r>
            <w:r w:rsidR="002D2E90">
              <w:rPr>
                <w:noProof/>
                <w:webHidden/>
              </w:rPr>
              <w:instrText xml:space="preserve"> PAGEREF _Toc469255065 \h </w:instrText>
            </w:r>
            <w:r w:rsidR="002D2E90">
              <w:rPr>
                <w:noProof/>
                <w:webHidden/>
              </w:rPr>
            </w:r>
            <w:r w:rsidR="002D2E90">
              <w:rPr>
                <w:noProof/>
                <w:webHidden/>
              </w:rPr>
              <w:fldChar w:fldCharType="separate"/>
            </w:r>
            <w:r w:rsidR="00C05C08">
              <w:rPr>
                <w:noProof/>
                <w:webHidden/>
              </w:rPr>
              <w:t>2</w:t>
            </w:r>
            <w:r w:rsidR="002D2E90">
              <w:rPr>
                <w:noProof/>
                <w:webHidden/>
              </w:rPr>
              <w:fldChar w:fldCharType="end"/>
            </w:r>
          </w:hyperlink>
        </w:p>
        <w:p w14:paraId="73F1F7CF" w14:textId="77777777" w:rsidR="002D2E90" w:rsidRDefault="00217A54">
          <w:pPr>
            <w:pStyle w:val="Obsah2"/>
            <w:rPr>
              <w:rFonts w:asciiTheme="minorHAnsi" w:eastAsiaTheme="minorEastAsia" w:hAnsiTheme="minorHAnsi" w:cstheme="minorBidi"/>
              <w:noProof/>
              <w:sz w:val="22"/>
              <w:szCs w:val="22"/>
              <w:lang w:val="en-US" w:eastAsia="en-US"/>
            </w:rPr>
          </w:pPr>
          <w:hyperlink w:anchor="_Toc469255066" w:history="1">
            <w:r w:rsidR="002D2E90" w:rsidRPr="00314E44">
              <w:rPr>
                <w:rStyle w:val="Hypertextovprepojenie"/>
                <w:noProof/>
              </w:rPr>
              <w:t>1 Analýza východiskovej situácie</w:t>
            </w:r>
            <w:r w:rsidR="002D2E90">
              <w:rPr>
                <w:noProof/>
                <w:webHidden/>
              </w:rPr>
              <w:tab/>
            </w:r>
            <w:r w:rsidR="002D2E90">
              <w:rPr>
                <w:noProof/>
                <w:webHidden/>
              </w:rPr>
              <w:fldChar w:fldCharType="begin"/>
            </w:r>
            <w:r w:rsidR="002D2E90">
              <w:rPr>
                <w:noProof/>
                <w:webHidden/>
              </w:rPr>
              <w:instrText xml:space="preserve"> PAGEREF _Toc469255066 \h </w:instrText>
            </w:r>
            <w:r w:rsidR="002D2E90">
              <w:rPr>
                <w:noProof/>
                <w:webHidden/>
              </w:rPr>
            </w:r>
            <w:r w:rsidR="002D2E90">
              <w:rPr>
                <w:noProof/>
                <w:webHidden/>
              </w:rPr>
              <w:fldChar w:fldCharType="separate"/>
            </w:r>
            <w:r w:rsidR="00C05C08">
              <w:rPr>
                <w:noProof/>
                <w:webHidden/>
              </w:rPr>
              <w:t>3</w:t>
            </w:r>
            <w:r w:rsidR="002D2E90">
              <w:rPr>
                <w:noProof/>
                <w:webHidden/>
              </w:rPr>
              <w:fldChar w:fldCharType="end"/>
            </w:r>
          </w:hyperlink>
        </w:p>
        <w:p w14:paraId="24BCAFFF" w14:textId="52A7DDBA" w:rsidR="002D2E90" w:rsidRDefault="00217A54">
          <w:pPr>
            <w:pStyle w:val="Obsah2"/>
            <w:rPr>
              <w:rFonts w:asciiTheme="minorHAnsi" w:eastAsiaTheme="minorEastAsia" w:hAnsiTheme="minorHAnsi" w:cstheme="minorBidi"/>
              <w:noProof/>
              <w:sz w:val="22"/>
              <w:szCs w:val="22"/>
              <w:lang w:val="en-US" w:eastAsia="en-US"/>
            </w:rPr>
          </w:pPr>
          <w:hyperlink w:anchor="_Toc469255067" w:history="1">
            <w:r w:rsidR="002D2E90" w:rsidRPr="00314E44">
              <w:rPr>
                <w:rStyle w:val="Hypertextovprepojenie"/>
                <w:noProof/>
              </w:rPr>
              <w:t>2 Ciele</w:t>
            </w:r>
            <w:r w:rsidR="002D2E90">
              <w:rPr>
                <w:noProof/>
                <w:webHidden/>
              </w:rPr>
              <w:tab/>
            </w:r>
          </w:hyperlink>
          <w:r w:rsidR="00C05C08">
            <w:rPr>
              <w:noProof/>
            </w:rPr>
            <w:t>5</w:t>
          </w:r>
        </w:p>
        <w:p w14:paraId="75B87D69" w14:textId="22659403" w:rsidR="002D2E90" w:rsidRDefault="00217A54">
          <w:pPr>
            <w:pStyle w:val="Obsah2"/>
            <w:rPr>
              <w:rFonts w:asciiTheme="minorHAnsi" w:eastAsiaTheme="minorEastAsia" w:hAnsiTheme="minorHAnsi" w:cstheme="minorBidi"/>
              <w:noProof/>
              <w:sz w:val="22"/>
              <w:szCs w:val="22"/>
              <w:lang w:val="en-US" w:eastAsia="en-US"/>
            </w:rPr>
          </w:pPr>
          <w:hyperlink w:anchor="_Toc469255068" w:history="1">
            <w:r w:rsidR="002D2E90" w:rsidRPr="00314E44">
              <w:rPr>
                <w:rStyle w:val="Hypertextovprepojenie"/>
                <w:noProof/>
              </w:rPr>
              <w:t>3 Cieľové skupiny</w:t>
            </w:r>
            <w:r w:rsidR="002D2E90">
              <w:rPr>
                <w:noProof/>
                <w:webHidden/>
              </w:rPr>
              <w:tab/>
            </w:r>
          </w:hyperlink>
          <w:r w:rsidR="00C05C08">
            <w:rPr>
              <w:noProof/>
            </w:rPr>
            <w:t>6</w:t>
          </w:r>
        </w:p>
        <w:p w14:paraId="41B012B1" w14:textId="78F1768D" w:rsidR="002D2E90" w:rsidRDefault="00217A54">
          <w:pPr>
            <w:pStyle w:val="Obsah2"/>
            <w:rPr>
              <w:rFonts w:asciiTheme="minorHAnsi" w:eastAsiaTheme="minorEastAsia" w:hAnsiTheme="minorHAnsi" w:cstheme="minorBidi"/>
              <w:noProof/>
              <w:sz w:val="22"/>
              <w:szCs w:val="22"/>
              <w:lang w:val="en-US" w:eastAsia="en-US"/>
            </w:rPr>
          </w:pPr>
          <w:hyperlink w:anchor="_Toc469255069" w:history="1">
            <w:r w:rsidR="002D2E90" w:rsidRPr="00314E44">
              <w:rPr>
                <w:rStyle w:val="Hypertextovprepojenie"/>
                <w:noProof/>
              </w:rPr>
              <w:t>4 Komunikačná stratégia</w:t>
            </w:r>
            <w:r w:rsidR="002D2E90">
              <w:rPr>
                <w:noProof/>
                <w:webHidden/>
              </w:rPr>
              <w:tab/>
            </w:r>
            <w:r w:rsidR="002D2E90">
              <w:rPr>
                <w:noProof/>
                <w:webHidden/>
              </w:rPr>
              <w:fldChar w:fldCharType="begin"/>
            </w:r>
            <w:r w:rsidR="002D2E90">
              <w:rPr>
                <w:noProof/>
                <w:webHidden/>
              </w:rPr>
              <w:instrText xml:space="preserve"> PAGEREF _Toc469255069 \h </w:instrText>
            </w:r>
            <w:r w:rsidR="002D2E90">
              <w:rPr>
                <w:noProof/>
                <w:webHidden/>
              </w:rPr>
            </w:r>
            <w:r w:rsidR="002D2E90">
              <w:rPr>
                <w:noProof/>
                <w:webHidden/>
              </w:rPr>
              <w:fldChar w:fldCharType="separate"/>
            </w:r>
            <w:r w:rsidR="00C05C08">
              <w:rPr>
                <w:noProof/>
                <w:webHidden/>
              </w:rPr>
              <w:t>8</w:t>
            </w:r>
            <w:r w:rsidR="002D2E90">
              <w:rPr>
                <w:noProof/>
                <w:webHidden/>
              </w:rPr>
              <w:fldChar w:fldCharType="end"/>
            </w:r>
          </w:hyperlink>
        </w:p>
        <w:p w14:paraId="1AC9D95C" w14:textId="77777777" w:rsidR="002D2E90" w:rsidRDefault="00217A54">
          <w:pPr>
            <w:pStyle w:val="Obsah3"/>
            <w:rPr>
              <w:rFonts w:asciiTheme="minorHAnsi" w:eastAsiaTheme="minorEastAsia" w:hAnsiTheme="minorHAnsi" w:cstheme="minorBidi"/>
              <w:noProof/>
              <w:sz w:val="22"/>
              <w:szCs w:val="22"/>
              <w:lang w:val="en-US" w:eastAsia="en-US"/>
            </w:rPr>
          </w:pPr>
          <w:hyperlink w:anchor="_Toc469255070" w:history="1">
            <w:r w:rsidR="002D2E90" w:rsidRPr="00314E44">
              <w:rPr>
                <w:rStyle w:val="Hypertextovprepojenie"/>
                <w:noProof/>
              </w:rPr>
              <w:t>4.1 Taktické informačno-komunikačné nástroje</w:t>
            </w:r>
            <w:r w:rsidR="002D2E90">
              <w:rPr>
                <w:noProof/>
                <w:webHidden/>
              </w:rPr>
              <w:tab/>
            </w:r>
            <w:r w:rsidR="002D2E90">
              <w:rPr>
                <w:noProof/>
                <w:webHidden/>
              </w:rPr>
              <w:fldChar w:fldCharType="begin"/>
            </w:r>
            <w:r w:rsidR="002D2E90">
              <w:rPr>
                <w:noProof/>
                <w:webHidden/>
              </w:rPr>
              <w:instrText xml:space="preserve"> PAGEREF _Toc469255070 \h </w:instrText>
            </w:r>
            <w:r w:rsidR="002D2E90">
              <w:rPr>
                <w:noProof/>
                <w:webHidden/>
              </w:rPr>
            </w:r>
            <w:r w:rsidR="002D2E90">
              <w:rPr>
                <w:noProof/>
                <w:webHidden/>
              </w:rPr>
              <w:fldChar w:fldCharType="separate"/>
            </w:r>
            <w:r w:rsidR="00C05C08">
              <w:rPr>
                <w:noProof/>
                <w:webHidden/>
              </w:rPr>
              <w:t>10</w:t>
            </w:r>
            <w:r w:rsidR="002D2E90">
              <w:rPr>
                <w:noProof/>
                <w:webHidden/>
              </w:rPr>
              <w:fldChar w:fldCharType="end"/>
            </w:r>
          </w:hyperlink>
        </w:p>
        <w:p w14:paraId="4CA455B8" w14:textId="77777777" w:rsidR="002D2E90" w:rsidRDefault="00217A54">
          <w:pPr>
            <w:pStyle w:val="Obsah3"/>
            <w:rPr>
              <w:rFonts w:asciiTheme="minorHAnsi" w:eastAsiaTheme="minorEastAsia" w:hAnsiTheme="minorHAnsi" w:cstheme="minorBidi"/>
              <w:noProof/>
              <w:sz w:val="22"/>
              <w:szCs w:val="22"/>
              <w:lang w:val="en-US" w:eastAsia="en-US"/>
            </w:rPr>
          </w:pPr>
          <w:hyperlink w:anchor="_Toc469255071" w:history="1">
            <w:r w:rsidR="002D2E90" w:rsidRPr="00314E44">
              <w:rPr>
                <w:rStyle w:val="Hypertextovprepojenie"/>
                <w:noProof/>
              </w:rPr>
              <w:t>4.2 Predbežná plánovaná finančná alokácia na jednotlivé roky</w:t>
            </w:r>
            <w:r w:rsidR="002D2E90">
              <w:rPr>
                <w:noProof/>
                <w:webHidden/>
              </w:rPr>
              <w:tab/>
            </w:r>
            <w:r w:rsidR="002D2E90">
              <w:rPr>
                <w:noProof/>
                <w:webHidden/>
              </w:rPr>
              <w:fldChar w:fldCharType="begin"/>
            </w:r>
            <w:r w:rsidR="002D2E90">
              <w:rPr>
                <w:noProof/>
                <w:webHidden/>
              </w:rPr>
              <w:instrText xml:space="preserve"> PAGEREF _Toc469255071 \h </w:instrText>
            </w:r>
            <w:r w:rsidR="002D2E90">
              <w:rPr>
                <w:noProof/>
                <w:webHidden/>
              </w:rPr>
            </w:r>
            <w:r w:rsidR="002D2E90">
              <w:rPr>
                <w:noProof/>
                <w:webHidden/>
              </w:rPr>
              <w:fldChar w:fldCharType="separate"/>
            </w:r>
            <w:r w:rsidR="00C05C08">
              <w:rPr>
                <w:noProof/>
                <w:webHidden/>
              </w:rPr>
              <w:t>12</w:t>
            </w:r>
            <w:r w:rsidR="002D2E90">
              <w:rPr>
                <w:noProof/>
                <w:webHidden/>
              </w:rPr>
              <w:fldChar w:fldCharType="end"/>
            </w:r>
          </w:hyperlink>
        </w:p>
        <w:p w14:paraId="57794FA1" w14:textId="77777777" w:rsidR="002D2E90" w:rsidRDefault="00217A54">
          <w:pPr>
            <w:pStyle w:val="Obsah2"/>
            <w:rPr>
              <w:rFonts w:asciiTheme="minorHAnsi" w:eastAsiaTheme="minorEastAsia" w:hAnsiTheme="minorHAnsi" w:cstheme="minorBidi"/>
              <w:noProof/>
              <w:sz w:val="22"/>
              <w:szCs w:val="22"/>
              <w:lang w:val="en-US" w:eastAsia="en-US"/>
            </w:rPr>
          </w:pPr>
          <w:hyperlink w:anchor="_Toc469255072" w:history="1">
            <w:r w:rsidR="002D2E90" w:rsidRPr="00314E44">
              <w:rPr>
                <w:rStyle w:val="Hypertextovprepojenie"/>
                <w:noProof/>
              </w:rPr>
              <w:t>5 Realizačný plán</w:t>
            </w:r>
            <w:r w:rsidR="002D2E90">
              <w:rPr>
                <w:noProof/>
                <w:webHidden/>
              </w:rPr>
              <w:tab/>
            </w:r>
            <w:r w:rsidR="002D2E90">
              <w:rPr>
                <w:noProof/>
                <w:webHidden/>
              </w:rPr>
              <w:fldChar w:fldCharType="begin"/>
            </w:r>
            <w:r w:rsidR="002D2E90">
              <w:rPr>
                <w:noProof/>
                <w:webHidden/>
              </w:rPr>
              <w:instrText xml:space="preserve"> PAGEREF _Toc469255072 \h </w:instrText>
            </w:r>
            <w:r w:rsidR="002D2E90">
              <w:rPr>
                <w:noProof/>
                <w:webHidden/>
              </w:rPr>
            </w:r>
            <w:r w:rsidR="002D2E90">
              <w:rPr>
                <w:noProof/>
                <w:webHidden/>
              </w:rPr>
              <w:fldChar w:fldCharType="separate"/>
            </w:r>
            <w:r w:rsidR="00C05C08">
              <w:rPr>
                <w:noProof/>
                <w:webHidden/>
              </w:rPr>
              <w:t>12</w:t>
            </w:r>
            <w:r w:rsidR="002D2E90">
              <w:rPr>
                <w:noProof/>
                <w:webHidden/>
              </w:rPr>
              <w:fldChar w:fldCharType="end"/>
            </w:r>
          </w:hyperlink>
        </w:p>
        <w:p w14:paraId="63F0C0E2" w14:textId="77777777" w:rsidR="002D2E90" w:rsidRDefault="00217A54">
          <w:pPr>
            <w:pStyle w:val="Obsah3"/>
            <w:rPr>
              <w:rFonts w:asciiTheme="minorHAnsi" w:eastAsiaTheme="minorEastAsia" w:hAnsiTheme="minorHAnsi" w:cstheme="minorBidi"/>
              <w:noProof/>
              <w:sz w:val="22"/>
              <w:szCs w:val="22"/>
              <w:lang w:val="en-US" w:eastAsia="en-US"/>
            </w:rPr>
          </w:pPr>
          <w:hyperlink w:anchor="_Toc469255073" w:history="1">
            <w:r w:rsidR="002D2E90" w:rsidRPr="00314E44">
              <w:rPr>
                <w:rStyle w:val="Hypertextovprepojenie"/>
                <w:noProof/>
              </w:rPr>
              <w:t>5.1 Časový harmonogram realizácie plánovaných komunikačných aktivít na roky 2014-2020</w:t>
            </w:r>
            <w:r w:rsidR="002D2E90">
              <w:rPr>
                <w:noProof/>
                <w:webHidden/>
              </w:rPr>
              <w:tab/>
            </w:r>
            <w:r w:rsidR="002D2E90">
              <w:rPr>
                <w:noProof/>
                <w:webHidden/>
              </w:rPr>
              <w:fldChar w:fldCharType="begin"/>
            </w:r>
            <w:r w:rsidR="002D2E90">
              <w:rPr>
                <w:noProof/>
                <w:webHidden/>
              </w:rPr>
              <w:instrText xml:space="preserve"> PAGEREF _Toc469255073 \h </w:instrText>
            </w:r>
            <w:r w:rsidR="002D2E90">
              <w:rPr>
                <w:noProof/>
                <w:webHidden/>
              </w:rPr>
            </w:r>
            <w:r w:rsidR="002D2E90">
              <w:rPr>
                <w:noProof/>
                <w:webHidden/>
              </w:rPr>
              <w:fldChar w:fldCharType="separate"/>
            </w:r>
            <w:r w:rsidR="00C05C08">
              <w:rPr>
                <w:noProof/>
                <w:webHidden/>
              </w:rPr>
              <w:t>12</w:t>
            </w:r>
            <w:r w:rsidR="002D2E90">
              <w:rPr>
                <w:noProof/>
                <w:webHidden/>
              </w:rPr>
              <w:fldChar w:fldCharType="end"/>
            </w:r>
          </w:hyperlink>
        </w:p>
        <w:p w14:paraId="61399D4A" w14:textId="77777777" w:rsidR="002D2E90" w:rsidRDefault="00217A54">
          <w:pPr>
            <w:pStyle w:val="Obsah2"/>
            <w:rPr>
              <w:rFonts w:asciiTheme="minorHAnsi" w:eastAsiaTheme="minorEastAsia" w:hAnsiTheme="minorHAnsi" w:cstheme="minorBidi"/>
              <w:noProof/>
              <w:sz w:val="22"/>
              <w:szCs w:val="22"/>
              <w:lang w:val="en-US" w:eastAsia="en-US"/>
            </w:rPr>
          </w:pPr>
          <w:hyperlink w:anchor="_Toc469255075" w:history="1">
            <w:r w:rsidR="002D2E90" w:rsidRPr="00314E44">
              <w:rPr>
                <w:rStyle w:val="Hypertextovprepojenie"/>
                <w:noProof/>
              </w:rPr>
              <w:t>6 Monitorovanie a hodnotenie</w:t>
            </w:r>
            <w:r w:rsidR="002D2E90">
              <w:rPr>
                <w:noProof/>
                <w:webHidden/>
              </w:rPr>
              <w:tab/>
            </w:r>
            <w:r w:rsidR="002D2E90">
              <w:rPr>
                <w:noProof/>
                <w:webHidden/>
              </w:rPr>
              <w:fldChar w:fldCharType="begin"/>
            </w:r>
            <w:r w:rsidR="002D2E90">
              <w:rPr>
                <w:noProof/>
                <w:webHidden/>
              </w:rPr>
              <w:instrText xml:space="preserve"> PAGEREF _Toc469255075 \h </w:instrText>
            </w:r>
            <w:r w:rsidR="002D2E90">
              <w:rPr>
                <w:noProof/>
                <w:webHidden/>
              </w:rPr>
            </w:r>
            <w:r w:rsidR="002D2E90">
              <w:rPr>
                <w:noProof/>
                <w:webHidden/>
              </w:rPr>
              <w:fldChar w:fldCharType="separate"/>
            </w:r>
            <w:r w:rsidR="00C05C08">
              <w:rPr>
                <w:noProof/>
                <w:webHidden/>
              </w:rPr>
              <w:t>13</w:t>
            </w:r>
            <w:r w:rsidR="002D2E90">
              <w:rPr>
                <w:noProof/>
                <w:webHidden/>
              </w:rPr>
              <w:fldChar w:fldCharType="end"/>
            </w:r>
          </w:hyperlink>
        </w:p>
        <w:p w14:paraId="7A540329" w14:textId="4BFA2050" w:rsidR="002D2E90" w:rsidRDefault="00217A54">
          <w:pPr>
            <w:pStyle w:val="Obsah2"/>
            <w:rPr>
              <w:rFonts w:asciiTheme="minorHAnsi" w:eastAsiaTheme="minorEastAsia" w:hAnsiTheme="minorHAnsi" w:cstheme="minorBidi"/>
              <w:noProof/>
              <w:sz w:val="22"/>
              <w:szCs w:val="22"/>
              <w:lang w:val="en-US" w:eastAsia="en-US"/>
            </w:rPr>
          </w:pPr>
          <w:hyperlink w:anchor="_Toc469255076" w:history="1">
            <w:r w:rsidR="002D2E90" w:rsidRPr="00314E44">
              <w:rPr>
                <w:rStyle w:val="Hypertextovprepojenie"/>
                <w:noProof/>
              </w:rPr>
              <w:t>7 Administratívne zabezpečenie</w:t>
            </w:r>
            <w:r w:rsidR="002D2E90">
              <w:rPr>
                <w:noProof/>
                <w:webHidden/>
              </w:rPr>
              <w:tab/>
            </w:r>
            <w:r w:rsidR="002D2E90">
              <w:rPr>
                <w:noProof/>
                <w:webHidden/>
              </w:rPr>
              <w:fldChar w:fldCharType="begin"/>
            </w:r>
            <w:r w:rsidR="002D2E90">
              <w:rPr>
                <w:noProof/>
                <w:webHidden/>
              </w:rPr>
              <w:instrText xml:space="preserve"> PAGEREF _Toc469255076 \h </w:instrText>
            </w:r>
            <w:r w:rsidR="002D2E90">
              <w:rPr>
                <w:noProof/>
                <w:webHidden/>
              </w:rPr>
            </w:r>
            <w:r w:rsidR="002D2E90">
              <w:rPr>
                <w:noProof/>
                <w:webHidden/>
              </w:rPr>
              <w:fldChar w:fldCharType="separate"/>
            </w:r>
            <w:r w:rsidR="00C05C08">
              <w:rPr>
                <w:noProof/>
                <w:webHidden/>
              </w:rPr>
              <w:t>15</w:t>
            </w:r>
            <w:r w:rsidR="002D2E90">
              <w:rPr>
                <w:noProof/>
                <w:webHidden/>
              </w:rPr>
              <w:fldChar w:fldCharType="end"/>
            </w:r>
          </w:hyperlink>
        </w:p>
        <w:p w14:paraId="040A2F96" w14:textId="525B8057" w:rsidR="002D2E90" w:rsidRDefault="00217A54">
          <w:pPr>
            <w:pStyle w:val="Obsah2"/>
            <w:rPr>
              <w:rFonts w:asciiTheme="minorHAnsi" w:eastAsiaTheme="minorEastAsia" w:hAnsiTheme="minorHAnsi" w:cstheme="minorBidi"/>
              <w:noProof/>
              <w:sz w:val="22"/>
              <w:szCs w:val="22"/>
              <w:lang w:val="en-US" w:eastAsia="en-US"/>
            </w:rPr>
          </w:pPr>
          <w:hyperlink w:anchor="_Toc469255077" w:history="1">
            <w:r w:rsidR="002D2E90" w:rsidRPr="00314E44">
              <w:rPr>
                <w:rStyle w:val="Hypertextovprepojenie"/>
                <w:noProof/>
              </w:rPr>
              <w:t>8 Pojmy mediálnej komunikácie</w:t>
            </w:r>
            <w:r w:rsidR="002D2E90">
              <w:rPr>
                <w:noProof/>
                <w:webHidden/>
              </w:rPr>
              <w:tab/>
            </w:r>
            <w:r w:rsidR="002D2E90">
              <w:rPr>
                <w:noProof/>
                <w:webHidden/>
              </w:rPr>
              <w:fldChar w:fldCharType="begin"/>
            </w:r>
            <w:r w:rsidR="002D2E90">
              <w:rPr>
                <w:noProof/>
                <w:webHidden/>
              </w:rPr>
              <w:instrText xml:space="preserve"> PAGEREF _Toc469255077 \h </w:instrText>
            </w:r>
            <w:r w:rsidR="002D2E90">
              <w:rPr>
                <w:noProof/>
                <w:webHidden/>
              </w:rPr>
            </w:r>
            <w:r w:rsidR="002D2E90">
              <w:rPr>
                <w:noProof/>
                <w:webHidden/>
              </w:rPr>
              <w:fldChar w:fldCharType="separate"/>
            </w:r>
            <w:r w:rsidR="00C05C08">
              <w:rPr>
                <w:noProof/>
                <w:webHidden/>
              </w:rPr>
              <w:t>17</w:t>
            </w:r>
            <w:r w:rsidR="002D2E90">
              <w:rPr>
                <w:noProof/>
                <w:webHidden/>
              </w:rPr>
              <w:fldChar w:fldCharType="end"/>
            </w:r>
          </w:hyperlink>
        </w:p>
        <w:p w14:paraId="15D0525B" w14:textId="05CD98B7" w:rsidR="002D2E90" w:rsidRDefault="00217A54">
          <w:pPr>
            <w:pStyle w:val="Obsah3"/>
            <w:rPr>
              <w:rFonts w:asciiTheme="minorHAnsi" w:eastAsiaTheme="minorEastAsia" w:hAnsiTheme="minorHAnsi" w:cstheme="minorBidi"/>
              <w:noProof/>
              <w:sz w:val="22"/>
              <w:szCs w:val="22"/>
              <w:lang w:val="en-US" w:eastAsia="en-US"/>
            </w:rPr>
          </w:pPr>
          <w:hyperlink w:anchor="_Toc469255078" w:history="1">
            <w:r w:rsidR="002D2E90" w:rsidRPr="00314E44">
              <w:rPr>
                <w:rStyle w:val="Hypertextovprepojenie"/>
                <w:noProof/>
              </w:rPr>
              <w:t>8.1 Základné mediálne parametre</w:t>
            </w:r>
            <w:r w:rsidR="002D2E90">
              <w:rPr>
                <w:noProof/>
                <w:webHidden/>
              </w:rPr>
              <w:tab/>
            </w:r>
            <w:r w:rsidR="002D2E90">
              <w:rPr>
                <w:noProof/>
                <w:webHidden/>
              </w:rPr>
              <w:fldChar w:fldCharType="begin"/>
            </w:r>
            <w:r w:rsidR="002D2E90">
              <w:rPr>
                <w:noProof/>
                <w:webHidden/>
              </w:rPr>
              <w:instrText xml:space="preserve"> PAGEREF _Toc469255078 \h </w:instrText>
            </w:r>
            <w:r w:rsidR="002D2E90">
              <w:rPr>
                <w:noProof/>
                <w:webHidden/>
              </w:rPr>
            </w:r>
            <w:r w:rsidR="002D2E90">
              <w:rPr>
                <w:noProof/>
                <w:webHidden/>
              </w:rPr>
              <w:fldChar w:fldCharType="separate"/>
            </w:r>
            <w:r w:rsidR="00C05C08">
              <w:rPr>
                <w:noProof/>
                <w:webHidden/>
              </w:rPr>
              <w:t>17</w:t>
            </w:r>
            <w:r w:rsidR="002D2E90">
              <w:rPr>
                <w:noProof/>
                <w:webHidden/>
              </w:rPr>
              <w:fldChar w:fldCharType="end"/>
            </w:r>
          </w:hyperlink>
        </w:p>
        <w:p w14:paraId="73F41DC2" w14:textId="4C29D34E" w:rsidR="002D2E90" w:rsidRDefault="00217A54">
          <w:pPr>
            <w:pStyle w:val="Obsah3"/>
            <w:rPr>
              <w:rFonts w:asciiTheme="minorHAnsi" w:eastAsiaTheme="minorEastAsia" w:hAnsiTheme="minorHAnsi" w:cstheme="minorBidi"/>
              <w:noProof/>
              <w:sz w:val="22"/>
              <w:szCs w:val="22"/>
              <w:lang w:val="en-US" w:eastAsia="en-US"/>
            </w:rPr>
          </w:pPr>
          <w:hyperlink w:anchor="_Toc469255079" w:history="1">
            <w:r w:rsidR="002D2E90" w:rsidRPr="00314E44">
              <w:rPr>
                <w:rStyle w:val="Hypertextovprepojenie"/>
                <w:noProof/>
              </w:rPr>
              <w:t>8.2 Základné pojmy – audienčné jednotky, ktoré je možné získať spracovaním výsledkov peoplemetrového merania pomocou softwarového nástroja  InfoSys</w:t>
            </w:r>
            <w:r w:rsidR="002D2E90">
              <w:rPr>
                <w:noProof/>
                <w:webHidden/>
              </w:rPr>
              <w:tab/>
            </w:r>
            <w:r w:rsidR="00C05C08">
              <w:rPr>
                <w:noProof/>
                <w:webHidden/>
              </w:rPr>
              <w:t>19</w:t>
            </w:r>
          </w:hyperlink>
        </w:p>
        <w:p w14:paraId="7A9547E8" w14:textId="5270DD08" w:rsidR="00F046C4" w:rsidRDefault="00F046C4" w:rsidP="008A6533">
          <w:pPr>
            <w:ind w:left="336" w:hanging="336"/>
          </w:pPr>
          <w:r>
            <w:fldChar w:fldCharType="end"/>
          </w:r>
        </w:p>
      </w:sdtContent>
    </w:sdt>
    <w:p w14:paraId="4BF47D20" w14:textId="77777777" w:rsidR="00A35F91" w:rsidRDefault="00A35F91" w:rsidP="00850467">
      <w:pPr>
        <w:pStyle w:val="MPCKO1"/>
      </w:pPr>
      <w:bookmarkStart w:id="2" w:name="_Toc469255065"/>
      <w:r>
        <w:t>Úvod</w:t>
      </w:r>
      <w:bookmarkEnd w:id="2"/>
    </w:p>
    <w:p w14:paraId="7D71198D" w14:textId="4CA03E84" w:rsidR="000E1B00" w:rsidRPr="0060088C" w:rsidRDefault="000E1B00" w:rsidP="002107A0">
      <w:pPr>
        <w:pStyle w:val="Bezriadkovania"/>
        <w:numPr>
          <w:ilvl w:val="0"/>
          <w:numId w:val="1"/>
        </w:numPr>
        <w:spacing w:before="120" w:after="120"/>
        <w:ind w:left="426" w:hanging="426"/>
        <w:jc w:val="both"/>
      </w:pPr>
      <w:r w:rsidRPr="0060088C">
        <w:t xml:space="preserve">Komunikačná stratégia pre úroveň OP je ďalej rozpracúvaná a upresňovaná v ročných </w:t>
      </w:r>
      <w:r w:rsidR="008E6DFA">
        <w:t>komunikačných</w:t>
      </w:r>
      <w:r w:rsidR="008E6DFA" w:rsidRPr="0060088C">
        <w:t xml:space="preserve"> </w:t>
      </w:r>
      <w:r w:rsidRPr="0060088C">
        <w:t xml:space="preserve">plánoch realizácie komunikačných a propagačných aktivít </w:t>
      </w:r>
      <w:r w:rsidR="00314454">
        <w:br/>
      </w:r>
      <w:r w:rsidRPr="0060088C">
        <w:t>v</w:t>
      </w:r>
      <w:r w:rsidR="00314454">
        <w:t xml:space="preserve"> </w:t>
      </w:r>
      <w:r w:rsidRPr="0060088C">
        <w:t xml:space="preserve">programovom období 2014 – 2020, ktoré budú obsahovať detailné informácie </w:t>
      </w:r>
      <w:r w:rsidR="00314454">
        <w:br/>
      </w:r>
      <w:r w:rsidRPr="0060088C">
        <w:t>o</w:t>
      </w:r>
      <w:r w:rsidR="00314454">
        <w:t xml:space="preserve"> </w:t>
      </w:r>
      <w:r w:rsidRPr="0060088C">
        <w:t xml:space="preserve">plánovaných informačných a propagačných aktivitách vrátane vyčíslenia príslušných monitorovacích </w:t>
      </w:r>
      <w:r w:rsidR="006B0C05">
        <w:t>ukazovateľov</w:t>
      </w:r>
      <w:r w:rsidRPr="0060088C">
        <w:t xml:space="preserve"> a rozpočtov, čím sa prispeje k efektívnemu využívaniu pomoci z</w:t>
      </w:r>
      <w:r w:rsidR="00F23215">
        <w:t xml:space="preserve"> </w:t>
      </w:r>
      <w:r w:rsidRPr="0060088C">
        <w:t>EŠIF.</w:t>
      </w:r>
    </w:p>
    <w:p w14:paraId="76EE29C2" w14:textId="3A8B288B" w:rsidR="000E1B00" w:rsidRDefault="000E1B00" w:rsidP="002107A0">
      <w:pPr>
        <w:pStyle w:val="Bezriadkovania"/>
        <w:numPr>
          <w:ilvl w:val="0"/>
          <w:numId w:val="1"/>
        </w:numPr>
        <w:spacing w:before="120" w:after="120"/>
        <w:ind w:left="426" w:hanging="426"/>
        <w:jc w:val="both"/>
      </w:pPr>
      <w:r w:rsidRPr="00F94C8F">
        <w:t xml:space="preserve">Komunikácia </w:t>
      </w:r>
      <w:r w:rsidRPr="00F94C8F">
        <w:rPr>
          <w:lang w:val="cs-CZ"/>
        </w:rPr>
        <w:t>je</w:t>
      </w:r>
      <w:r w:rsidRPr="00F94C8F">
        <w:t xml:space="preserve"> integrálnou súčasťou</w:t>
      </w:r>
      <w:r w:rsidRPr="0060088C">
        <w:rPr>
          <w:b/>
        </w:rPr>
        <w:t xml:space="preserve"> </w:t>
      </w:r>
      <w:r w:rsidRPr="0060088C">
        <w:t xml:space="preserve">transparentnej implementácie čerpania EŠIF </w:t>
      </w:r>
      <w:r w:rsidR="00F23215">
        <w:br/>
      </w:r>
      <w:r w:rsidRPr="0060088C">
        <w:t>v</w:t>
      </w:r>
      <w:r w:rsidR="00F23215">
        <w:t xml:space="preserve"> </w:t>
      </w:r>
      <w:r w:rsidRPr="0060088C">
        <w:t xml:space="preserve">programovom období 2014-2020 a pomáha šíriť príklady úspešných projektov. </w:t>
      </w:r>
    </w:p>
    <w:p w14:paraId="29C4FB47" w14:textId="2C617D01" w:rsidR="00F94C8F" w:rsidRPr="00B97193" w:rsidRDefault="000E1B00" w:rsidP="001B33C1">
      <w:pPr>
        <w:pStyle w:val="Bezriadkovania"/>
        <w:numPr>
          <w:ilvl w:val="0"/>
          <w:numId w:val="1"/>
        </w:numPr>
        <w:tabs>
          <w:tab w:val="left" w:pos="426"/>
        </w:tabs>
        <w:spacing w:before="120" w:after="120"/>
        <w:ind w:left="426" w:hanging="426"/>
        <w:jc w:val="both"/>
      </w:pPr>
      <w:r w:rsidRPr="0060088C">
        <w:t xml:space="preserve">Komunikačnú stratégiu </w:t>
      </w:r>
      <w:r w:rsidR="00F94C8F" w:rsidRPr="00F94C8F">
        <w:t xml:space="preserve">je potrebné </w:t>
      </w:r>
      <w:r w:rsidRPr="0060088C">
        <w:t>vypracovať na základe slovenských</w:t>
      </w:r>
      <w:r w:rsidR="00B97193">
        <w:t xml:space="preserve"> </w:t>
      </w:r>
      <w:r w:rsidRPr="00B97193">
        <w:t>skúseností najmä z</w:t>
      </w:r>
      <w:r w:rsidR="00314454">
        <w:t xml:space="preserve"> </w:t>
      </w:r>
      <w:r w:rsidRPr="00B97193">
        <w:t>programového obdobia 2007 – 2013</w:t>
      </w:r>
      <w:r w:rsidR="00F94C8F">
        <w:t xml:space="preserve"> </w:t>
      </w:r>
      <w:r w:rsidR="00F94C8F" w:rsidRPr="00F94C8F">
        <w:t xml:space="preserve">(ak </w:t>
      </w:r>
      <w:r w:rsidR="00F94C8F">
        <w:t xml:space="preserve">je to </w:t>
      </w:r>
      <w:r w:rsidR="00F94C8F" w:rsidRPr="00F94C8F">
        <w:t xml:space="preserve">relevantné), </w:t>
      </w:r>
      <w:r w:rsidRPr="00B97193">
        <w:t>ale aj z vlastných prieskumov a</w:t>
      </w:r>
      <w:r w:rsidR="00314454">
        <w:t xml:space="preserve"> </w:t>
      </w:r>
      <w:r w:rsidRPr="00B97193">
        <w:t>Analýzy mediálneho trhu v Slovenskej republike, ktorý je prílohou č.</w:t>
      </w:r>
      <w:r w:rsidR="008E6DFA">
        <w:t xml:space="preserve"> </w:t>
      </w:r>
      <w:r w:rsidRPr="00B97193">
        <w:t>3 Metodického pokynu pre informovanie a komunikáciu Európskych štrukturálnych a investičných fondov</w:t>
      </w:r>
      <w:r w:rsidR="008E6DFA">
        <w:t xml:space="preserve"> č. 16</w:t>
      </w:r>
      <w:r w:rsidRPr="00B97193">
        <w:t>. S väčším objemom financií z EŠIF v programovom období 2014 – 2020 však zo strany širokej verejnosti, potenciálnych žiadateľov a žiadateľov o</w:t>
      </w:r>
      <w:r w:rsidR="00F23215">
        <w:t xml:space="preserve"> </w:t>
      </w:r>
      <w:r w:rsidRPr="00B97193">
        <w:t>NFP aj</w:t>
      </w:r>
      <w:r w:rsidR="00314454">
        <w:t xml:space="preserve"> </w:t>
      </w:r>
      <w:r w:rsidRPr="00B97193">
        <w:t xml:space="preserve">prijímateľov vzrastie tlak na dostatočné, presné a komplexné informácie, súvisiace </w:t>
      </w:r>
      <w:r w:rsidR="00314454">
        <w:br/>
      </w:r>
      <w:r w:rsidRPr="00B97193">
        <w:t>s</w:t>
      </w:r>
      <w:r w:rsidR="00314454">
        <w:t xml:space="preserve"> </w:t>
      </w:r>
      <w:r w:rsidRPr="00B97193">
        <w:t>procesom čerpania</w:t>
      </w:r>
      <w:r w:rsidR="00B97193" w:rsidRPr="00B97193">
        <w:t>. V prípade, keď riadiaci orgán nebol zapojený do PO 2007-2013</w:t>
      </w:r>
      <w:r w:rsidR="008E6DFA">
        <w:t>,</w:t>
      </w:r>
      <w:r w:rsidR="00B97193" w:rsidRPr="00B97193">
        <w:t xml:space="preserve"> použije sa Analýza mediálneho trhu v Slovenskej republike, ktor</w:t>
      </w:r>
      <w:r w:rsidR="008E6DFA">
        <w:t>á</w:t>
      </w:r>
      <w:r w:rsidR="00B97193" w:rsidRPr="00B97193">
        <w:t xml:space="preserve"> je prílohou č.</w:t>
      </w:r>
      <w:r w:rsidR="008E6DFA">
        <w:t xml:space="preserve"> </w:t>
      </w:r>
      <w:r w:rsidR="00B97193" w:rsidRPr="00B97193">
        <w:t xml:space="preserve">3 Metodického pokynu pre informovanie a komunikáciu </w:t>
      </w:r>
      <w:r w:rsidR="008E6DFA">
        <w:t>EŠIF č. 16</w:t>
      </w:r>
      <w:r w:rsidR="00B97193" w:rsidRPr="00B97193">
        <w:t xml:space="preserve"> a  Marketingový prieskum trhu na konci programového obdobia 2007-2013, ktorý je prílohou č.</w:t>
      </w:r>
      <w:r w:rsidR="008E6DFA">
        <w:t xml:space="preserve"> </w:t>
      </w:r>
      <w:r w:rsidR="00B97193" w:rsidRPr="00B97193">
        <w:t xml:space="preserve">6 Metodického pokynu pre informovanie a komunikáciu </w:t>
      </w:r>
      <w:r w:rsidR="008E6DFA">
        <w:t>EŠIF</w:t>
      </w:r>
      <w:r w:rsidR="00B97193" w:rsidRPr="00B97193">
        <w:t>.</w:t>
      </w:r>
    </w:p>
    <w:p w14:paraId="04E899C1" w14:textId="07560D13" w:rsidR="000E1B00" w:rsidRPr="0060088C" w:rsidRDefault="00AE166D" w:rsidP="002107A0">
      <w:pPr>
        <w:pStyle w:val="Bezriadkovania"/>
        <w:numPr>
          <w:ilvl w:val="0"/>
          <w:numId w:val="1"/>
        </w:numPr>
        <w:spacing w:before="120" w:after="120"/>
        <w:ind w:left="426" w:hanging="426"/>
        <w:jc w:val="both"/>
      </w:pPr>
      <w:r>
        <w:lastRenderedPageBreak/>
        <w:t>ÚV SR</w:t>
      </w:r>
      <w:r w:rsidR="000E1B00" w:rsidRPr="0060088C">
        <w:t xml:space="preserve">, ako aj riadiace orgány/sprostredkovateľské orgány budú musieť poskytovať </w:t>
      </w:r>
      <w:r w:rsidR="00F94C8F">
        <w:t>dostatočný</w:t>
      </w:r>
      <w:r w:rsidR="000E1B00" w:rsidRPr="0060088C">
        <w:t xml:space="preserve"> objem informácií v</w:t>
      </w:r>
      <w:r w:rsidR="00314454">
        <w:t xml:space="preserve"> </w:t>
      </w:r>
      <w:r w:rsidR="000E1B00" w:rsidRPr="0060088C">
        <w:t>záujme zabezpečenia informovanosti o</w:t>
      </w:r>
      <w:r w:rsidR="00F23215">
        <w:t xml:space="preserve"> </w:t>
      </w:r>
      <w:r w:rsidR="000E1B00" w:rsidRPr="0060088C">
        <w:t>celom procese a jeho transparentnosti</w:t>
      </w:r>
      <w:r w:rsidR="008E6DFA">
        <w:t>.</w:t>
      </w:r>
    </w:p>
    <w:p w14:paraId="6A5F351C" w14:textId="77777777" w:rsidR="007A0A10" w:rsidRPr="007A0A10" w:rsidRDefault="00E37D96" w:rsidP="008A6533">
      <w:pPr>
        <w:pStyle w:val="MPCKO1"/>
        <w:ind w:left="784" w:hanging="784"/>
        <w:jc w:val="both"/>
      </w:pPr>
      <w:bookmarkStart w:id="3" w:name="_Toc469255066"/>
      <w:r>
        <w:t>1</w:t>
      </w:r>
      <w:r w:rsidR="00850467">
        <w:t xml:space="preserve"> </w:t>
      </w:r>
      <w:bookmarkEnd w:id="0"/>
      <w:bookmarkEnd w:id="1"/>
      <w:r w:rsidR="00490454">
        <w:t>Analýza východiskovej situácie</w:t>
      </w:r>
      <w:bookmarkEnd w:id="3"/>
      <w:r w:rsidR="00490454">
        <w:t xml:space="preserve"> </w:t>
      </w:r>
    </w:p>
    <w:p w14:paraId="6185759F" w14:textId="3FB94300" w:rsidR="000E1B00" w:rsidRPr="00C95807" w:rsidRDefault="000E1B00" w:rsidP="001B33C1">
      <w:pPr>
        <w:pStyle w:val="Odsekzoznamu"/>
        <w:numPr>
          <w:ilvl w:val="0"/>
          <w:numId w:val="2"/>
        </w:numPr>
        <w:spacing w:before="120" w:after="120"/>
        <w:ind w:left="426" w:hanging="426"/>
        <w:contextualSpacing w:val="0"/>
        <w:jc w:val="both"/>
      </w:pPr>
      <w:bookmarkStart w:id="4" w:name="_Toc404872046"/>
      <w:bookmarkStart w:id="5" w:name="_Toc404872121"/>
      <w:r w:rsidRPr="0060088C">
        <w:t xml:space="preserve">Cieľom tejto časti je zistiť, aká je východisková situácia na realizáciu </w:t>
      </w:r>
      <w:r w:rsidR="00CD6DE2">
        <w:t>i</w:t>
      </w:r>
      <w:r w:rsidR="00CD6DE2" w:rsidRPr="00CD6DE2">
        <w:t>nformačn</w:t>
      </w:r>
      <w:r w:rsidR="00CD6DE2">
        <w:t>ých</w:t>
      </w:r>
      <w:r w:rsidR="00CD6DE2" w:rsidRPr="00CD6DE2">
        <w:t xml:space="preserve"> a</w:t>
      </w:r>
      <w:r w:rsidR="00CD6DE2">
        <w:t> </w:t>
      </w:r>
      <w:r w:rsidR="00CD6DE2" w:rsidRPr="00CD6DE2">
        <w:t>komunikačn</w:t>
      </w:r>
      <w:r w:rsidR="00CD6DE2">
        <w:t xml:space="preserve">ých </w:t>
      </w:r>
      <w:r w:rsidRPr="0060088C">
        <w:t>aktivít</w:t>
      </w:r>
      <w:r w:rsidR="00CD6DE2">
        <w:t xml:space="preserve"> </w:t>
      </w:r>
      <w:r w:rsidRPr="0060088C">
        <w:t>a</w:t>
      </w:r>
      <w:r w:rsidR="00314454">
        <w:t xml:space="preserve"> </w:t>
      </w:r>
      <w:r w:rsidRPr="0060088C">
        <w:t xml:space="preserve">komunikácie z pohľadu nadväznosti na celkové výsledky </w:t>
      </w:r>
      <w:r w:rsidR="008E6DFA">
        <w:t>k</w:t>
      </w:r>
      <w:r w:rsidRPr="0060088C">
        <w:t>omunikačn</w:t>
      </w:r>
      <w:r w:rsidR="008E6DFA">
        <w:t>ej</w:t>
      </w:r>
      <w:r w:rsidRPr="0060088C">
        <w:t xml:space="preserve"> </w:t>
      </w:r>
      <w:r w:rsidR="008E6DFA">
        <w:t xml:space="preserve">stratégie </w:t>
      </w:r>
      <w:r w:rsidRPr="0060088C">
        <w:t>OP na obdobie 2007</w:t>
      </w:r>
      <w:r w:rsidR="00424167">
        <w:t xml:space="preserve"> </w:t>
      </w:r>
      <w:r w:rsidRPr="0060088C">
        <w:t>- 2013  z pohľadu výsledkov analýzy rozsahu a informovanosti cieľových skupín o dôležitých okruhoch komunikácie a zo stavu súčasného mediálneho prostredia, v rámci ktorého bude realizovaná rozhodujúca časť aktivít informovan</w:t>
      </w:r>
      <w:r w:rsidR="00CD6DE2">
        <w:t>ia</w:t>
      </w:r>
      <w:r w:rsidRPr="0060088C">
        <w:t xml:space="preserve"> a </w:t>
      </w:r>
      <w:r w:rsidR="00CD6DE2">
        <w:t>komunikácie</w:t>
      </w:r>
      <w:r w:rsidRPr="0060088C">
        <w:t xml:space="preserve">. </w:t>
      </w:r>
    </w:p>
    <w:p w14:paraId="57FE37AA" w14:textId="414C235A" w:rsidR="000E1B00" w:rsidRDefault="000E1B00" w:rsidP="001B33C1">
      <w:pPr>
        <w:pStyle w:val="Odsekzoznamu"/>
        <w:numPr>
          <w:ilvl w:val="0"/>
          <w:numId w:val="2"/>
        </w:numPr>
        <w:spacing w:before="120" w:after="120"/>
        <w:ind w:left="426" w:hanging="426"/>
        <w:contextualSpacing w:val="0"/>
        <w:jc w:val="both"/>
      </w:pPr>
      <w:r w:rsidRPr="0060088C">
        <w:t>Z</w:t>
      </w:r>
      <w:r w:rsidR="00F23215">
        <w:t xml:space="preserve"> </w:t>
      </w:r>
      <w:r w:rsidRPr="0060088C">
        <w:t xml:space="preserve">týchto zistení bude vychádzať aj </w:t>
      </w:r>
      <w:r w:rsidRPr="001B33C1">
        <w:t>samotný</w:t>
      </w:r>
      <w:r w:rsidRPr="0060088C">
        <w:t xml:space="preserve"> návrh nástrojov </w:t>
      </w:r>
      <w:r w:rsidR="00CD6DE2" w:rsidRPr="0060088C">
        <w:t>informovan</w:t>
      </w:r>
      <w:r w:rsidR="00CD6DE2">
        <w:t>ia</w:t>
      </w:r>
      <w:r w:rsidR="00CD6DE2" w:rsidRPr="0060088C">
        <w:t xml:space="preserve"> a </w:t>
      </w:r>
      <w:r w:rsidR="00CD6DE2">
        <w:t>komunikácie</w:t>
      </w:r>
      <w:r w:rsidRPr="0060088C">
        <w:t>.</w:t>
      </w:r>
    </w:p>
    <w:p w14:paraId="2DB1FEE9" w14:textId="4F344B00" w:rsidR="001B33C1" w:rsidRDefault="001B33C1" w:rsidP="001B33C1">
      <w:pPr>
        <w:pStyle w:val="Odsekzoznamu"/>
        <w:numPr>
          <w:ilvl w:val="0"/>
          <w:numId w:val="2"/>
        </w:numPr>
        <w:spacing w:before="120" w:after="120"/>
        <w:ind w:left="426" w:hanging="426"/>
        <w:contextualSpacing w:val="0"/>
        <w:jc w:val="both"/>
      </w:pPr>
      <w:r>
        <w:t>K</w:t>
      </w:r>
      <w:r w:rsidRPr="001B33C1">
        <w:t xml:space="preserve">de to je vhodné, </w:t>
      </w:r>
      <w:r>
        <w:t xml:space="preserve">komunikačná stratégia môže obsahovať </w:t>
      </w:r>
      <w:r w:rsidRPr="001B33C1">
        <w:t xml:space="preserve">opis využitia hlavných výsledkov predchádzajúceho </w:t>
      </w:r>
      <w:r>
        <w:t>OP.</w:t>
      </w:r>
    </w:p>
    <w:p w14:paraId="4EAA6BF8" w14:textId="29C1C155" w:rsidR="000E1B00" w:rsidRPr="002A60B6" w:rsidRDefault="000E1B00" w:rsidP="002107A0">
      <w:pPr>
        <w:pStyle w:val="Odsekzoznamu"/>
        <w:numPr>
          <w:ilvl w:val="0"/>
          <w:numId w:val="2"/>
        </w:numPr>
        <w:spacing w:before="120" w:after="120"/>
        <w:ind w:left="426" w:hanging="426"/>
        <w:contextualSpacing w:val="0"/>
        <w:jc w:val="both"/>
      </w:pPr>
      <w:r w:rsidRPr="002A60B6">
        <w:t xml:space="preserve">Dôležitou súčasťou analýzy sú prieskumy, na základe ktorých sa dajú stanoviť ciele, je možné </w:t>
      </w:r>
      <w:proofErr w:type="spellStart"/>
      <w:r w:rsidRPr="002A60B6">
        <w:t>evaluovať</w:t>
      </w:r>
      <w:proofErr w:type="spellEnd"/>
      <w:r w:rsidRPr="002A60B6">
        <w:t xml:space="preserve"> aj efektivitu nástrojov </w:t>
      </w:r>
      <w:r w:rsidR="00CD6DE2" w:rsidRPr="0060088C">
        <w:t>informovan</w:t>
      </w:r>
      <w:r w:rsidR="00CD6DE2">
        <w:t>ia</w:t>
      </w:r>
      <w:r w:rsidR="00CD6DE2" w:rsidRPr="0060088C">
        <w:t xml:space="preserve"> a </w:t>
      </w:r>
      <w:r w:rsidR="00CD6DE2">
        <w:t>komunikácie</w:t>
      </w:r>
      <w:r w:rsidRPr="002A60B6">
        <w:t xml:space="preserve"> a prípadne korigovať komunikačnú stratégiu. </w:t>
      </w:r>
    </w:p>
    <w:p w14:paraId="7AFCE28E" w14:textId="265EC34E" w:rsidR="000E1B00" w:rsidRPr="001B33C1" w:rsidRDefault="000E1B00" w:rsidP="002107A0">
      <w:pPr>
        <w:pStyle w:val="Odsekzoznamu"/>
        <w:numPr>
          <w:ilvl w:val="0"/>
          <w:numId w:val="2"/>
        </w:numPr>
        <w:spacing w:before="120" w:after="120"/>
        <w:ind w:left="426" w:hanging="426"/>
        <w:contextualSpacing w:val="0"/>
        <w:jc w:val="both"/>
      </w:pPr>
      <w:r w:rsidRPr="001B33C1">
        <w:t>V</w:t>
      </w:r>
      <w:r w:rsidR="00D57668" w:rsidRPr="001B33C1">
        <w:t> októbri 2014</w:t>
      </w:r>
      <w:r w:rsidRPr="001B33C1">
        <w:t xml:space="preserve"> sa v</w:t>
      </w:r>
      <w:r w:rsidR="00F23215">
        <w:t xml:space="preserve"> </w:t>
      </w:r>
      <w:r w:rsidRPr="001B33C1">
        <w:t>rámci realizácie informačných a</w:t>
      </w:r>
      <w:r w:rsidR="00F23215">
        <w:t xml:space="preserve"> </w:t>
      </w:r>
      <w:r w:rsidRPr="001B33C1">
        <w:t>komunikačných aktivít Centrálneho koordinačného orgánu realizovala aktivita pod názvom „</w:t>
      </w:r>
      <w:r w:rsidR="00D57668" w:rsidRPr="001B33C1">
        <w:t>Prieskum úrovne povedomia verejnosti o</w:t>
      </w:r>
      <w:r w:rsidR="00F23215">
        <w:t xml:space="preserve"> </w:t>
      </w:r>
      <w:r w:rsidR="00D57668" w:rsidRPr="001B33C1">
        <w:t xml:space="preserve">politike súdržnosti Európskej únie na Slovensku na konci programového obdobia 2007 – 2013 </w:t>
      </w:r>
      <w:r w:rsidRPr="001B33C1">
        <w:t xml:space="preserve"> zameraný na zistenie úrovne povedomia verejnosti o politike súdržnosti EÚ na Slovensku.“  </w:t>
      </w:r>
    </w:p>
    <w:p w14:paraId="528C5D24" w14:textId="25FE04E4" w:rsidR="000E1B00" w:rsidRDefault="000E1B00" w:rsidP="006F386B">
      <w:pPr>
        <w:pStyle w:val="Odsekzoznamu"/>
        <w:numPr>
          <w:ilvl w:val="0"/>
          <w:numId w:val="2"/>
        </w:numPr>
        <w:spacing w:before="120" w:after="120"/>
        <w:ind w:left="426" w:hanging="426"/>
        <w:contextualSpacing w:val="0"/>
        <w:jc w:val="both"/>
      </w:pPr>
      <w:r w:rsidRPr="002A60B6">
        <w:t>Úvodné otázky prieskumu boli tematicky zamerané na mieru informovanosti verejnosti o poskytovaní finančných prostriedkov Európskou úniou,</w:t>
      </w:r>
      <w:r>
        <w:t xml:space="preserve"> </w:t>
      </w:r>
      <w:r w:rsidRPr="002A60B6">
        <w:t xml:space="preserve">kde sa až </w:t>
      </w:r>
      <w:r w:rsidR="006F386B">
        <w:t>42</w:t>
      </w:r>
      <w:r w:rsidRPr="002A60B6">
        <w:t xml:space="preserve">, </w:t>
      </w:r>
      <w:r w:rsidR="006F386B">
        <w:t>6</w:t>
      </w:r>
      <w:r w:rsidRPr="002A60B6">
        <w:t xml:space="preserve"> % respondentov vyjadrilo, že vedia o tom, že Európska únia poskytuje finančné prostriedky na rozvoj rôznych oblastí hospodárstva</w:t>
      </w:r>
      <w:r w:rsidR="006F386B">
        <w:t xml:space="preserve"> a</w:t>
      </w:r>
      <w:r w:rsidR="00F23215">
        <w:t xml:space="preserve"> 4</w:t>
      </w:r>
      <w:r w:rsidR="006F386B">
        <w:t>9 % sa vyjadrilo, že počul</w:t>
      </w:r>
      <w:r w:rsidR="00424167">
        <w:t>o</w:t>
      </w:r>
      <w:r w:rsidR="006F386B">
        <w:t>, že EÚ poskytuje prostriedky, ale nevie o</w:t>
      </w:r>
      <w:r w:rsidR="00F23215">
        <w:t xml:space="preserve"> </w:t>
      </w:r>
      <w:r w:rsidR="006F386B">
        <w:t>tom bližšie</w:t>
      </w:r>
      <w:r w:rsidRPr="002A60B6">
        <w:t xml:space="preserve">. </w:t>
      </w:r>
    </w:p>
    <w:p w14:paraId="6DDE1C25" w14:textId="77777777" w:rsidR="006F386B" w:rsidRDefault="006F386B" w:rsidP="006F386B">
      <w:pPr>
        <w:pStyle w:val="Odsekzoznamu"/>
        <w:spacing w:before="120" w:after="120"/>
        <w:ind w:left="426"/>
        <w:jc w:val="both"/>
      </w:pPr>
      <w:r w:rsidRPr="0012644D">
        <w:rPr>
          <w:rFonts w:cs="Arial"/>
          <w:noProof/>
          <w:sz w:val="20"/>
          <w:szCs w:val="20"/>
        </w:rPr>
        <w:drawing>
          <wp:inline distT="0" distB="0" distL="0" distR="0" wp14:anchorId="1BF2844F" wp14:editId="41CA987A">
            <wp:extent cx="5460521" cy="2908300"/>
            <wp:effectExtent l="0" t="0" r="6985" b="6350"/>
            <wp:docPr id="9" name="Graf 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14:paraId="7CEAB11F" w14:textId="1D0E6171" w:rsidR="006F386B" w:rsidRDefault="006F386B" w:rsidP="00243F83">
      <w:pPr>
        <w:ind w:left="426"/>
        <w:rPr>
          <w:rFonts w:cs="Arial"/>
          <w:sz w:val="20"/>
        </w:rPr>
      </w:pPr>
      <w:r>
        <w:lastRenderedPageBreak/>
        <w:t xml:space="preserve">Operačné programy NSRR SR (vo všeobecnosti) pozná iba 8 % ľudí. Z tých, ktorí tieto operačné programy poznajú, je najvyššia znalosť pre operačné programy OP Doprava </w:t>
      </w:r>
      <w:r w:rsidR="00314454">
        <w:br/>
      </w:r>
      <w:r>
        <w:t>a</w:t>
      </w:r>
      <w:r w:rsidR="00314454">
        <w:t xml:space="preserve"> </w:t>
      </w:r>
      <w:r>
        <w:t xml:space="preserve">OP Vzdelávanie. Najmenej známy je OP Technická pomoc. </w:t>
      </w:r>
    </w:p>
    <w:p w14:paraId="5299F1DD" w14:textId="77777777" w:rsidR="000E1B00" w:rsidRDefault="000E1B00" w:rsidP="006F386B"/>
    <w:p w14:paraId="76E09202" w14:textId="77777777" w:rsidR="006F386B" w:rsidRPr="00BC4524" w:rsidRDefault="006F386B" w:rsidP="00243F83">
      <w:pPr>
        <w:pStyle w:val="popis2"/>
        <w:ind w:firstLine="426"/>
      </w:pPr>
      <w:r w:rsidRPr="00955F9D">
        <w:t>Povedomie o operačných programoch</w:t>
      </w:r>
    </w:p>
    <w:p w14:paraId="204E580E" w14:textId="77777777" w:rsidR="006F386B" w:rsidRDefault="006F386B" w:rsidP="00424167">
      <w:pPr>
        <w:ind w:left="426"/>
        <w:rPr>
          <w:rFonts w:cs="Arial"/>
          <w:sz w:val="20"/>
        </w:rPr>
      </w:pPr>
      <w:r w:rsidRPr="0012644D">
        <w:rPr>
          <w:rFonts w:cs="Arial"/>
          <w:noProof/>
          <w:sz w:val="20"/>
          <w:szCs w:val="20"/>
        </w:rPr>
        <w:drawing>
          <wp:inline distT="0" distB="0" distL="0" distR="0" wp14:anchorId="144848A1" wp14:editId="341706D4">
            <wp:extent cx="5486400" cy="2276475"/>
            <wp:effectExtent l="0" t="0" r="0" b="9525"/>
            <wp:docPr id="21" name="Graf 2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14:paraId="7894D857" w14:textId="77777777" w:rsidR="006F386B" w:rsidRDefault="006F386B" w:rsidP="006F386B">
      <w:pPr>
        <w:rPr>
          <w:rFonts w:cs="Arial"/>
          <w:sz w:val="20"/>
        </w:rPr>
      </w:pPr>
    </w:p>
    <w:p w14:paraId="013C77D9" w14:textId="4BBCF1E2" w:rsidR="006F386B" w:rsidRPr="00BC4524" w:rsidRDefault="006F386B" w:rsidP="00243F83">
      <w:pPr>
        <w:pStyle w:val="popis2"/>
        <w:ind w:firstLine="426"/>
      </w:pPr>
      <w:r w:rsidRPr="003B2D40">
        <w:t>Povedomie o</w:t>
      </w:r>
      <w:r w:rsidR="00314454">
        <w:t xml:space="preserve"> </w:t>
      </w:r>
      <w:r>
        <w:t xml:space="preserve">konkrétnych </w:t>
      </w:r>
      <w:r w:rsidRPr="003B2D40">
        <w:t>operačných programoch</w:t>
      </w:r>
    </w:p>
    <w:p w14:paraId="07CE653A" w14:textId="77777777" w:rsidR="006F386B" w:rsidRDefault="006F386B" w:rsidP="00424167">
      <w:pPr>
        <w:pStyle w:val="Bezriadkovania"/>
        <w:ind w:left="426"/>
      </w:pPr>
      <w:r w:rsidRPr="0012644D">
        <w:rPr>
          <w:noProof/>
          <w:szCs w:val="20"/>
          <w:lang w:eastAsia="sk-SK"/>
        </w:rPr>
        <w:drawing>
          <wp:inline distT="0" distB="0" distL="0" distR="0" wp14:anchorId="726DD1A6" wp14:editId="7A10B6F3">
            <wp:extent cx="5486400" cy="4467225"/>
            <wp:effectExtent l="0" t="0" r="19050" b="9525"/>
            <wp:docPr id="22" name="Graf 2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14:paraId="140E07B0" w14:textId="77777777" w:rsidR="006F386B" w:rsidRDefault="006F386B" w:rsidP="006F386B">
      <w:pPr>
        <w:rPr>
          <w:highlight w:val="yellow"/>
        </w:rPr>
      </w:pPr>
    </w:p>
    <w:p w14:paraId="7949B0F4" w14:textId="77777777" w:rsidR="006F386B" w:rsidRDefault="006F386B" w:rsidP="006F386B">
      <w:pPr>
        <w:spacing w:after="200" w:line="276" w:lineRule="auto"/>
        <w:rPr>
          <w:rFonts w:eastAsia="Calibri"/>
          <w:b/>
          <w:bCs/>
          <w:sz w:val="18"/>
          <w:szCs w:val="18"/>
        </w:rPr>
      </w:pPr>
      <w:r>
        <w:br w:type="page"/>
      </w:r>
    </w:p>
    <w:p w14:paraId="4ABF9014" w14:textId="30431015" w:rsidR="006F386B" w:rsidRPr="009F5D04" w:rsidRDefault="006F386B" w:rsidP="00F365DE">
      <w:pPr>
        <w:pStyle w:val="popis2"/>
        <w:ind w:firstLine="426"/>
      </w:pPr>
      <w:r w:rsidRPr="00881C81">
        <w:lastRenderedPageBreak/>
        <w:t>Povedomie o</w:t>
      </w:r>
      <w:r w:rsidR="00314454">
        <w:t xml:space="preserve"> </w:t>
      </w:r>
      <w:r w:rsidRPr="00881C81">
        <w:t>konkrétnych operačných programoch</w:t>
      </w:r>
    </w:p>
    <w:tbl>
      <w:tblPr>
        <w:tblW w:w="8788" w:type="dxa"/>
        <w:tblInd w:w="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8"/>
        <w:gridCol w:w="1134"/>
        <w:gridCol w:w="1134"/>
        <w:gridCol w:w="1134"/>
        <w:gridCol w:w="1134"/>
        <w:gridCol w:w="1134"/>
      </w:tblGrid>
      <w:tr w:rsidR="006F386B" w:rsidRPr="008A7049" w14:paraId="07356022" w14:textId="77777777" w:rsidTr="00243F83">
        <w:trPr>
          <w:trHeight w:val="255"/>
        </w:trPr>
        <w:tc>
          <w:tcPr>
            <w:tcW w:w="6520" w:type="dxa"/>
            <w:gridSpan w:val="4"/>
            <w:shd w:val="clear" w:color="auto" w:fill="B3B3B3"/>
            <w:noWrap/>
            <w:vAlign w:val="bottom"/>
          </w:tcPr>
          <w:p w14:paraId="32071DCB" w14:textId="77777777" w:rsidR="006F386B" w:rsidRPr="00E75D2F" w:rsidRDefault="006F386B" w:rsidP="00424167">
            <w:pPr>
              <w:rPr>
                <w:rFonts w:cs="Arial"/>
                <w:sz w:val="20"/>
                <w:szCs w:val="20"/>
              </w:rPr>
            </w:pPr>
          </w:p>
          <w:p w14:paraId="560EB602" w14:textId="77777777" w:rsidR="006F386B" w:rsidRPr="00E75D2F" w:rsidRDefault="006F386B" w:rsidP="00424167">
            <w:pPr>
              <w:rPr>
                <w:rFonts w:cs="Arial"/>
                <w:b/>
                <w:sz w:val="20"/>
                <w:szCs w:val="20"/>
              </w:rPr>
            </w:pPr>
            <w:r w:rsidRPr="00E75D2F">
              <w:rPr>
                <w:rFonts w:cs="Arial"/>
                <w:b/>
                <w:sz w:val="20"/>
                <w:szCs w:val="20"/>
              </w:rPr>
              <w:t>Poradie podľa známosti jednotlivých operačných programov</w:t>
            </w:r>
          </w:p>
          <w:p w14:paraId="0D694C96" w14:textId="77777777" w:rsidR="006F386B" w:rsidRPr="00E75D2F" w:rsidRDefault="006F386B" w:rsidP="00424167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B3B3B3"/>
          </w:tcPr>
          <w:p w14:paraId="1BABD283" w14:textId="77777777" w:rsidR="006F386B" w:rsidRPr="008A7049" w:rsidRDefault="006F386B" w:rsidP="00424167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B3B3B3"/>
          </w:tcPr>
          <w:p w14:paraId="29B7B206" w14:textId="77777777" w:rsidR="006F386B" w:rsidRPr="008A7049" w:rsidRDefault="006F386B" w:rsidP="00424167">
            <w:pPr>
              <w:rPr>
                <w:rFonts w:cs="Arial"/>
                <w:sz w:val="20"/>
                <w:szCs w:val="20"/>
              </w:rPr>
            </w:pPr>
          </w:p>
        </w:tc>
      </w:tr>
      <w:tr w:rsidR="00424167" w:rsidRPr="008A7049" w14:paraId="6EED2C41" w14:textId="77777777" w:rsidTr="00424167">
        <w:trPr>
          <w:trHeight w:val="255"/>
        </w:trPr>
        <w:tc>
          <w:tcPr>
            <w:tcW w:w="3118" w:type="dxa"/>
            <w:shd w:val="clear" w:color="auto" w:fill="auto"/>
            <w:noWrap/>
            <w:vAlign w:val="bottom"/>
          </w:tcPr>
          <w:p w14:paraId="25B5A490" w14:textId="77777777" w:rsidR="006F386B" w:rsidRPr="00E75D2F" w:rsidRDefault="006F386B" w:rsidP="00424167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4476E23B" w14:textId="17CCD2EB" w:rsidR="006F386B" w:rsidRPr="00E75D2F" w:rsidRDefault="006F386B" w:rsidP="00424167">
            <w:pPr>
              <w:rPr>
                <w:rFonts w:cs="Arial"/>
                <w:i/>
                <w:sz w:val="20"/>
                <w:szCs w:val="20"/>
              </w:rPr>
            </w:pPr>
            <w:r w:rsidRPr="008A7049">
              <w:rPr>
                <w:rFonts w:cs="Arial"/>
                <w:i/>
                <w:sz w:val="20"/>
                <w:szCs w:val="20"/>
              </w:rPr>
              <w:t xml:space="preserve">Poradie </w:t>
            </w:r>
            <w:proofErr w:type="spellStart"/>
            <w:r w:rsidRPr="008A7049">
              <w:rPr>
                <w:rFonts w:cs="Arial"/>
                <w:i/>
                <w:sz w:val="20"/>
                <w:szCs w:val="20"/>
              </w:rPr>
              <w:t>vroku</w:t>
            </w:r>
            <w:proofErr w:type="spellEnd"/>
            <w:r w:rsidRPr="008A7049">
              <w:rPr>
                <w:rFonts w:cs="Arial"/>
                <w:i/>
                <w:sz w:val="20"/>
                <w:szCs w:val="20"/>
              </w:rPr>
              <w:t xml:space="preserve"> 2014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1FD1DAEF" w14:textId="77777777" w:rsidR="006F386B" w:rsidRPr="00E75D2F" w:rsidRDefault="006F386B" w:rsidP="00424167">
            <w:pPr>
              <w:rPr>
                <w:rFonts w:cs="Arial"/>
                <w:i/>
                <w:sz w:val="20"/>
                <w:szCs w:val="20"/>
              </w:rPr>
            </w:pPr>
            <w:r w:rsidRPr="00E75D2F">
              <w:rPr>
                <w:rFonts w:cs="Arial"/>
                <w:i/>
                <w:sz w:val="20"/>
                <w:szCs w:val="20"/>
              </w:rPr>
              <w:t>Poradie v roku 2011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50C8D312" w14:textId="77777777" w:rsidR="006F386B" w:rsidRPr="00E75D2F" w:rsidRDefault="006F386B" w:rsidP="00424167">
            <w:pPr>
              <w:rPr>
                <w:rFonts w:cs="Arial"/>
                <w:i/>
                <w:sz w:val="20"/>
                <w:szCs w:val="20"/>
              </w:rPr>
            </w:pPr>
            <w:r w:rsidRPr="00E75D2F">
              <w:rPr>
                <w:rFonts w:cs="Arial"/>
                <w:i/>
                <w:sz w:val="20"/>
                <w:szCs w:val="20"/>
              </w:rPr>
              <w:t>Poradie v roku 2008</w:t>
            </w:r>
          </w:p>
        </w:tc>
        <w:tc>
          <w:tcPr>
            <w:tcW w:w="1134" w:type="dxa"/>
            <w:vAlign w:val="bottom"/>
          </w:tcPr>
          <w:p w14:paraId="435647FC" w14:textId="77777777" w:rsidR="006F386B" w:rsidRDefault="006F386B" w:rsidP="00424167">
            <w:pPr>
              <w:rPr>
                <w:rFonts w:cs="Arial"/>
                <w:i/>
                <w:sz w:val="20"/>
                <w:szCs w:val="20"/>
              </w:rPr>
            </w:pPr>
            <w:r>
              <w:rPr>
                <w:rFonts w:cs="Arial"/>
                <w:i/>
                <w:sz w:val="20"/>
                <w:szCs w:val="20"/>
              </w:rPr>
              <w:t>R</w:t>
            </w:r>
            <w:r w:rsidRPr="00E75D2F">
              <w:rPr>
                <w:rFonts w:cs="Arial"/>
                <w:i/>
                <w:sz w:val="20"/>
                <w:szCs w:val="20"/>
              </w:rPr>
              <w:t>ozdiel v</w:t>
            </w:r>
            <w:r>
              <w:rPr>
                <w:rFonts w:cs="Arial"/>
                <w:i/>
                <w:sz w:val="20"/>
                <w:szCs w:val="20"/>
              </w:rPr>
              <w:t> </w:t>
            </w:r>
            <w:r w:rsidRPr="00E75D2F">
              <w:rPr>
                <w:rFonts w:cs="Arial"/>
                <w:i/>
                <w:sz w:val="20"/>
                <w:szCs w:val="20"/>
              </w:rPr>
              <w:t>poradí</w:t>
            </w:r>
          </w:p>
          <w:p w14:paraId="60145E58" w14:textId="77777777" w:rsidR="006F386B" w:rsidRPr="00E75D2F" w:rsidRDefault="006F386B" w:rsidP="00424167">
            <w:pPr>
              <w:rPr>
                <w:rFonts w:cs="Arial"/>
                <w:i/>
                <w:sz w:val="20"/>
                <w:szCs w:val="20"/>
              </w:rPr>
            </w:pPr>
            <w:r w:rsidRPr="008A7049">
              <w:rPr>
                <w:rFonts w:cs="Arial"/>
                <w:i/>
                <w:sz w:val="20"/>
                <w:szCs w:val="20"/>
              </w:rPr>
              <w:t>201</w:t>
            </w:r>
            <w:r>
              <w:rPr>
                <w:rFonts w:cs="Arial"/>
                <w:i/>
                <w:sz w:val="20"/>
                <w:szCs w:val="20"/>
              </w:rPr>
              <w:t>1</w:t>
            </w:r>
            <w:r w:rsidRPr="008A7049">
              <w:rPr>
                <w:rFonts w:cs="Arial"/>
                <w:i/>
                <w:sz w:val="20"/>
                <w:szCs w:val="20"/>
              </w:rPr>
              <w:t>-201</w:t>
            </w:r>
            <w:r>
              <w:rPr>
                <w:rFonts w:cs="Arial"/>
                <w:i/>
                <w:sz w:val="20"/>
                <w:szCs w:val="20"/>
              </w:rPr>
              <w:t>4</w:t>
            </w:r>
          </w:p>
        </w:tc>
        <w:tc>
          <w:tcPr>
            <w:tcW w:w="1134" w:type="dxa"/>
            <w:vAlign w:val="bottom"/>
          </w:tcPr>
          <w:p w14:paraId="087440F8" w14:textId="0922A722" w:rsidR="006F386B" w:rsidRPr="00E75D2F" w:rsidRDefault="006F386B" w:rsidP="00424167">
            <w:pPr>
              <w:rPr>
                <w:rFonts w:cs="Arial"/>
                <w:i/>
                <w:sz w:val="20"/>
                <w:szCs w:val="20"/>
              </w:rPr>
            </w:pPr>
            <w:r>
              <w:rPr>
                <w:rFonts w:cs="Arial"/>
                <w:i/>
                <w:sz w:val="20"/>
                <w:szCs w:val="20"/>
              </w:rPr>
              <w:t>R</w:t>
            </w:r>
            <w:r w:rsidRPr="00E75D2F">
              <w:rPr>
                <w:rFonts w:cs="Arial"/>
                <w:i/>
                <w:sz w:val="20"/>
                <w:szCs w:val="20"/>
              </w:rPr>
              <w:t>ozdiel v</w:t>
            </w:r>
            <w:r w:rsidR="00424167">
              <w:rPr>
                <w:rFonts w:cs="Arial"/>
                <w:i/>
                <w:sz w:val="20"/>
                <w:szCs w:val="20"/>
              </w:rPr>
              <w:t> </w:t>
            </w:r>
            <w:r w:rsidRPr="00E75D2F">
              <w:rPr>
                <w:rFonts w:cs="Arial"/>
                <w:i/>
                <w:sz w:val="20"/>
                <w:szCs w:val="20"/>
              </w:rPr>
              <w:t>poradí</w:t>
            </w:r>
            <w:r w:rsidR="00424167">
              <w:rPr>
                <w:rFonts w:cs="Arial"/>
                <w:i/>
                <w:sz w:val="20"/>
                <w:szCs w:val="20"/>
              </w:rPr>
              <w:t xml:space="preserve"> </w:t>
            </w:r>
            <w:r w:rsidRPr="008A7049">
              <w:rPr>
                <w:rFonts w:cs="Arial"/>
                <w:i/>
                <w:sz w:val="20"/>
                <w:szCs w:val="20"/>
              </w:rPr>
              <w:t>20</w:t>
            </w:r>
            <w:r>
              <w:rPr>
                <w:rFonts w:cs="Arial"/>
                <w:i/>
                <w:sz w:val="20"/>
                <w:szCs w:val="20"/>
              </w:rPr>
              <w:t>08-2011</w:t>
            </w:r>
          </w:p>
        </w:tc>
      </w:tr>
      <w:tr w:rsidR="00424167" w:rsidRPr="008A7049" w14:paraId="4196FD04" w14:textId="77777777" w:rsidTr="00424167">
        <w:trPr>
          <w:trHeight w:val="255"/>
        </w:trPr>
        <w:tc>
          <w:tcPr>
            <w:tcW w:w="3118" w:type="dxa"/>
            <w:shd w:val="clear" w:color="auto" w:fill="auto"/>
            <w:noWrap/>
            <w:vAlign w:val="bottom"/>
          </w:tcPr>
          <w:p w14:paraId="1BC7A25E" w14:textId="77777777" w:rsidR="006F386B" w:rsidRPr="00E75D2F" w:rsidRDefault="006F386B" w:rsidP="00424167">
            <w:pPr>
              <w:rPr>
                <w:rFonts w:cs="Arial"/>
                <w:b/>
                <w:sz w:val="20"/>
                <w:szCs w:val="20"/>
              </w:rPr>
            </w:pPr>
            <w:r w:rsidRPr="00E75D2F">
              <w:rPr>
                <w:rFonts w:cs="Arial"/>
                <w:b/>
                <w:sz w:val="20"/>
                <w:szCs w:val="20"/>
              </w:rPr>
              <w:t>OP Doprava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54ACA13A" w14:textId="77777777" w:rsidR="006F386B" w:rsidRPr="00E75D2F" w:rsidRDefault="006F386B" w:rsidP="00424167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1.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7DB206EF" w14:textId="77777777" w:rsidR="006F386B" w:rsidRPr="00E75D2F" w:rsidRDefault="006F386B" w:rsidP="00424167">
            <w:pPr>
              <w:jc w:val="center"/>
              <w:rPr>
                <w:rFonts w:cs="Arial"/>
                <w:sz w:val="20"/>
                <w:szCs w:val="20"/>
              </w:rPr>
            </w:pPr>
            <w:r w:rsidRPr="00E75D2F">
              <w:rPr>
                <w:rFonts w:cs="Arial"/>
                <w:sz w:val="20"/>
                <w:szCs w:val="20"/>
              </w:rPr>
              <w:t>2.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31C0E900" w14:textId="77777777" w:rsidR="006F386B" w:rsidRPr="00E75D2F" w:rsidRDefault="006F386B" w:rsidP="00424167">
            <w:pPr>
              <w:jc w:val="center"/>
              <w:rPr>
                <w:rFonts w:cs="Arial"/>
                <w:sz w:val="20"/>
                <w:szCs w:val="20"/>
              </w:rPr>
            </w:pPr>
            <w:r w:rsidRPr="00E75D2F">
              <w:rPr>
                <w:rFonts w:cs="Arial"/>
                <w:sz w:val="20"/>
                <w:szCs w:val="20"/>
              </w:rPr>
              <w:t>1.</w:t>
            </w:r>
          </w:p>
        </w:tc>
        <w:tc>
          <w:tcPr>
            <w:tcW w:w="1134" w:type="dxa"/>
            <w:vAlign w:val="bottom"/>
          </w:tcPr>
          <w:p w14:paraId="50B76750" w14:textId="77777777" w:rsidR="006F386B" w:rsidRPr="00E75D2F" w:rsidRDefault="006F386B" w:rsidP="00424167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bottom"/>
          </w:tcPr>
          <w:p w14:paraId="27033863" w14:textId="77777777" w:rsidR="006F386B" w:rsidRPr="00E75D2F" w:rsidRDefault="006F386B" w:rsidP="00424167">
            <w:pPr>
              <w:jc w:val="center"/>
              <w:rPr>
                <w:rFonts w:cs="Arial"/>
                <w:sz w:val="20"/>
                <w:szCs w:val="20"/>
              </w:rPr>
            </w:pPr>
            <w:r w:rsidRPr="00E75D2F">
              <w:rPr>
                <w:rFonts w:cs="Arial"/>
                <w:sz w:val="20"/>
                <w:szCs w:val="20"/>
              </w:rPr>
              <w:t>-1</w:t>
            </w:r>
          </w:p>
        </w:tc>
      </w:tr>
      <w:tr w:rsidR="00424167" w:rsidRPr="008A7049" w14:paraId="02EB1E62" w14:textId="77777777" w:rsidTr="00424167">
        <w:trPr>
          <w:trHeight w:val="255"/>
        </w:trPr>
        <w:tc>
          <w:tcPr>
            <w:tcW w:w="3118" w:type="dxa"/>
            <w:shd w:val="clear" w:color="auto" w:fill="auto"/>
            <w:noWrap/>
            <w:vAlign w:val="bottom"/>
          </w:tcPr>
          <w:p w14:paraId="58754E21" w14:textId="77777777" w:rsidR="006F386B" w:rsidRPr="00E75D2F" w:rsidRDefault="006F386B" w:rsidP="00424167">
            <w:pPr>
              <w:rPr>
                <w:rFonts w:cs="Arial"/>
                <w:b/>
                <w:sz w:val="20"/>
                <w:szCs w:val="20"/>
              </w:rPr>
            </w:pPr>
            <w:r w:rsidRPr="00E75D2F">
              <w:rPr>
                <w:rFonts w:cs="Arial"/>
                <w:b/>
                <w:sz w:val="20"/>
                <w:szCs w:val="20"/>
              </w:rPr>
              <w:t>OP Vzdelávanie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2743335D" w14:textId="77777777" w:rsidR="006F386B" w:rsidRPr="00E75D2F" w:rsidRDefault="006F386B" w:rsidP="00424167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2.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5816356D" w14:textId="77777777" w:rsidR="006F386B" w:rsidRPr="00E75D2F" w:rsidRDefault="006F386B" w:rsidP="00424167">
            <w:pPr>
              <w:jc w:val="center"/>
              <w:rPr>
                <w:rFonts w:cs="Arial"/>
                <w:sz w:val="20"/>
                <w:szCs w:val="20"/>
              </w:rPr>
            </w:pPr>
            <w:r w:rsidRPr="00E75D2F">
              <w:rPr>
                <w:rFonts w:cs="Arial"/>
                <w:sz w:val="20"/>
                <w:szCs w:val="20"/>
              </w:rPr>
              <w:t>6.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670C6ABD" w14:textId="77777777" w:rsidR="006F386B" w:rsidRPr="00E75D2F" w:rsidRDefault="006F386B" w:rsidP="00424167">
            <w:pPr>
              <w:jc w:val="center"/>
              <w:rPr>
                <w:rFonts w:cs="Arial"/>
                <w:sz w:val="20"/>
                <w:szCs w:val="20"/>
              </w:rPr>
            </w:pPr>
            <w:r w:rsidRPr="00E75D2F">
              <w:rPr>
                <w:rFonts w:cs="Arial"/>
                <w:sz w:val="20"/>
                <w:szCs w:val="20"/>
              </w:rPr>
              <w:t>2.</w:t>
            </w:r>
          </w:p>
        </w:tc>
        <w:tc>
          <w:tcPr>
            <w:tcW w:w="1134" w:type="dxa"/>
            <w:vAlign w:val="bottom"/>
          </w:tcPr>
          <w:p w14:paraId="6267D430" w14:textId="77777777" w:rsidR="006F386B" w:rsidRPr="00E75D2F" w:rsidRDefault="006F386B" w:rsidP="00424167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1134" w:type="dxa"/>
            <w:vAlign w:val="bottom"/>
          </w:tcPr>
          <w:p w14:paraId="4444151F" w14:textId="77777777" w:rsidR="006F386B" w:rsidRPr="00E75D2F" w:rsidRDefault="006F386B" w:rsidP="00424167">
            <w:pPr>
              <w:jc w:val="center"/>
              <w:rPr>
                <w:rFonts w:cs="Arial"/>
                <w:sz w:val="20"/>
                <w:szCs w:val="20"/>
              </w:rPr>
            </w:pPr>
            <w:r w:rsidRPr="00E75D2F">
              <w:rPr>
                <w:rFonts w:cs="Arial"/>
                <w:sz w:val="20"/>
                <w:szCs w:val="20"/>
              </w:rPr>
              <w:t>-4</w:t>
            </w:r>
          </w:p>
        </w:tc>
      </w:tr>
      <w:tr w:rsidR="00424167" w:rsidRPr="008A7049" w14:paraId="7FE1FC7A" w14:textId="77777777" w:rsidTr="00424167">
        <w:trPr>
          <w:trHeight w:val="255"/>
        </w:trPr>
        <w:tc>
          <w:tcPr>
            <w:tcW w:w="3118" w:type="dxa"/>
            <w:shd w:val="clear" w:color="auto" w:fill="auto"/>
            <w:noWrap/>
            <w:vAlign w:val="bottom"/>
          </w:tcPr>
          <w:p w14:paraId="10F93A18" w14:textId="77777777" w:rsidR="006F386B" w:rsidRPr="00E75D2F" w:rsidRDefault="006F386B" w:rsidP="00424167">
            <w:pPr>
              <w:rPr>
                <w:rFonts w:cs="Arial"/>
                <w:b/>
                <w:sz w:val="20"/>
                <w:szCs w:val="20"/>
              </w:rPr>
            </w:pPr>
            <w:r w:rsidRPr="00E75D2F">
              <w:rPr>
                <w:rFonts w:cs="Arial"/>
                <w:b/>
                <w:sz w:val="20"/>
                <w:szCs w:val="20"/>
              </w:rPr>
              <w:t>OP Zamestnanosť a sociálna inklúzia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44366FCE" w14:textId="77777777" w:rsidR="006F386B" w:rsidRPr="00E75D2F" w:rsidRDefault="006F386B" w:rsidP="00424167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3.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776C0E72" w14:textId="77777777" w:rsidR="006F386B" w:rsidRPr="00E75D2F" w:rsidRDefault="006F386B" w:rsidP="00424167">
            <w:pPr>
              <w:jc w:val="center"/>
              <w:rPr>
                <w:rFonts w:cs="Arial"/>
                <w:sz w:val="20"/>
                <w:szCs w:val="20"/>
              </w:rPr>
            </w:pPr>
            <w:r w:rsidRPr="00E75D2F">
              <w:rPr>
                <w:rFonts w:cs="Arial"/>
                <w:sz w:val="20"/>
                <w:szCs w:val="20"/>
              </w:rPr>
              <w:t>5.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077318BD" w14:textId="77777777" w:rsidR="006F386B" w:rsidRPr="00E75D2F" w:rsidRDefault="006F386B" w:rsidP="00424167">
            <w:pPr>
              <w:jc w:val="center"/>
              <w:rPr>
                <w:rFonts w:cs="Arial"/>
                <w:sz w:val="20"/>
                <w:szCs w:val="20"/>
              </w:rPr>
            </w:pPr>
            <w:r w:rsidRPr="00E75D2F">
              <w:rPr>
                <w:rFonts w:cs="Arial"/>
                <w:sz w:val="20"/>
                <w:szCs w:val="20"/>
              </w:rPr>
              <w:t>6.</w:t>
            </w:r>
          </w:p>
        </w:tc>
        <w:tc>
          <w:tcPr>
            <w:tcW w:w="1134" w:type="dxa"/>
            <w:vAlign w:val="bottom"/>
          </w:tcPr>
          <w:p w14:paraId="6588BEBC" w14:textId="77777777" w:rsidR="006F386B" w:rsidRPr="00E75D2F" w:rsidRDefault="006F386B" w:rsidP="00424167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1134" w:type="dxa"/>
            <w:vAlign w:val="bottom"/>
          </w:tcPr>
          <w:p w14:paraId="4A0A155A" w14:textId="77777777" w:rsidR="006F386B" w:rsidRPr="00E75D2F" w:rsidRDefault="006F386B" w:rsidP="00424167">
            <w:pPr>
              <w:jc w:val="center"/>
              <w:rPr>
                <w:rFonts w:cs="Arial"/>
                <w:sz w:val="20"/>
                <w:szCs w:val="20"/>
              </w:rPr>
            </w:pPr>
            <w:r w:rsidRPr="00E75D2F">
              <w:rPr>
                <w:rFonts w:cs="Arial"/>
                <w:sz w:val="20"/>
                <w:szCs w:val="20"/>
              </w:rPr>
              <w:t>1</w:t>
            </w:r>
          </w:p>
        </w:tc>
      </w:tr>
      <w:tr w:rsidR="00424167" w:rsidRPr="008A7049" w14:paraId="22675792" w14:textId="77777777" w:rsidTr="00424167">
        <w:trPr>
          <w:trHeight w:val="255"/>
        </w:trPr>
        <w:tc>
          <w:tcPr>
            <w:tcW w:w="3118" w:type="dxa"/>
            <w:shd w:val="clear" w:color="auto" w:fill="auto"/>
            <w:noWrap/>
            <w:vAlign w:val="bottom"/>
          </w:tcPr>
          <w:p w14:paraId="1B9FCBE9" w14:textId="2DFE1111" w:rsidR="006F386B" w:rsidRPr="00E75D2F" w:rsidRDefault="006F386B" w:rsidP="00424167">
            <w:pPr>
              <w:rPr>
                <w:rFonts w:cs="Arial"/>
                <w:b/>
                <w:sz w:val="20"/>
                <w:szCs w:val="20"/>
              </w:rPr>
            </w:pPr>
            <w:r w:rsidRPr="00E75D2F">
              <w:rPr>
                <w:rFonts w:cs="Arial"/>
                <w:b/>
                <w:sz w:val="20"/>
                <w:szCs w:val="20"/>
              </w:rPr>
              <w:t xml:space="preserve">OP Výskum </w:t>
            </w:r>
            <w:r w:rsidR="00F23215">
              <w:rPr>
                <w:rFonts w:cs="Arial"/>
                <w:b/>
                <w:sz w:val="20"/>
                <w:szCs w:val="20"/>
              </w:rPr>
              <w:t xml:space="preserve">a </w:t>
            </w:r>
            <w:r w:rsidRPr="00E75D2F">
              <w:rPr>
                <w:rFonts w:cs="Arial"/>
                <w:b/>
                <w:sz w:val="20"/>
                <w:szCs w:val="20"/>
              </w:rPr>
              <w:t>vývoj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5C5E5939" w14:textId="77777777" w:rsidR="006F386B" w:rsidRPr="00E75D2F" w:rsidRDefault="006F386B" w:rsidP="00424167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4.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2A91C6A9" w14:textId="77777777" w:rsidR="006F386B" w:rsidRPr="00E75D2F" w:rsidRDefault="006F386B" w:rsidP="00424167">
            <w:pPr>
              <w:jc w:val="center"/>
              <w:rPr>
                <w:rFonts w:cs="Arial"/>
                <w:sz w:val="20"/>
                <w:szCs w:val="20"/>
              </w:rPr>
            </w:pPr>
            <w:r w:rsidRPr="00E75D2F">
              <w:rPr>
                <w:rFonts w:cs="Arial"/>
                <w:sz w:val="20"/>
                <w:szCs w:val="20"/>
              </w:rPr>
              <w:t>4.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357F0AE6" w14:textId="77777777" w:rsidR="006F386B" w:rsidRPr="00E75D2F" w:rsidRDefault="006F386B" w:rsidP="00424167">
            <w:pPr>
              <w:jc w:val="center"/>
              <w:rPr>
                <w:rFonts w:cs="Arial"/>
                <w:sz w:val="20"/>
                <w:szCs w:val="20"/>
              </w:rPr>
            </w:pPr>
            <w:r w:rsidRPr="00E75D2F">
              <w:rPr>
                <w:rFonts w:cs="Arial"/>
                <w:sz w:val="20"/>
                <w:szCs w:val="20"/>
              </w:rPr>
              <w:t>7.</w:t>
            </w:r>
          </w:p>
        </w:tc>
        <w:tc>
          <w:tcPr>
            <w:tcW w:w="1134" w:type="dxa"/>
            <w:vAlign w:val="bottom"/>
          </w:tcPr>
          <w:p w14:paraId="65D1FAA9" w14:textId="77777777" w:rsidR="006F386B" w:rsidRPr="00E75D2F" w:rsidRDefault="006F386B" w:rsidP="00424167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bottom"/>
          </w:tcPr>
          <w:p w14:paraId="438A0ED2" w14:textId="77777777" w:rsidR="006F386B" w:rsidRPr="00E75D2F" w:rsidRDefault="006F386B" w:rsidP="00424167">
            <w:pPr>
              <w:jc w:val="center"/>
              <w:rPr>
                <w:rFonts w:cs="Arial"/>
                <w:sz w:val="20"/>
                <w:szCs w:val="20"/>
              </w:rPr>
            </w:pPr>
            <w:r w:rsidRPr="00E75D2F">
              <w:rPr>
                <w:rFonts w:cs="Arial"/>
                <w:sz w:val="20"/>
                <w:szCs w:val="20"/>
              </w:rPr>
              <w:t>3</w:t>
            </w:r>
          </w:p>
        </w:tc>
      </w:tr>
      <w:tr w:rsidR="00424167" w:rsidRPr="008A7049" w14:paraId="22859F1C" w14:textId="77777777" w:rsidTr="00424167">
        <w:trPr>
          <w:trHeight w:val="255"/>
        </w:trPr>
        <w:tc>
          <w:tcPr>
            <w:tcW w:w="3118" w:type="dxa"/>
            <w:shd w:val="clear" w:color="auto" w:fill="auto"/>
            <w:noWrap/>
            <w:vAlign w:val="bottom"/>
          </w:tcPr>
          <w:p w14:paraId="7197483D" w14:textId="77777777" w:rsidR="006F386B" w:rsidRPr="00E75D2F" w:rsidRDefault="006F386B" w:rsidP="00424167">
            <w:pPr>
              <w:rPr>
                <w:rFonts w:cs="Arial"/>
                <w:b/>
                <w:sz w:val="20"/>
                <w:szCs w:val="20"/>
              </w:rPr>
            </w:pPr>
            <w:r w:rsidRPr="00E75D2F">
              <w:rPr>
                <w:rFonts w:cs="Arial"/>
                <w:b/>
                <w:sz w:val="20"/>
                <w:szCs w:val="20"/>
              </w:rPr>
              <w:t>Regionálny operačný program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53BB41F2" w14:textId="77777777" w:rsidR="006F386B" w:rsidRPr="00E75D2F" w:rsidRDefault="006F386B" w:rsidP="00424167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5.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51DDCF6F" w14:textId="77777777" w:rsidR="006F386B" w:rsidRPr="00E75D2F" w:rsidRDefault="006F386B" w:rsidP="00424167">
            <w:pPr>
              <w:jc w:val="center"/>
              <w:rPr>
                <w:rFonts w:cs="Arial"/>
                <w:sz w:val="20"/>
                <w:szCs w:val="20"/>
              </w:rPr>
            </w:pPr>
            <w:r w:rsidRPr="00E75D2F">
              <w:rPr>
                <w:rFonts w:cs="Arial"/>
                <w:sz w:val="20"/>
                <w:szCs w:val="20"/>
              </w:rPr>
              <w:t>3.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456BAC17" w14:textId="77777777" w:rsidR="006F386B" w:rsidRPr="00E75D2F" w:rsidRDefault="006F386B" w:rsidP="00424167">
            <w:pPr>
              <w:jc w:val="center"/>
              <w:rPr>
                <w:rFonts w:cs="Arial"/>
                <w:sz w:val="20"/>
                <w:szCs w:val="20"/>
              </w:rPr>
            </w:pPr>
            <w:r w:rsidRPr="00E75D2F">
              <w:rPr>
                <w:rFonts w:cs="Arial"/>
                <w:sz w:val="20"/>
                <w:szCs w:val="20"/>
              </w:rPr>
              <w:t>3.</w:t>
            </w:r>
          </w:p>
        </w:tc>
        <w:tc>
          <w:tcPr>
            <w:tcW w:w="1134" w:type="dxa"/>
            <w:vAlign w:val="bottom"/>
          </w:tcPr>
          <w:p w14:paraId="4EB5D53B" w14:textId="77777777" w:rsidR="006F386B" w:rsidRPr="00E75D2F" w:rsidRDefault="006F386B" w:rsidP="00424167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-2</w:t>
            </w:r>
          </w:p>
        </w:tc>
        <w:tc>
          <w:tcPr>
            <w:tcW w:w="1134" w:type="dxa"/>
            <w:vAlign w:val="bottom"/>
          </w:tcPr>
          <w:p w14:paraId="30C22156" w14:textId="77777777" w:rsidR="006F386B" w:rsidRPr="00E75D2F" w:rsidRDefault="006F386B" w:rsidP="00424167">
            <w:pPr>
              <w:jc w:val="center"/>
              <w:rPr>
                <w:rFonts w:cs="Arial"/>
                <w:sz w:val="20"/>
                <w:szCs w:val="20"/>
              </w:rPr>
            </w:pPr>
            <w:r w:rsidRPr="00E75D2F">
              <w:rPr>
                <w:rFonts w:cs="Arial"/>
                <w:sz w:val="20"/>
                <w:szCs w:val="20"/>
              </w:rPr>
              <w:t>0</w:t>
            </w:r>
          </w:p>
        </w:tc>
      </w:tr>
      <w:tr w:rsidR="00424167" w:rsidRPr="008A7049" w14:paraId="536A9754" w14:textId="77777777" w:rsidTr="00424167">
        <w:trPr>
          <w:trHeight w:val="255"/>
        </w:trPr>
        <w:tc>
          <w:tcPr>
            <w:tcW w:w="3118" w:type="dxa"/>
            <w:shd w:val="clear" w:color="auto" w:fill="auto"/>
            <w:noWrap/>
            <w:vAlign w:val="bottom"/>
          </w:tcPr>
          <w:p w14:paraId="7B35B7DB" w14:textId="77777777" w:rsidR="006F386B" w:rsidRPr="00E75D2F" w:rsidRDefault="006F386B" w:rsidP="00424167">
            <w:pPr>
              <w:rPr>
                <w:rFonts w:cs="Arial"/>
                <w:b/>
                <w:sz w:val="20"/>
                <w:szCs w:val="20"/>
              </w:rPr>
            </w:pPr>
            <w:r w:rsidRPr="00E75D2F">
              <w:rPr>
                <w:rFonts w:cs="Arial"/>
                <w:b/>
                <w:sz w:val="20"/>
                <w:szCs w:val="20"/>
              </w:rPr>
              <w:t>OP Životné prostredie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56DB3FB9" w14:textId="77777777" w:rsidR="006F386B" w:rsidRPr="00E75D2F" w:rsidRDefault="006F386B" w:rsidP="00424167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6.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34287D17" w14:textId="77777777" w:rsidR="006F386B" w:rsidRPr="00E75D2F" w:rsidRDefault="006F386B" w:rsidP="00424167">
            <w:pPr>
              <w:jc w:val="center"/>
              <w:rPr>
                <w:rFonts w:cs="Arial"/>
                <w:sz w:val="20"/>
                <w:szCs w:val="20"/>
              </w:rPr>
            </w:pPr>
            <w:r w:rsidRPr="00E75D2F">
              <w:rPr>
                <w:rFonts w:cs="Arial"/>
                <w:sz w:val="20"/>
                <w:szCs w:val="20"/>
              </w:rPr>
              <w:t>1.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1053AFE1" w14:textId="77777777" w:rsidR="006F386B" w:rsidRPr="00E75D2F" w:rsidRDefault="006F386B" w:rsidP="00424167">
            <w:pPr>
              <w:jc w:val="center"/>
              <w:rPr>
                <w:rFonts w:cs="Arial"/>
                <w:sz w:val="20"/>
                <w:szCs w:val="20"/>
              </w:rPr>
            </w:pPr>
            <w:r w:rsidRPr="00E75D2F">
              <w:rPr>
                <w:rFonts w:cs="Arial"/>
                <w:sz w:val="20"/>
                <w:szCs w:val="20"/>
              </w:rPr>
              <w:t>4.</w:t>
            </w:r>
          </w:p>
        </w:tc>
        <w:tc>
          <w:tcPr>
            <w:tcW w:w="1134" w:type="dxa"/>
            <w:vAlign w:val="bottom"/>
          </w:tcPr>
          <w:p w14:paraId="758EFA04" w14:textId="77777777" w:rsidR="006F386B" w:rsidRPr="00E75D2F" w:rsidRDefault="006F386B" w:rsidP="00424167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-5</w:t>
            </w:r>
          </w:p>
        </w:tc>
        <w:tc>
          <w:tcPr>
            <w:tcW w:w="1134" w:type="dxa"/>
            <w:vAlign w:val="bottom"/>
          </w:tcPr>
          <w:p w14:paraId="091A5CE6" w14:textId="77777777" w:rsidR="006F386B" w:rsidRPr="00E75D2F" w:rsidRDefault="006F386B" w:rsidP="00424167">
            <w:pPr>
              <w:jc w:val="center"/>
              <w:rPr>
                <w:rFonts w:cs="Arial"/>
                <w:sz w:val="20"/>
                <w:szCs w:val="20"/>
              </w:rPr>
            </w:pPr>
            <w:r w:rsidRPr="00E75D2F">
              <w:rPr>
                <w:rFonts w:cs="Arial"/>
                <w:sz w:val="20"/>
                <w:szCs w:val="20"/>
              </w:rPr>
              <w:t>3</w:t>
            </w:r>
          </w:p>
        </w:tc>
      </w:tr>
      <w:tr w:rsidR="00424167" w:rsidRPr="008A7049" w14:paraId="0E88BCC2" w14:textId="77777777" w:rsidTr="00424167">
        <w:trPr>
          <w:trHeight w:val="255"/>
        </w:trPr>
        <w:tc>
          <w:tcPr>
            <w:tcW w:w="3118" w:type="dxa"/>
            <w:shd w:val="clear" w:color="auto" w:fill="auto"/>
            <w:noWrap/>
            <w:vAlign w:val="bottom"/>
          </w:tcPr>
          <w:p w14:paraId="3B3C5F10" w14:textId="77777777" w:rsidR="006F386B" w:rsidRPr="00E75D2F" w:rsidRDefault="006F386B" w:rsidP="00424167">
            <w:pPr>
              <w:rPr>
                <w:rFonts w:cs="Arial"/>
                <w:b/>
                <w:sz w:val="20"/>
                <w:szCs w:val="20"/>
              </w:rPr>
            </w:pPr>
            <w:r w:rsidRPr="00E75D2F">
              <w:rPr>
                <w:rFonts w:cs="Arial"/>
                <w:b/>
                <w:sz w:val="20"/>
                <w:szCs w:val="20"/>
              </w:rPr>
              <w:t>OP Informatizácia spoločnosti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1617B1B8" w14:textId="77777777" w:rsidR="006F386B" w:rsidRPr="00E75D2F" w:rsidRDefault="006F386B" w:rsidP="00424167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7.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2609AF92" w14:textId="77777777" w:rsidR="006F386B" w:rsidRPr="00E75D2F" w:rsidRDefault="006F386B" w:rsidP="00424167">
            <w:pPr>
              <w:jc w:val="center"/>
              <w:rPr>
                <w:rFonts w:cs="Arial"/>
                <w:sz w:val="20"/>
                <w:szCs w:val="20"/>
              </w:rPr>
            </w:pPr>
            <w:r w:rsidRPr="00E75D2F">
              <w:rPr>
                <w:rFonts w:cs="Arial"/>
                <w:sz w:val="20"/>
                <w:szCs w:val="20"/>
              </w:rPr>
              <w:t>9.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5CA131B4" w14:textId="77777777" w:rsidR="006F386B" w:rsidRPr="00E75D2F" w:rsidRDefault="006F386B" w:rsidP="00424167">
            <w:pPr>
              <w:jc w:val="center"/>
              <w:rPr>
                <w:rFonts w:cs="Arial"/>
                <w:sz w:val="20"/>
                <w:szCs w:val="20"/>
              </w:rPr>
            </w:pPr>
            <w:r w:rsidRPr="00E75D2F">
              <w:rPr>
                <w:rFonts w:cs="Arial"/>
                <w:sz w:val="20"/>
                <w:szCs w:val="20"/>
              </w:rPr>
              <w:t>9.</w:t>
            </w:r>
          </w:p>
        </w:tc>
        <w:tc>
          <w:tcPr>
            <w:tcW w:w="1134" w:type="dxa"/>
            <w:vAlign w:val="bottom"/>
          </w:tcPr>
          <w:p w14:paraId="2EFCB30A" w14:textId="77777777" w:rsidR="006F386B" w:rsidRPr="00E75D2F" w:rsidRDefault="006F386B" w:rsidP="00424167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1134" w:type="dxa"/>
            <w:vAlign w:val="bottom"/>
          </w:tcPr>
          <w:p w14:paraId="2F6D48A5" w14:textId="77777777" w:rsidR="006F386B" w:rsidRPr="00E75D2F" w:rsidRDefault="006F386B" w:rsidP="00424167">
            <w:pPr>
              <w:jc w:val="center"/>
              <w:rPr>
                <w:rFonts w:cs="Arial"/>
                <w:sz w:val="20"/>
                <w:szCs w:val="20"/>
              </w:rPr>
            </w:pPr>
            <w:r w:rsidRPr="00E75D2F">
              <w:rPr>
                <w:rFonts w:cs="Arial"/>
                <w:sz w:val="20"/>
                <w:szCs w:val="20"/>
              </w:rPr>
              <w:t>0</w:t>
            </w:r>
          </w:p>
        </w:tc>
      </w:tr>
      <w:tr w:rsidR="00424167" w:rsidRPr="008A7049" w14:paraId="78E8F4AE" w14:textId="77777777" w:rsidTr="00424167">
        <w:trPr>
          <w:trHeight w:val="255"/>
        </w:trPr>
        <w:tc>
          <w:tcPr>
            <w:tcW w:w="3118" w:type="dxa"/>
            <w:shd w:val="clear" w:color="auto" w:fill="auto"/>
            <w:noWrap/>
            <w:vAlign w:val="bottom"/>
          </w:tcPr>
          <w:p w14:paraId="2EBE17A6" w14:textId="77777777" w:rsidR="006F386B" w:rsidRPr="00E75D2F" w:rsidRDefault="006F386B" w:rsidP="00424167">
            <w:pPr>
              <w:rPr>
                <w:rFonts w:cs="Arial"/>
                <w:b/>
                <w:sz w:val="20"/>
                <w:szCs w:val="20"/>
              </w:rPr>
            </w:pPr>
            <w:r w:rsidRPr="00E75D2F">
              <w:rPr>
                <w:rFonts w:cs="Arial"/>
                <w:b/>
                <w:sz w:val="20"/>
                <w:szCs w:val="20"/>
              </w:rPr>
              <w:t>OP Konkurencieschopnosť a</w:t>
            </w:r>
            <w:r>
              <w:rPr>
                <w:rFonts w:cs="Arial"/>
                <w:b/>
                <w:sz w:val="20"/>
                <w:szCs w:val="20"/>
              </w:rPr>
              <w:t> hospodársky rast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4D9E057C" w14:textId="77777777" w:rsidR="006F386B" w:rsidRPr="00E75D2F" w:rsidRDefault="006F386B" w:rsidP="00424167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8.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42453924" w14:textId="77777777" w:rsidR="006F386B" w:rsidRPr="00E75D2F" w:rsidRDefault="006F386B" w:rsidP="00424167">
            <w:pPr>
              <w:jc w:val="center"/>
              <w:rPr>
                <w:rFonts w:cs="Arial"/>
                <w:sz w:val="20"/>
                <w:szCs w:val="20"/>
              </w:rPr>
            </w:pPr>
            <w:r w:rsidRPr="00E75D2F">
              <w:rPr>
                <w:rFonts w:cs="Arial"/>
                <w:sz w:val="20"/>
                <w:szCs w:val="20"/>
              </w:rPr>
              <w:t>8.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74AE04C6" w14:textId="77777777" w:rsidR="006F386B" w:rsidRPr="00E75D2F" w:rsidRDefault="006F386B" w:rsidP="00424167">
            <w:pPr>
              <w:jc w:val="center"/>
              <w:rPr>
                <w:rFonts w:cs="Arial"/>
                <w:sz w:val="20"/>
                <w:szCs w:val="20"/>
              </w:rPr>
            </w:pPr>
            <w:r w:rsidRPr="00E75D2F">
              <w:rPr>
                <w:rFonts w:cs="Arial"/>
                <w:sz w:val="20"/>
                <w:szCs w:val="20"/>
              </w:rPr>
              <w:t>8.</w:t>
            </w:r>
          </w:p>
        </w:tc>
        <w:tc>
          <w:tcPr>
            <w:tcW w:w="1134" w:type="dxa"/>
            <w:vAlign w:val="bottom"/>
          </w:tcPr>
          <w:p w14:paraId="52FA12F2" w14:textId="77777777" w:rsidR="006F386B" w:rsidRPr="00E75D2F" w:rsidRDefault="006F386B" w:rsidP="00424167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bottom"/>
          </w:tcPr>
          <w:p w14:paraId="5EB5A0DC" w14:textId="77777777" w:rsidR="006F386B" w:rsidRPr="00E75D2F" w:rsidRDefault="006F386B" w:rsidP="00424167">
            <w:pPr>
              <w:jc w:val="center"/>
              <w:rPr>
                <w:rFonts w:cs="Arial"/>
                <w:sz w:val="20"/>
                <w:szCs w:val="20"/>
              </w:rPr>
            </w:pPr>
            <w:r w:rsidRPr="00E75D2F">
              <w:rPr>
                <w:rFonts w:cs="Arial"/>
                <w:sz w:val="20"/>
                <w:szCs w:val="20"/>
              </w:rPr>
              <w:t>0</w:t>
            </w:r>
          </w:p>
        </w:tc>
      </w:tr>
      <w:tr w:rsidR="00424167" w:rsidRPr="008A7049" w14:paraId="7BF0CA4E" w14:textId="77777777" w:rsidTr="00424167">
        <w:trPr>
          <w:trHeight w:val="255"/>
        </w:trPr>
        <w:tc>
          <w:tcPr>
            <w:tcW w:w="3118" w:type="dxa"/>
            <w:shd w:val="clear" w:color="auto" w:fill="auto"/>
            <w:noWrap/>
            <w:vAlign w:val="bottom"/>
          </w:tcPr>
          <w:p w14:paraId="1BFFB278" w14:textId="77777777" w:rsidR="006F386B" w:rsidRPr="00E75D2F" w:rsidRDefault="006F386B" w:rsidP="00424167">
            <w:pPr>
              <w:rPr>
                <w:rFonts w:cs="Arial"/>
                <w:b/>
                <w:sz w:val="20"/>
                <w:szCs w:val="20"/>
              </w:rPr>
            </w:pPr>
            <w:r w:rsidRPr="00E75D2F">
              <w:rPr>
                <w:rFonts w:cs="Arial"/>
                <w:b/>
                <w:sz w:val="20"/>
                <w:szCs w:val="20"/>
              </w:rPr>
              <w:t>OP Zdravotníctvo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3B6E77CA" w14:textId="77777777" w:rsidR="006F386B" w:rsidRPr="00E75D2F" w:rsidRDefault="006F386B" w:rsidP="00424167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9.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17F66431" w14:textId="77777777" w:rsidR="006F386B" w:rsidRPr="00E75D2F" w:rsidRDefault="006F386B" w:rsidP="00424167">
            <w:pPr>
              <w:jc w:val="center"/>
              <w:rPr>
                <w:rFonts w:cs="Arial"/>
                <w:sz w:val="20"/>
                <w:szCs w:val="20"/>
              </w:rPr>
            </w:pPr>
            <w:r w:rsidRPr="00E75D2F">
              <w:rPr>
                <w:rFonts w:cs="Arial"/>
                <w:sz w:val="20"/>
                <w:szCs w:val="20"/>
              </w:rPr>
              <w:t>7.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626E5D2D" w14:textId="77777777" w:rsidR="006F386B" w:rsidRPr="00E75D2F" w:rsidRDefault="006F386B" w:rsidP="00424167">
            <w:pPr>
              <w:jc w:val="center"/>
              <w:rPr>
                <w:rFonts w:cs="Arial"/>
                <w:sz w:val="20"/>
                <w:szCs w:val="20"/>
              </w:rPr>
            </w:pPr>
            <w:r w:rsidRPr="00E75D2F">
              <w:rPr>
                <w:rFonts w:cs="Arial"/>
                <w:sz w:val="20"/>
                <w:szCs w:val="20"/>
              </w:rPr>
              <w:t>5.</w:t>
            </w:r>
          </w:p>
        </w:tc>
        <w:tc>
          <w:tcPr>
            <w:tcW w:w="1134" w:type="dxa"/>
            <w:vAlign w:val="bottom"/>
          </w:tcPr>
          <w:p w14:paraId="3EF97C16" w14:textId="77777777" w:rsidR="006F386B" w:rsidRPr="00E75D2F" w:rsidRDefault="006F386B" w:rsidP="00424167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-2</w:t>
            </w:r>
          </w:p>
        </w:tc>
        <w:tc>
          <w:tcPr>
            <w:tcW w:w="1134" w:type="dxa"/>
            <w:vAlign w:val="bottom"/>
          </w:tcPr>
          <w:p w14:paraId="041A31AF" w14:textId="77777777" w:rsidR="006F386B" w:rsidRPr="00E75D2F" w:rsidRDefault="006F386B" w:rsidP="00424167">
            <w:pPr>
              <w:jc w:val="center"/>
              <w:rPr>
                <w:rFonts w:cs="Arial"/>
                <w:sz w:val="20"/>
                <w:szCs w:val="20"/>
              </w:rPr>
            </w:pPr>
            <w:r w:rsidRPr="00E75D2F">
              <w:rPr>
                <w:rFonts w:cs="Arial"/>
                <w:sz w:val="20"/>
                <w:szCs w:val="20"/>
              </w:rPr>
              <w:t>-2</w:t>
            </w:r>
          </w:p>
        </w:tc>
      </w:tr>
      <w:tr w:rsidR="00424167" w:rsidRPr="008A7049" w14:paraId="52494AB1" w14:textId="77777777" w:rsidTr="00424167">
        <w:trPr>
          <w:trHeight w:val="255"/>
        </w:trPr>
        <w:tc>
          <w:tcPr>
            <w:tcW w:w="3118" w:type="dxa"/>
            <w:shd w:val="clear" w:color="auto" w:fill="auto"/>
            <w:noWrap/>
            <w:vAlign w:val="bottom"/>
          </w:tcPr>
          <w:p w14:paraId="5F8E1A54" w14:textId="77777777" w:rsidR="006F386B" w:rsidRPr="00E75D2F" w:rsidRDefault="006F386B" w:rsidP="00424167">
            <w:pPr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OP Bratislavský kraj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6994FC6D" w14:textId="77777777" w:rsidR="006F386B" w:rsidRPr="00E75D2F" w:rsidRDefault="006F386B" w:rsidP="00424167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10.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13A4E1BA" w14:textId="77777777" w:rsidR="006F386B" w:rsidRPr="00E75D2F" w:rsidRDefault="006F386B" w:rsidP="00424167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37746746" w14:textId="77777777" w:rsidR="006F386B" w:rsidRPr="00E75D2F" w:rsidRDefault="006F386B" w:rsidP="00424167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bottom"/>
          </w:tcPr>
          <w:p w14:paraId="07AAC5F2" w14:textId="77777777" w:rsidR="006F386B" w:rsidRPr="00E75D2F" w:rsidRDefault="006F386B" w:rsidP="00424167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bottom"/>
          </w:tcPr>
          <w:p w14:paraId="3D787C67" w14:textId="77777777" w:rsidR="006F386B" w:rsidRPr="00E75D2F" w:rsidRDefault="006F386B" w:rsidP="00424167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-</w:t>
            </w:r>
          </w:p>
        </w:tc>
      </w:tr>
      <w:tr w:rsidR="00424167" w:rsidRPr="008A7049" w14:paraId="16A14BAA" w14:textId="77777777" w:rsidTr="00424167">
        <w:trPr>
          <w:trHeight w:val="255"/>
        </w:trPr>
        <w:tc>
          <w:tcPr>
            <w:tcW w:w="3118" w:type="dxa"/>
            <w:shd w:val="clear" w:color="auto" w:fill="auto"/>
            <w:noWrap/>
            <w:vAlign w:val="bottom"/>
          </w:tcPr>
          <w:p w14:paraId="60C348E2" w14:textId="77777777" w:rsidR="006F386B" w:rsidRDefault="006F386B" w:rsidP="00424167">
            <w:pPr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OP Technická pomoc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3ECFE51C" w14:textId="77777777" w:rsidR="006F386B" w:rsidRPr="00E75D2F" w:rsidRDefault="006F386B" w:rsidP="00424167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11.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4895494D" w14:textId="77777777" w:rsidR="006F386B" w:rsidRDefault="006F386B" w:rsidP="00424167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2229D88E" w14:textId="77777777" w:rsidR="006F386B" w:rsidRDefault="006F386B" w:rsidP="00424167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bottom"/>
          </w:tcPr>
          <w:p w14:paraId="3A65814C" w14:textId="77777777" w:rsidR="006F386B" w:rsidRPr="00E75D2F" w:rsidRDefault="006F386B" w:rsidP="00424167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bottom"/>
          </w:tcPr>
          <w:p w14:paraId="631E25E9" w14:textId="77777777" w:rsidR="006F386B" w:rsidRDefault="006F386B" w:rsidP="00424167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-</w:t>
            </w:r>
          </w:p>
        </w:tc>
      </w:tr>
    </w:tbl>
    <w:p w14:paraId="73D286DE" w14:textId="06E17246" w:rsidR="000E1B00" w:rsidRDefault="006F386B">
      <w:pPr>
        <w:pStyle w:val="Bezriadkovania"/>
        <w:spacing w:before="120" w:after="120"/>
        <w:ind w:left="426"/>
        <w:jc w:val="both"/>
      </w:pPr>
      <w:r>
        <w:t>Záverečná správa projektu</w:t>
      </w:r>
      <w:r w:rsidR="000E1B00" w:rsidRPr="00FC6C19">
        <w:t xml:space="preserve"> „Úroveň povedomia verejnosti o</w:t>
      </w:r>
      <w:r w:rsidR="00F23215">
        <w:t xml:space="preserve"> </w:t>
      </w:r>
      <w:r w:rsidR="000E1B00" w:rsidRPr="00FC6C19">
        <w:t>politike súdržnosti EÚ na Slovensku na konci programového obdobia 2007-2013“</w:t>
      </w:r>
      <w:r w:rsidR="00424167">
        <w:t xml:space="preserve"> </w:t>
      </w:r>
      <w:r w:rsidR="000E1B00" w:rsidRPr="00FC6C19">
        <w:t>obsah</w:t>
      </w:r>
      <w:r>
        <w:t>uje</w:t>
      </w:r>
      <w:r w:rsidR="000E1B00" w:rsidRPr="00FC6C19">
        <w:t>:</w:t>
      </w:r>
      <w:r>
        <w:tab/>
      </w:r>
    </w:p>
    <w:p w14:paraId="6E8CE30A" w14:textId="70D502B5" w:rsidR="000E1B00" w:rsidRPr="00FC6C19" w:rsidRDefault="00424167" w:rsidP="00F365DE">
      <w:pPr>
        <w:pStyle w:val="Bezriadkovania"/>
        <w:numPr>
          <w:ilvl w:val="0"/>
          <w:numId w:val="46"/>
        </w:numPr>
        <w:spacing w:before="120" w:after="120"/>
        <w:ind w:left="851" w:hanging="425"/>
        <w:jc w:val="both"/>
      </w:pPr>
      <w:r>
        <w:t>c</w:t>
      </w:r>
      <w:r w:rsidR="000E1B00" w:rsidRPr="00FC6C19">
        <w:t>harakteristiku cieľových skupín</w:t>
      </w:r>
    </w:p>
    <w:p w14:paraId="2DEEE228" w14:textId="36D5DC21" w:rsidR="000E1B00" w:rsidRPr="00FC6C19" w:rsidRDefault="00424167" w:rsidP="00F365DE">
      <w:pPr>
        <w:pStyle w:val="Bezriadkovania"/>
        <w:numPr>
          <w:ilvl w:val="0"/>
          <w:numId w:val="46"/>
        </w:numPr>
        <w:spacing w:before="120" w:after="120"/>
        <w:ind w:left="851" w:hanging="425"/>
        <w:jc w:val="both"/>
      </w:pPr>
      <w:r>
        <w:t>v</w:t>
      </w:r>
      <w:r w:rsidR="000E1B00" w:rsidRPr="00FC6C19">
        <w:t xml:space="preserve">ývoj znalostí základných parametrov v jednotlivých cieľových skupinách </w:t>
      </w:r>
    </w:p>
    <w:p w14:paraId="4066E52F" w14:textId="2A6B8E11" w:rsidR="000E1B00" w:rsidRDefault="00424167">
      <w:pPr>
        <w:pStyle w:val="Bezriadkovania"/>
        <w:numPr>
          <w:ilvl w:val="0"/>
          <w:numId w:val="46"/>
        </w:numPr>
        <w:spacing w:before="120" w:after="120"/>
        <w:ind w:left="851" w:hanging="425"/>
        <w:jc w:val="both"/>
      </w:pPr>
      <w:r>
        <w:t>p</w:t>
      </w:r>
      <w:r w:rsidR="000E1B00" w:rsidRPr="00FC6C19">
        <w:t xml:space="preserve">orovnanie </w:t>
      </w:r>
      <w:r w:rsidR="003112AD">
        <w:t>v</w:t>
      </w:r>
      <w:r w:rsidR="003112AD" w:rsidRPr="003112AD">
        <w:t>ýsledkov prieskumu verejnej mienky vykonanej v roku 2014 so Záverečnou správou z prieskumu verejnej mienky z roku 2011</w:t>
      </w:r>
    </w:p>
    <w:p w14:paraId="46730EF2" w14:textId="77777777" w:rsidR="00850467" w:rsidRDefault="00E37D96" w:rsidP="00850467">
      <w:pPr>
        <w:pStyle w:val="MPCKO1"/>
      </w:pPr>
      <w:bookmarkStart w:id="6" w:name="_Toc469255067"/>
      <w:r>
        <w:t>2</w:t>
      </w:r>
      <w:r w:rsidR="00850467">
        <w:t xml:space="preserve"> </w:t>
      </w:r>
      <w:bookmarkEnd w:id="4"/>
      <w:bookmarkEnd w:id="5"/>
      <w:r w:rsidR="00490454">
        <w:t>Ciele</w:t>
      </w:r>
      <w:bookmarkEnd w:id="6"/>
    </w:p>
    <w:p w14:paraId="47112FB5" w14:textId="60F5386B" w:rsidR="000E1B00" w:rsidRPr="0060088C" w:rsidRDefault="000E1B00" w:rsidP="002107A0">
      <w:pPr>
        <w:pStyle w:val="Bezriadkovania"/>
        <w:numPr>
          <w:ilvl w:val="0"/>
          <w:numId w:val="5"/>
        </w:numPr>
        <w:spacing w:before="120" w:after="120"/>
        <w:ind w:left="426" w:hanging="426"/>
        <w:jc w:val="both"/>
      </w:pPr>
      <w:bookmarkStart w:id="7" w:name="_Toc404872124"/>
      <w:r w:rsidRPr="0060088C">
        <w:t>Jednotný postup všetkých subjektov zainteresovaných do procesu informovania a komunikácie o poskytnutí prostriedkov z EŠIF predstavuje základný predpoklad na dosiahnutie cieľov komunikačn</w:t>
      </w:r>
      <w:r w:rsidR="00424167">
        <w:t>ej</w:t>
      </w:r>
      <w:r w:rsidRPr="0060088C">
        <w:t xml:space="preserve"> </w:t>
      </w:r>
      <w:r w:rsidR="00424167">
        <w:t>stratégie</w:t>
      </w:r>
      <w:r w:rsidRPr="0060088C">
        <w:t xml:space="preserve"> OP.</w:t>
      </w:r>
    </w:p>
    <w:p w14:paraId="74B0564F" w14:textId="4C442CCB" w:rsidR="000E1B00" w:rsidRPr="00243F83" w:rsidRDefault="000E1B00" w:rsidP="00243F83">
      <w:pPr>
        <w:pStyle w:val="Bezriadkovania"/>
        <w:numPr>
          <w:ilvl w:val="0"/>
          <w:numId w:val="5"/>
        </w:numPr>
        <w:spacing w:before="120" w:after="120"/>
        <w:ind w:left="426" w:hanging="426"/>
        <w:jc w:val="both"/>
      </w:pPr>
      <w:r w:rsidRPr="0060088C">
        <w:t>V rámci komunikačnej stratégie je potrebné stanoviť globálny cieľ a rozviesť ho do podoby špecifických cieľov v plnom rozsahu, t.j. treba pokryť všetky roviny komunikácie. Vlastné definovanie globálneho cieľa a</w:t>
      </w:r>
      <w:r w:rsidR="00314454">
        <w:t xml:space="preserve"> </w:t>
      </w:r>
      <w:r w:rsidRPr="0060088C">
        <w:t>špecifických cieľov komunikačnej stratégie bude odvodené z</w:t>
      </w:r>
      <w:r w:rsidR="00F23215">
        <w:t xml:space="preserve"> </w:t>
      </w:r>
      <w:r w:rsidRPr="0060088C">
        <w:t xml:space="preserve">východísk komunikačnej stratégie. Informačné priority rozvíjajú jednotlivé špecifické ciele a sú k nim hierarchicky zoradené. Informačné priority umožňujú stanoviť zoznam aktivít, cieľových skupín a finančných nástrojov komunikácie. </w:t>
      </w:r>
    </w:p>
    <w:p w14:paraId="2BEC1B7F" w14:textId="72944CB6" w:rsidR="000E1B00" w:rsidRPr="0060088C" w:rsidRDefault="00AE166D" w:rsidP="00243F83">
      <w:pPr>
        <w:pStyle w:val="Bezriadkovania"/>
        <w:numPr>
          <w:ilvl w:val="0"/>
          <w:numId w:val="5"/>
        </w:numPr>
        <w:spacing w:before="120" w:after="120"/>
        <w:ind w:left="426" w:hanging="426"/>
        <w:jc w:val="both"/>
      </w:pPr>
      <w:r w:rsidRPr="00815E24">
        <w:t>ÚV</w:t>
      </w:r>
      <w:r>
        <w:t xml:space="preserve"> S</w:t>
      </w:r>
      <w:r w:rsidR="00F23215">
        <w:t>R</w:t>
      </w:r>
      <w:r w:rsidR="000E1B00" w:rsidRPr="0060088C">
        <w:t xml:space="preserve"> a jednotlivé riadiace orgány budú zohľadňovať potreby vlastných cieľových skupín, ktorými sú v prípade </w:t>
      </w:r>
      <w:r>
        <w:t xml:space="preserve">ÚV SR </w:t>
      </w:r>
      <w:r w:rsidR="000E1B00" w:rsidRPr="0060088C">
        <w:t xml:space="preserve">najmä široká verejnosť a v prípade </w:t>
      </w:r>
      <w:r w:rsidR="00815E24">
        <w:t>RO</w:t>
      </w:r>
      <w:r w:rsidR="000E1B00" w:rsidRPr="0060088C">
        <w:t xml:space="preserve"> najmä potenciálni žiadatelia a pr</w:t>
      </w:r>
      <w:r w:rsidR="007E571D">
        <w:t>i</w:t>
      </w:r>
      <w:r w:rsidR="000E1B00" w:rsidRPr="0060088C">
        <w:t>j</w:t>
      </w:r>
      <w:r w:rsidR="00CD6DE2">
        <w:t>ímatelia</w:t>
      </w:r>
      <w:r w:rsidR="000E1B00" w:rsidRPr="0060088C">
        <w:t>.</w:t>
      </w:r>
    </w:p>
    <w:p w14:paraId="1BE7A849" w14:textId="55865480" w:rsidR="000E1B00" w:rsidRDefault="000E1B00" w:rsidP="00243F83">
      <w:pPr>
        <w:pStyle w:val="Bezriadkovania"/>
        <w:spacing w:before="120" w:after="120"/>
        <w:ind w:firstLine="426"/>
        <w:jc w:val="both"/>
      </w:pPr>
      <w:r w:rsidRPr="0060088C">
        <w:t xml:space="preserve">Riadiace orgány - komunikačné témy sa budú týkať  daného </w:t>
      </w:r>
      <w:r w:rsidR="00815E24">
        <w:t>OP</w:t>
      </w:r>
      <w:r w:rsidRPr="0060088C">
        <w:t xml:space="preserve">. </w:t>
      </w:r>
    </w:p>
    <w:p w14:paraId="212FC77F" w14:textId="77777777" w:rsidR="000E1B00" w:rsidRPr="0060088C" w:rsidRDefault="000E1B00" w:rsidP="00243F83">
      <w:pPr>
        <w:pStyle w:val="Bezriadkovania"/>
        <w:spacing w:before="120" w:after="120"/>
        <w:ind w:firstLine="426"/>
        <w:jc w:val="both"/>
      </w:pPr>
      <w:r w:rsidRPr="0060088C">
        <w:t>Úlohou RO je:</w:t>
      </w:r>
    </w:p>
    <w:p w14:paraId="410517D9" w14:textId="1D64A8F7" w:rsidR="000E1B00" w:rsidRPr="0060088C" w:rsidRDefault="000E1B00" w:rsidP="002107A0">
      <w:pPr>
        <w:pStyle w:val="Bezriadkovania"/>
        <w:numPr>
          <w:ilvl w:val="0"/>
          <w:numId w:val="6"/>
        </w:numPr>
        <w:spacing w:before="120" w:after="120"/>
        <w:ind w:left="851" w:hanging="425"/>
        <w:jc w:val="both"/>
      </w:pPr>
      <w:r>
        <w:t>m</w:t>
      </w:r>
      <w:r w:rsidRPr="0060088C">
        <w:t xml:space="preserve">otivovať potenciálnych žiadateľov na podanie projektových žiadostí v danom </w:t>
      </w:r>
      <w:r w:rsidR="00815E24">
        <w:t>OP</w:t>
      </w:r>
      <w:r w:rsidRPr="0060088C">
        <w:t xml:space="preserve"> a poskytovať podrobné informácie;</w:t>
      </w:r>
    </w:p>
    <w:p w14:paraId="7B70A8F5" w14:textId="39B2C5E0" w:rsidR="000E1B00" w:rsidRPr="0060088C" w:rsidRDefault="000E1B00" w:rsidP="002107A0">
      <w:pPr>
        <w:pStyle w:val="Bezriadkovania"/>
        <w:numPr>
          <w:ilvl w:val="0"/>
          <w:numId w:val="6"/>
        </w:numPr>
        <w:spacing w:before="120" w:after="120"/>
        <w:ind w:left="851" w:hanging="425"/>
        <w:jc w:val="both"/>
      </w:pPr>
      <w:r>
        <w:lastRenderedPageBreak/>
        <w:t>i</w:t>
      </w:r>
      <w:r w:rsidRPr="0060088C">
        <w:t xml:space="preserve">nformovať o pokrokoch v oblastiach implementácie daného </w:t>
      </w:r>
      <w:r w:rsidR="00815E24">
        <w:t>OP</w:t>
      </w:r>
      <w:r w:rsidRPr="0060088C">
        <w:t>;</w:t>
      </w:r>
    </w:p>
    <w:p w14:paraId="2C0EC9FF" w14:textId="77777777" w:rsidR="000E1B00" w:rsidRDefault="000E1B00" w:rsidP="002107A0">
      <w:pPr>
        <w:pStyle w:val="Bezriadkovania"/>
        <w:numPr>
          <w:ilvl w:val="0"/>
          <w:numId w:val="6"/>
        </w:numPr>
        <w:spacing w:before="120" w:after="120"/>
        <w:ind w:left="851" w:hanging="425"/>
        <w:jc w:val="both"/>
      </w:pPr>
      <w:r>
        <w:t>p</w:t>
      </w:r>
      <w:r w:rsidRPr="0060088C">
        <w:t xml:space="preserve">oskytovať </w:t>
      </w:r>
      <w:r w:rsidR="00CD6DE2">
        <w:t>prijímateľom</w:t>
      </w:r>
      <w:r w:rsidRPr="0060088C">
        <w:t xml:space="preserve"> vhodnou formou dostatočnú pod</w:t>
      </w:r>
      <w:r w:rsidR="0051102F">
        <w:t>poru počas realizácie projektov;</w:t>
      </w:r>
    </w:p>
    <w:p w14:paraId="4E681361" w14:textId="1A5DFA6B" w:rsidR="0051102F" w:rsidRPr="0060088C" w:rsidRDefault="0051102F" w:rsidP="002107A0">
      <w:pPr>
        <w:pStyle w:val="Bezriadkovania"/>
        <w:numPr>
          <w:ilvl w:val="0"/>
          <w:numId w:val="6"/>
        </w:numPr>
        <w:spacing w:before="120" w:after="120"/>
        <w:ind w:left="851" w:hanging="425"/>
        <w:jc w:val="both"/>
      </w:pPr>
      <w:r>
        <w:t>informovať širokú verejnosť</w:t>
      </w:r>
      <w:r w:rsidR="00815E24">
        <w:t>.</w:t>
      </w:r>
    </w:p>
    <w:p w14:paraId="09BC3E9E" w14:textId="225C9EC2" w:rsidR="000E1B00" w:rsidRPr="0060088C" w:rsidRDefault="000E1B00" w:rsidP="00243F83">
      <w:pPr>
        <w:pStyle w:val="Bezriadkovania"/>
        <w:spacing w:before="120" w:after="120"/>
        <w:ind w:firstLine="426"/>
        <w:jc w:val="both"/>
      </w:pPr>
      <w:r w:rsidRPr="0060088C">
        <w:t xml:space="preserve">Úlohou </w:t>
      </w:r>
      <w:r w:rsidR="00AE166D">
        <w:t>ÚV SR</w:t>
      </w:r>
      <w:r w:rsidRPr="0060088C">
        <w:t xml:space="preserve"> je:</w:t>
      </w:r>
    </w:p>
    <w:p w14:paraId="15BAE6BA" w14:textId="65CD6811" w:rsidR="000E1B00" w:rsidRPr="0060088C" w:rsidRDefault="000E1B00" w:rsidP="002107A0">
      <w:pPr>
        <w:pStyle w:val="Bezriadkovania"/>
        <w:numPr>
          <w:ilvl w:val="0"/>
          <w:numId w:val="7"/>
        </w:numPr>
        <w:spacing w:before="120" w:after="120"/>
        <w:ind w:left="851" w:hanging="425"/>
        <w:jc w:val="both"/>
      </w:pPr>
      <w:r>
        <w:t>i</w:t>
      </w:r>
      <w:r w:rsidRPr="0060088C">
        <w:t xml:space="preserve">nformovať o napĺňaní </w:t>
      </w:r>
      <w:r w:rsidR="00815E24">
        <w:t>Partnerskej dohody SR na roky 201</w:t>
      </w:r>
      <w:r w:rsidR="00A264C6">
        <w:t>4</w:t>
      </w:r>
      <w:r w:rsidR="00314454">
        <w:t xml:space="preserve"> </w:t>
      </w:r>
      <w:r w:rsidR="00815E24">
        <w:t>-</w:t>
      </w:r>
      <w:r w:rsidR="00314454">
        <w:t xml:space="preserve"> </w:t>
      </w:r>
      <w:r w:rsidR="00815E24">
        <w:t>2020</w:t>
      </w:r>
      <w:r w:rsidRPr="0060088C">
        <w:t xml:space="preserve"> a Stratégii Európa 2020;</w:t>
      </w:r>
    </w:p>
    <w:p w14:paraId="3E32314E" w14:textId="72F9D535" w:rsidR="000E1B00" w:rsidRPr="0060088C" w:rsidRDefault="000E1B00" w:rsidP="002107A0">
      <w:pPr>
        <w:pStyle w:val="Bezriadkovania"/>
        <w:numPr>
          <w:ilvl w:val="0"/>
          <w:numId w:val="7"/>
        </w:numPr>
        <w:spacing w:before="120" w:after="120"/>
        <w:ind w:left="851" w:hanging="425"/>
        <w:jc w:val="both"/>
      </w:pPr>
      <w:r>
        <w:t>i</w:t>
      </w:r>
      <w:r w:rsidRPr="0060088C">
        <w:t xml:space="preserve">nformovať o pokrokoch v oblastiach implementácie programov </w:t>
      </w:r>
      <w:r w:rsidR="00815E24">
        <w:t>Partnerskej dohody SR na roky 201</w:t>
      </w:r>
      <w:r w:rsidR="00A264C6">
        <w:t>4</w:t>
      </w:r>
      <w:r w:rsidR="00314454">
        <w:t xml:space="preserve"> </w:t>
      </w:r>
      <w:r w:rsidR="00815E24">
        <w:t>-</w:t>
      </w:r>
      <w:r w:rsidR="00314454">
        <w:t xml:space="preserve"> </w:t>
      </w:r>
      <w:r w:rsidR="00815E24">
        <w:t>2020</w:t>
      </w:r>
      <w:r w:rsidRPr="0060088C">
        <w:t>;</w:t>
      </w:r>
    </w:p>
    <w:p w14:paraId="269A5EF8" w14:textId="77777777" w:rsidR="000E1B00" w:rsidRPr="0060088C" w:rsidRDefault="000E1B00" w:rsidP="002107A0">
      <w:pPr>
        <w:pStyle w:val="Bezriadkovania"/>
        <w:numPr>
          <w:ilvl w:val="0"/>
          <w:numId w:val="7"/>
        </w:numPr>
        <w:spacing w:before="120" w:after="120"/>
        <w:ind w:left="851" w:hanging="425"/>
        <w:jc w:val="both"/>
      </w:pPr>
      <w:r>
        <w:t>i</w:t>
      </w:r>
      <w:r w:rsidRPr="0060088C">
        <w:t>nformovať o prínosoch EŠIF fondov pre Slovenskú republiku a komunikovať prierezové témy podľa aktuálnej potreby.</w:t>
      </w:r>
    </w:p>
    <w:p w14:paraId="0B3A1D93" w14:textId="77777777" w:rsidR="00B37E57" w:rsidRDefault="00E37D96" w:rsidP="00B37E57">
      <w:pPr>
        <w:pStyle w:val="MPCKO1"/>
      </w:pPr>
      <w:bookmarkStart w:id="8" w:name="_Toc469255068"/>
      <w:bookmarkEnd w:id="7"/>
      <w:r>
        <w:t>3</w:t>
      </w:r>
      <w:r w:rsidR="00B37E57" w:rsidRPr="00B37E57">
        <w:t xml:space="preserve"> </w:t>
      </w:r>
      <w:r w:rsidR="00490454">
        <w:t>Cieľové skupiny</w:t>
      </w:r>
      <w:bookmarkEnd w:id="8"/>
    </w:p>
    <w:p w14:paraId="4F8D3CD6" w14:textId="77777777" w:rsidR="000E1B00" w:rsidRPr="00387AE6" w:rsidRDefault="000E1B00" w:rsidP="002107A0">
      <w:pPr>
        <w:pStyle w:val="Odsekzoznamu"/>
        <w:numPr>
          <w:ilvl w:val="0"/>
          <w:numId w:val="11"/>
        </w:numPr>
        <w:autoSpaceDE w:val="0"/>
        <w:autoSpaceDN w:val="0"/>
        <w:adjustRightInd w:val="0"/>
        <w:spacing w:before="120" w:after="120"/>
        <w:ind w:left="426" w:hanging="426"/>
        <w:contextualSpacing w:val="0"/>
        <w:jc w:val="both"/>
      </w:pPr>
      <w:r w:rsidRPr="00387AE6">
        <w:t xml:space="preserve">Počas realizácie komunikačnej stratégie je možné identifikovať celý rad cieľových skupín. Na naplnenie procesu komunikácie je nutné, aby jednotlivým cieľovým skupinám boli poskytnuté adekvátne informácie (rozsah, obsah, hĺbka informácie, a pod.) adekvátnym spôsobom (forma informácie, zvolený komunikačný nástroj, časovanie, predpokladaná životnosť informácií, a pod.) a to všetko čo najefektívnejším spôsobom (účelnosť, hospodárnosť, </w:t>
      </w:r>
      <w:r w:rsidR="003E715D" w:rsidRPr="00387AE6">
        <w:t xml:space="preserve">účinnosť </w:t>
      </w:r>
      <w:r w:rsidRPr="00387AE6">
        <w:t>efektívnosť).</w:t>
      </w:r>
    </w:p>
    <w:p w14:paraId="7863AC90" w14:textId="77777777" w:rsidR="000E1B00" w:rsidRPr="00F365DE" w:rsidRDefault="000E1B00" w:rsidP="00243F83">
      <w:pPr>
        <w:pStyle w:val="Default"/>
        <w:numPr>
          <w:ilvl w:val="0"/>
          <w:numId w:val="11"/>
        </w:numPr>
        <w:spacing w:before="120" w:after="120"/>
        <w:ind w:left="426" w:hanging="426"/>
        <w:jc w:val="both"/>
        <w:rPr>
          <w:rFonts w:ascii="Times New Roman" w:hAnsi="Times New Roman" w:cs="Times New Roman"/>
        </w:rPr>
      </w:pPr>
      <w:r w:rsidRPr="00F365DE">
        <w:rPr>
          <w:rFonts w:ascii="Times New Roman" w:hAnsi="Times New Roman" w:cs="Times New Roman"/>
        </w:rPr>
        <w:t xml:space="preserve">Pre potreby Systému riadenia EŠIF sú definované ako cieľové skupiny potenciálni žiadatelia o NFP, prijímatelia a verejnosť. Potenciálnymi žiadateľmi o NFP sú subjekty, ktoré sa neskôr môžu stať žiadateľmi o NFP. </w:t>
      </w:r>
    </w:p>
    <w:p w14:paraId="22E013D0" w14:textId="6662923E" w:rsidR="000E1B00" w:rsidRPr="00F365DE" w:rsidRDefault="00F46EF9" w:rsidP="00F46EF9">
      <w:pPr>
        <w:pStyle w:val="Default"/>
        <w:numPr>
          <w:ilvl w:val="0"/>
          <w:numId w:val="11"/>
        </w:numPr>
        <w:spacing w:before="120" w:after="120"/>
        <w:ind w:left="426" w:hanging="426"/>
        <w:jc w:val="both"/>
        <w:rPr>
          <w:rFonts w:ascii="Times New Roman" w:hAnsi="Times New Roman" w:cs="Times New Roman"/>
        </w:rPr>
      </w:pPr>
      <w:r w:rsidRPr="00F365DE">
        <w:rPr>
          <w:rFonts w:ascii="Times New Roman" w:hAnsi="Times New Roman" w:cs="Times New Roman"/>
        </w:rPr>
        <w:t>Pri potrebe komunikácie s väčším počtom cieľových skupín má RO možnosť urobiť najskôr dôslednú segmentáciu cieľových skupín z pohľadu kritérií, ktoré sú pre komunikačné ciele významné, a následne cieľové skupiny analyzovať z pohľadu podstatných faktorov vo vzťahu k predmetu komunikácie.</w:t>
      </w:r>
      <w:r w:rsidR="00815E24" w:rsidRPr="00F365DE">
        <w:rPr>
          <w:rFonts w:ascii="Times New Roman" w:hAnsi="Times New Roman" w:cs="Times New Roman"/>
        </w:rPr>
        <w:t xml:space="preserve"> </w:t>
      </w:r>
      <w:r w:rsidR="000E1B00" w:rsidRPr="00F365DE">
        <w:rPr>
          <w:rFonts w:ascii="Times New Roman" w:hAnsi="Times New Roman" w:cs="Times New Roman"/>
        </w:rPr>
        <w:t xml:space="preserve">V prípade komunikačných cieľov </w:t>
      </w:r>
      <w:r w:rsidR="00815E24" w:rsidRPr="00F365DE">
        <w:rPr>
          <w:rFonts w:ascii="Times New Roman" w:hAnsi="Times New Roman" w:cs="Times New Roman"/>
        </w:rPr>
        <w:t>k</w:t>
      </w:r>
      <w:r w:rsidR="000E1B00" w:rsidRPr="00F365DE">
        <w:rPr>
          <w:rFonts w:ascii="Times New Roman" w:hAnsi="Times New Roman" w:cs="Times New Roman"/>
        </w:rPr>
        <w:t>omunikačnej stratégie je dôležité spraviť segmentáciu z pohľadu nasledujúcich 3 kritérií:</w:t>
      </w:r>
    </w:p>
    <w:p w14:paraId="0964E403" w14:textId="77777777" w:rsidR="000E1B00" w:rsidRPr="00387AE6" w:rsidRDefault="000E1B00" w:rsidP="005A544B">
      <w:pPr>
        <w:numPr>
          <w:ilvl w:val="0"/>
          <w:numId w:val="8"/>
        </w:numPr>
        <w:tabs>
          <w:tab w:val="clear" w:pos="720"/>
        </w:tabs>
        <w:spacing w:before="120" w:after="120"/>
        <w:ind w:left="851" w:hanging="425"/>
        <w:jc w:val="both"/>
      </w:pPr>
      <w:r w:rsidRPr="00387AE6">
        <w:t>podľa informačných potrieb</w:t>
      </w:r>
      <w:r w:rsidRPr="00387AE6">
        <w:rPr>
          <w:color w:val="000000"/>
        </w:rPr>
        <w:t>;</w:t>
      </w:r>
    </w:p>
    <w:p w14:paraId="7E8C0B92" w14:textId="77777777" w:rsidR="000E1B00" w:rsidRPr="00387AE6" w:rsidRDefault="000E1B00" w:rsidP="00C95807">
      <w:pPr>
        <w:numPr>
          <w:ilvl w:val="0"/>
          <w:numId w:val="8"/>
        </w:numPr>
        <w:tabs>
          <w:tab w:val="clear" w:pos="720"/>
          <w:tab w:val="num" w:pos="851"/>
        </w:tabs>
        <w:spacing w:before="120" w:after="120"/>
        <w:ind w:left="851" w:hanging="425"/>
        <w:jc w:val="both"/>
      </w:pPr>
      <w:r w:rsidRPr="00387AE6">
        <w:t>podľa typu subjektu</w:t>
      </w:r>
      <w:r w:rsidR="001E5F8C" w:rsidRPr="00387AE6">
        <w:t xml:space="preserve"> o vzťahu k príprave a implementácii programov</w:t>
      </w:r>
      <w:r w:rsidRPr="00387AE6">
        <w:rPr>
          <w:color w:val="000000"/>
        </w:rPr>
        <w:t>;</w:t>
      </w:r>
    </w:p>
    <w:p w14:paraId="5DA4E0FD" w14:textId="77777777" w:rsidR="000E1B00" w:rsidRPr="00387AE6" w:rsidRDefault="000E1B00" w:rsidP="005A544B">
      <w:pPr>
        <w:numPr>
          <w:ilvl w:val="0"/>
          <w:numId w:val="8"/>
        </w:numPr>
        <w:tabs>
          <w:tab w:val="clear" w:pos="720"/>
        </w:tabs>
        <w:spacing w:before="120" w:after="120"/>
        <w:ind w:left="851" w:hanging="425"/>
        <w:jc w:val="both"/>
      </w:pPr>
      <w:r w:rsidRPr="00387AE6">
        <w:t>podľa kritérií mediálneho plánovania</w:t>
      </w:r>
      <w:r w:rsidRPr="00387AE6">
        <w:rPr>
          <w:color w:val="000000"/>
        </w:rPr>
        <w:t>.</w:t>
      </w:r>
    </w:p>
    <w:p w14:paraId="21A19FEC" w14:textId="15F5A037" w:rsidR="00C05C08" w:rsidRDefault="000E1B00" w:rsidP="00243F83">
      <w:pPr>
        <w:spacing w:before="120" w:after="120"/>
        <w:ind w:left="426"/>
        <w:jc w:val="both"/>
      </w:pPr>
      <w:r w:rsidRPr="0060088C">
        <w:t>Segmentácia podľa typu subjektu definuje postavenie a úlohy subjektov, ktoré sú nejakým spôsobom zainteresované na implementovaní</w:t>
      </w:r>
      <w:r w:rsidR="00D32623">
        <w:t>, kontrole a audite</w:t>
      </w:r>
      <w:r w:rsidRPr="0060088C">
        <w:t xml:space="preserve"> prostriedkov z EŠIF, čo umožňuje identifikovať ich význam, úlohu a</w:t>
      </w:r>
      <w:r w:rsidR="00F23215">
        <w:t xml:space="preserve"> </w:t>
      </w:r>
      <w:r w:rsidRPr="0060088C">
        <w:t>váhu z</w:t>
      </w:r>
      <w:r w:rsidR="00F23215">
        <w:t xml:space="preserve"> </w:t>
      </w:r>
      <w:r w:rsidRPr="0060088C">
        <w:t>pohľadu komunikačného zásahu.</w:t>
      </w:r>
      <w:r>
        <w:t xml:space="preserve"> </w:t>
      </w:r>
      <w:r w:rsidRPr="0060088C">
        <w:t>Segmentácia podľa informačných potrieb je dôležitá preto, aby sme dokázali zoskupiť viaceré cieľové skupiny s rovnakými informačnými potrebami do väčších c</w:t>
      </w:r>
      <w:r>
        <w:t xml:space="preserve">elkov, s ktorými možno spoločne </w:t>
      </w:r>
      <w:r w:rsidRPr="0060088C">
        <w:t xml:space="preserve">komunikovať, čím dosiahneme konzistentnosť informovanosti, zjednodušíme a zrýchlime komunikáciu, znížime náklady a prácnosť. </w:t>
      </w:r>
    </w:p>
    <w:p w14:paraId="19583AFB" w14:textId="3ED1C214" w:rsidR="000E1B00" w:rsidRPr="0060088C" w:rsidRDefault="000E1B00" w:rsidP="00243F83">
      <w:pPr>
        <w:spacing w:before="120" w:after="120"/>
        <w:ind w:left="426"/>
        <w:jc w:val="both"/>
      </w:pPr>
      <w:r w:rsidRPr="0060088C">
        <w:t xml:space="preserve">Segmentácia podľa kritérií mediálneho plánovania zase umožňuje identifikovať, ktoré cieľové skupiny sú efektívne </w:t>
      </w:r>
      <w:proofErr w:type="spellStart"/>
      <w:r w:rsidRPr="0060088C">
        <w:t>zasiahnuteľ</w:t>
      </w:r>
      <w:r w:rsidR="00D32623">
        <w:t>n</w:t>
      </w:r>
      <w:r w:rsidRPr="0060088C">
        <w:t>é</w:t>
      </w:r>
      <w:proofErr w:type="spellEnd"/>
      <w:r w:rsidRPr="0060088C">
        <w:t xml:space="preserve"> masovými komunikačnými prostriedkami a na ktoré je efektívne cieliť predovšetkým nástroje </w:t>
      </w:r>
      <w:proofErr w:type="spellStart"/>
      <w:r w:rsidRPr="0060088C">
        <w:t>podlinkovej</w:t>
      </w:r>
      <w:proofErr w:type="spellEnd"/>
      <w:r w:rsidRPr="0060088C">
        <w:t xml:space="preserve"> komunikácie.</w:t>
      </w:r>
      <w:r w:rsidR="00D32623">
        <w:t xml:space="preserve"> V</w:t>
      </w:r>
      <w:r w:rsidR="00F23215">
        <w:t xml:space="preserve"> </w:t>
      </w:r>
      <w:r w:rsidR="00D32623">
        <w:t>prípade orgánov ako napríklad Orgán auditu a C</w:t>
      </w:r>
      <w:r w:rsidR="00D32623" w:rsidRPr="0060088C">
        <w:t>ertifikačný orgán</w:t>
      </w:r>
      <w:r w:rsidR="00D32623">
        <w:t xml:space="preserve"> ide predovšetkým o nevyhnutné </w:t>
      </w:r>
      <w:r w:rsidR="00D32623">
        <w:lastRenderedPageBreak/>
        <w:t>komunikačné nástroje a</w:t>
      </w:r>
      <w:r w:rsidR="00F23215">
        <w:t xml:space="preserve"> </w:t>
      </w:r>
      <w:r w:rsidR="00D32623">
        <w:t xml:space="preserve">výmenu informácií so subjektmi, ktoré sú priamo </w:t>
      </w:r>
      <w:r w:rsidR="00D32623" w:rsidRPr="0060088C">
        <w:t>zainteresované na implementovaní prostriedkov z</w:t>
      </w:r>
      <w:r w:rsidR="00F23215">
        <w:t xml:space="preserve"> </w:t>
      </w:r>
      <w:r w:rsidR="00D32623" w:rsidRPr="0060088C">
        <w:t>EŠIF</w:t>
      </w:r>
      <w:r w:rsidR="00815E24">
        <w:t>.</w:t>
      </w:r>
    </w:p>
    <w:p w14:paraId="68DB6654" w14:textId="77777777" w:rsidR="000E1B00" w:rsidRPr="0060088C" w:rsidRDefault="000E1B00" w:rsidP="000E1B00">
      <w:pPr>
        <w:spacing w:before="120" w:after="120"/>
        <w:jc w:val="both"/>
        <w:rPr>
          <w:b/>
        </w:rPr>
      </w:pPr>
      <w:r w:rsidRPr="0060088C">
        <w:rPr>
          <w:b/>
        </w:rPr>
        <w:t>Segmentácia podľa typu/charakteru subjektu:</w:t>
      </w:r>
    </w:p>
    <w:p w14:paraId="43F198BB" w14:textId="77777777" w:rsidR="000E1B00" w:rsidRPr="0060088C" w:rsidRDefault="000E1B00" w:rsidP="002107A0">
      <w:pPr>
        <w:numPr>
          <w:ilvl w:val="0"/>
          <w:numId w:val="9"/>
        </w:numPr>
        <w:spacing w:before="120" w:after="120"/>
        <w:jc w:val="both"/>
      </w:pPr>
      <w:r w:rsidRPr="0060088C">
        <w:t>Subjekty priamo zapojené do procesu implementácie EŠIF</w:t>
      </w:r>
    </w:p>
    <w:p w14:paraId="267D0D36" w14:textId="62AA9024" w:rsidR="000E1B00" w:rsidRPr="0060088C" w:rsidRDefault="000E1B00" w:rsidP="002107A0">
      <w:pPr>
        <w:numPr>
          <w:ilvl w:val="1"/>
          <w:numId w:val="9"/>
        </w:numPr>
        <w:spacing w:before="120" w:after="120"/>
        <w:jc w:val="both"/>
      </w:pPr>
      <w:r w:rsidRPr="0060088C">
        <w:t>Podpredseda vlády SR pre investície</w:t>
      </w:r>
      <w:r w:rsidR="00815E24">
        <w:t xml:space="preserve"> a informatizáciu;</w:t>
      </w:r>
    </w:p>
    <w:p w14:paraId="26708AD7" w14:textId="77777777" w:rsidR="000E1B00" w:rsidRPr="0060088C" w:rsidRDefault="000E1B00" w:rsidP="002107A0">
      <w:pPr>
        <w:numPr>
          <w:ilvl w:val="1"/>
          <w:numId w:val="9"/>
        </w:numPr>
        <w:spacing w:before="120" w:after="120"/>
        <w:jc w:val="both"/>
      </w:pPr>
      <w:r w:rsidRPr="0060088C">
        <w:t>Centrálny koordinačný orgán</w:t>
      </w:r>
      <w:r w:rsidR="00815E24">
        <w:t>;</w:t>
      </w:r>
    </w:p>
    <w:p w14:paraId="468B12C0" w14:textId="77777777" w:rsidR="000E1B00" w:rsidRPr="0060088C" w:rsidRDefault="000E1B00" w:rsidP="002107A0">
      <w:pPr>
        <w:numPr>
          <w:ilvl w:val="1"/>
          <w:numId w:val="9"/>
        </w:numPr>
        <w:spacing w:before="120" w:after="120"/>
        <w:jc w:val="both"/>
      </w:pPr>
      <w:r w:rsidRPr="0060088C">
        <w:t>RO (zamestnanci)</w:t>
      </w:r>
      <w:r w:rsidRPr="0060088C">
        <w:rPr>
          <w:color w:val="000000"/>
        </w:rPr>
        <w:t>;</w:t>
      </w:r>
    </w:p>
    <w:p w14:paraId="605B35E0" w14:textId="77777777" w:rsidR="000E1B00" w:rsidRPr="0060088C" w:rsidRDefault="000E1B00" w:rsidP="002107A0">
      <w:pPr>
        <w:numPr>
          <w:ilvl w:val="1"/>
          <w:numId w:val="9"/>
        </w:numPr>
        <w:spacing w:before="120" w:after="120"/>
        <w:jc w:val="both"/>
      </w:pPr>
      <w:r w:rsidRPr="0060088C">
        <w:t>SO (zamestnanci)</w:t>
      </w:r>
      <w:r w:rsidRPr="0060088C">
        <w:rPr>
          <w:color w:val="000000"/>
        </w:rPr>
        <w:t>;</w:t>
      </w:r>
    </w:p>
    <w:p w14:paraId="262EC252" w14:textId="77777777" w:rsidR="000E1B00" w:rsidRPr="0060088C" w:rsidRDefault="000E1B00" w:rsidP="002107A0">
      <w:pPr>
        <w:numPr>
          <w:ilvl w:val="1"/>
          <w:numId w:val="9"/>
        </w:numPr>
        <w:spacing w:before="120" w:after="120"/>
        <w:jc w:val="both"/>
      </w:pPr>
      <w:r w:rsidRPr="0060088C">
        <w:t>gestori horizontálnych aktivít (zamestnanci)</w:t>
      </w:r>
      <w:r w:rsidRPr="0060088C">
        <w:rPr>
          <w:color w:val="000000"/>
        </w:rPr>
        <w:t>;</w:t>
      </w:r>
      <w:r w:rsidRPr="0060088C">
        <w:t xml:space="preserve"> </w:t>
      </w:r>
    </w:p>
    <w:p w14:paraId="6AE18580" w14:textId="77777777" w:rsidR="000E1B00" w:rsidRPr="0060088C" w:rsidRDefault="000E1B00" w:rsidP="002107A0">
      <w:pPr>
        <w:numPr>
          <w:ilvl w:val="1"/>
          <w:numId w:val="9"/>
        </w:numPr>
        <w:spacing w:before="120" w:after="120"/>
        <w:jc w:val="both"/>
      </w:pPr>
      <w:r w:rsidRPr="0060088C">
        <w:t>Orgán zabezpečujúci ochranu finančných záujmov</w:t>
      </w:r>
      <w:r w:rsidR="00815E24">
        <w:t>;</w:t>
      </w:r>
    </w:p>
    <w:p w14:paraId="68CB64CD" w14:textId="77777777" w:rsidR="000E1B00" w:rsidRPr="0060088C" w:rsidRDefault="000E1B00" w:rsidP="002107A0">
      <w:pPr>
        <w:numPr>
          <w:ilvl w:val="1"/>
          <w:numId w:val="9"/>
        </w:numPr>
        <w:spacing w:before="120" w:after="120"/>
        <w:jc w:val="both"/>
      </w:pPr>
      <w:r w:rsidRPr="0060088C">
        <w:t>Monitorovací výbor</w:t>
      </w:r>
      <w:r w:rsidR="00815E24">
        <w:t>;</w:t>
      </w:r>
    </w:p>
    <w:p w14:paraId="5DE6FC7D" w14:textId="77777777" w:rsidR="000E1B00" w:rsidRDefault="000E1B00" w:rsidP="002107A0">
      <w:pPr>
        <w:numPr>
          <w:ilvl w:val="1"/>
          <w:numId w:val="9"/>
        </w:numPr>
        <w:spacing w:before="120" w:after="120"/>
        <w:jc w:val="both"/>
      </w:pPr>
      <w:r w:rsidRPr="0060088C">
        <w:t>Národný monitorovací výbor</w:t>
      </w:r>
      <w:r w:rsidR="00815E24">
        <w:t>;</w:t>
      </w:r>
    </w:p>
    <w:p w14:paraId="01713675" w14:textId="77777777" w:rsidR="000E1B00" w:rsidRDefault="000E1B00" w:rsidP="002107A0">
      <w:pPr>
        <w:numPr>
          <w:ilvl w:val="0"/>
          <w:numId w:val="9"/>
        </w:numPr>
        <w:spacing w:before="120" w:after="120"/>
        <w:jc w:val="both"/>
      </w:pPr>
      <w:r w:rsidRPr="0060088C">
        <w:t>Ministerstvo zahraničných vecí a európskych záležitostí SR</w:t>
      </w:r>
      <w:r w:rsidR="00815E24">
        <w:t>;</w:t>
      </w:r>
    </w:p>
    <w:p w14:paraId="6F42E152" w14:textId="77777777" w:rsidR="00D32623" w:rsidRPr="0060088C" w:rsidRDefault="00D32623" w:rsidP="002107A0">
      <w:pPr>
        <w:numPr>
          <w:ilvl w:val="0"/>
          <w:numId w:val="9"/>
        </w:numPr>
        <w:spacing w:before="120" w:after="120"/>
        <w:jc w:val="both"/>
      </w:pPr>
      <w:r>
        <w:t>Orgán auditu</w:t>
      </w:r>
      <w:r w:rsidR="00815E24">
        <w:t>;</w:t>
      </w:r>
    </w:p>
    <w:p w14:paraId="73CAF72E" w14:textId="4468AF5C" w:rsidR="000E1B00" w:rsidRPr="0060088C" w:rsidRDefault="000E1B00" w:rsidP="002107A0">
      <w:pPr>
        <w:numPr>
          <w:ilvl w:val="0"/>
          <w:numId w:val="9"/>
        </w:numPr>
        <w:spacing w:before="120" w:after="120"/>
        <w:jc w:val="both"/>
      </w:pPr>
      <w:r>
        <w:t>C</w:t>
      </w:r>
      <w:r w:rsidRPr="0060088C">
        <w:t>ertifikačný orgán</w:t>
      </w:r>
    </w:p>
    <w:p w14:paraId="4C7996C6" w14:textId="7F1C470B" w:rsidR="000E1B00" w:rsidRPr="0060088C" w:rsidRDefault="000E1B00" w:rsidP="002107A0">
      <w:pPr>
        <w:numPr>
          <w:ilvl w:val="0"/>
          <w:numId w:val="9"/>
        </w:numPr>
        <w:spacing w:before="120" w:after="120"/>
        <w:jc w:val="both"/>
      </w:pPr>
      <w:r w:rsidRPr="0060088C">
        <w:t xml:space="preserve">Európska komisia </w:t>
      </w:r>
      <w:r w:rsidR="00815E24">
        <w:t>(</w:t>
      </w:r>
      <w:r w:rsidR="0041008B" w:rsidRPr="0041008B">
        <w:t xml:space="preserve">príslušné </w:t>
      </w:r>
      <w:r w:rsidR="0041008B" w:rsidRPr="00243F83">
        <w:t>Generálne riaditeľstvá Európskej komisie</w:t>
      </w:r>
      <w:r w:rsidRPr="0041008B">
        <w:t>)</w:t>
      </w:r>
      <w:r w:rsidR="00815E24">
        <w:t>;</w:t>
      </w:r>
    </w:p>
    <w:p w14:paraId="6F99F588" w14:textId="3FA445FD" w:rsidR="000E1B00" w:rsidRDefault="000E1B00" w:rsidP="002107A0">
      <w:pPr>
        <w:numPr>
          <w:ilvl w:val="0"/>
          <w:numId w:val="9"/>
        </w:numPr>
        <w:spacing w:before="120" w:after="120"/>
        <w:jc w:val="both"/>
      </w:pPr>
      <w:r w:rsidRPr="0060088C">
        <w:t>Masmédiá</w:t>
      </w:r>
      <w:r w:rsidR="00815E24">
        <w:t>;</w:t>
      </w:r>
    </w:p>
    <w:p w14:paraId="006D46D0" w14:textId="35C35231" w:rsidR="000E1B00" w:rsidRPr="0060088C" w:rsidRDefault="000E1B00" w:rsidP="002107A0">
      <w:pPr>
        <w:numPr>
          <w:ilvl w:val="0"/>
          <w:numId w:val="9"/>
        </w:numPr>
        <w:spacing w:before="120" w:after="120"/>
        <w:jc w:val="both"/>
      </w:pPr>
      <w:r w:rsidRPr="0060088C">
        <w:t>Potenciálni žiadatelia o</w:t>
      </w:r>
      <w:r w:rsidR="00314454">
        <w:t xml:space="preserve"> </w:t>
      </w:r>
      <w:r w:rsidRPr="0060088C">
        <w:t>NFP, žiadatelia o</w:t>
      </w:r>
      <w:r w:rsidR="00314454">
        <w:t xml:space="preserve"> </w:t>
      </w:r>
      <w:r w:rsidRPr="0060088C">
        <w:t>NFP, prijímatelia NFP</w:t>
      </w:r>
    </w:p>
    <w:p w14:paraId="7B425C52" w14:textId="77777777" w:rsidR="000E1B00" w:rsidRPr="0060088C" w:rsidRDefault="000E1B00" w:rsidP="002107A0">
      <w:pPr>
        <w:numPr>
          <w:ilvl w:val="1"/>
          <w:numId w:val="9"/>
        </w:numPr>
        <w:spacing w:before="120" w:after="120"/>
        <w:jc w:val="both"/>
      </w:pPr>
      <w:r w:rsidRPr="0060088C">
        <w:t>orgány štátnej správy (zástupcovia relevantných orgánov štátnej správy)</w:t>
      </w:r>
      <w:r w:rsidRPr="0060088C">
        <w:rPr>
          <w:color w:val="000000"/>
        </w:rPr>
        <w:t>;</w:t>
      </w:r>
    </w:p>
    <w:p w14:paraId="3BDCAFED" w14:textId="77777777" w:rsidR="000E1B00" w:rsidRPr="0060088C" w:rsidRDefault="000E1B00" w:rsidP="002107A0">
      <w:pPr>
        <w:numPr>
          <w:ilvl w:val="1"/>
          <w:numId w:val="9"/>
        </w:numPr>
        <w:spacing w:before="120" w:after="120"/>
        <w:jc w:val="both"/>
      </w:pPr>
      <w:r w:rsidRPr="0060088C">
        <w:t>orgány regionálnej a miestnej územnej samosprávy (primátori, starostovia, predsedovia VÚC, zamestnanci odboru regionálneho rozvoja VÚC)</w:t>
      </w:r>
      <w:r w:rsidRPr="0060088C">
        <w:rPr>
          <w:color w:val="000000"/>
        </w:rPr>
        <w:t>;</w:t>
      </w:r>
    </w:p>
    <w:p w14:paraId="1C55D8F6" w14:textId="77777777" w:rsidR="000E1B00" w:rsidRPr="0060088C" w:rsidRDefault="000E1B00" w:rsidP="002107A0">
      <w:pPr>
        <w:numPr>
          <w:ilvl w:val="1"/>
          <w:numId w:val="9"/>
        </w:numPr>
        <w:spacing w:before="120" w:after="120"/>
        <w:jc w:val="both"/>
      </w:pPr>
      <w:proofErr w:type="spellStart"/>
      <w:r w:rsidRPr="0060088C">
        <w:t>mikroregióny</w:t>
      </w:r>
      <w:proofErr w:type="spellEnd"/>
      <w:r w:rsidRPr="0060088C">
        <w:t xml:space="preserve">, združenia miest a obcí (zástupcovia </w:t>
      </w:r>
      <w:proofErr w:type="spellStart"/>
      <w:r w:rsidRPr="0060088C">
        <w:t>mikroregiónov</w:t>
      </w:r>
      <w:proofErr w:type="spellEnd"/>
      <w:r w:rsidRPr="0060088C">
        <w:t>, združení miest a obcí)</w:t>
      </w:r>
      <w:r w:rsidRPr="0060088C">
        <w:rPr>
          <w:color w:val="000000"/>
        </w:rPr>
        <w:t>;</w:t>
      </w:r>
    </w:p>
    <w:p w14:paraId="2471223F" w14:textId="77777777" w:rsidR="000E1B00" w:rsidRPr="0060088C" w:rsidRDefault="000E1B00" w:rsidP="002107A0">
      <w:pPr>
        <w:numPr>
          <w:ilvl w:val="1"/>
          <w:numId w:val="9"/>
        </w:numPr>
        <w:spacing w:before="120" w:after="120"/>
        <w:jc w:val="both"/>
      </w:pPr>
      <w:r w:rsidRPr="0060088C">
        <w:t>verejné inštitúcie (zástupcovia univerzít, škôl a i.)</w:t>
      </w:r>
      <w:r w:rsidRPr="0060088C">
        <w:rPr>
          <w:color w:val="000000"/>
        </w:rPr>
        <w:t>;</w:t>
      </w:r>
      <w:r w:rsidRPr="0060088C">
        <w:t xml:space="preserve"> </w:t>
      </w:r>
    </w:p>
    <w:p w14:paraId="233B8C4D" w14:textId="77777777" w:rsidR="000E1B00" w:rsidRPr="0060088C" w:rsidRDefault="000E1B00" w:rsidP="002107A0">
      <w:pPr>
        <w:numPr>
          <w:ilvl w:val="1"/>
          <w:numId w:val="9"/>
        </w:numPr>
        <w:spacing w:before="120" w:after="120"/>
        <w:jc w:val="both"/>
      </w:pPr>
      <w:r w:rsidRPr="0060088C">
        <w:t xml:space="preserve">štátne, verejnoprospešné, neziskové organizácie, občianske a záujmové združenia a profesijné </w:t>
      </w:r>
      <w:r w:rsidRPr="0060088C">
        <w:rPr>
          <w:lang w:val="cs-CZ"/>
        </w:rPr>
        <w:t>komory</w:t>
      </w:r>
      <w:r w:rsidRPr="0060088C">
        <w:t xml:space="preserve"> (zástupcovia)</w:t>
      </w:r>
      <w:r w:rsidRPr="0060088C">
        <w:rPr>
          <w:color w:val="000000"/>
        </w:rPr>
        <w:t>;</w:t>
      </w:r>
    </w:p>
    <w:p w14:paraId="3E822F67" w14:textId="77777777" w:rsidR="000E1B00" w:rsidRPr="0060088C" w:rsidRDefault="000E1B00" w:rsidP="002107A0">
      <w:pPr>
        <w:numPr>
          <w:ilvl w:val="1"/>
          <w:numId w:val="9"/>
        </w:numPr>
        <w:spacing w:before="120" w:after="120"/>
        <w:jc w:val="both"/>
      </w:pPr>
      <w:r w:rsidRPr="0060088C">
        <w:t>podnikateľská sféra (zástupcovia)</w:t>
      </w:r>
      <w:r w:rsidRPr="0060088C">
        <w:rPr>
          <w:color w:val="000000"/>
        </w:rPr>
        <w:t>;</w:t>
      </w:r>
    </w:p>
    <w:p w14:paraId="23615C8F" w14:textId="1C1DD068" w:rsidR="000E1B00" w:rsidRPr="0060088C" w:rsidRDefault="00815E24" w:rsidP="00243F83">
      <w:pPr>
        <w:numPr>
          <w:ilvl w:val="0"/>
          <w:numId w:val="9"/>
        </w:numPr>
        <w:spacing w:before="120" w:after="120"/>
        <w:jc w:val="both"/>
      </w:pPr>
      <w:r>
        <w:t>Š</w:t>
      </w:r>
      <w:r w:rsidR="000E1B00" w:rsidRPr="0060088C">
        <w:t>iroká verejnosť.</w:t>
      </w:r>
    </w:p>
    <w:p w14:paraId="6928A121" w14:textId="77777777" w:rsidR="000E1B00" w:rsidRPr="0060088C" w:rsidRDefault="000E1B00" w:rsidP="000E1B00">
      <w:pPr>
        <w:spacing w:before="120" w:after="120"/>
        <w:jc w:val="both"/>
        <w:rPr>
          <w:b/>
        </w:rPr>
      </w:pPr>
      <w:r w:rsidRPr="0060088C">
        <w:rPr>
          <w:b/>
        </w:rPr>
        <w:t>Segmentácia podľa typu informačných potrieb:</w:t>
      </w:r>
    </w:p>
    <w:p w14:paraId="56BA5E41" w14:textId="77777777" w:rsidR="000E1B00" w:rsidRPr="0060088C" w:rsidRDefault="000E1B00" w:rsidP="002107A0">
      <w:pPr>
        <w:numPr>
          <w:ilvl w:val="0"/>
          <w:numId w:val="9"/>
        </w:numPr>
        <w:spacing w:before="120" w:after="120"/>
        <w:jc w:val="both"/>
      </w:pPr>
      <w:r w:rsidRPr="0060088C">
        <w:t>Subjekty priamo zapojené do procesu implementácie EŠIF</w:t>
      </w:r>
      <w:r w:rsidRPr="0060088C">
        <w:rPr>
          <w:color w:val="000000"/>
        </w:rPr>
        <w:t>;</w:t>
      </w:r>
    </w:p>
    <w:p w14:paraId="46BED9B3" w14:textId="2134E3AA" w:rsidR="000E1B00" w:rsidRPr="0060088C" w:rsidRDefault="000E1B00" w:rsidP="002107A0">
      <w:pPr>
        <w:numPr>
          <w:ilvl w:val="0"/>
          <w:numId w:val="9"/>
        </w:numPr>
        <w:spacing w:before="120" w:after="120"/>
        <w:jc w:val="both"/>
      </w:pPr>
      <w:r w:rsidRPr="0060088C">
        <w:t>Ostatné orgány štátnej správy, regionálnej a</w:t>
      </w:r>
      <w:r w:rsidR="00314454">
        <w:t xml:space="preserve"> </w:t>
      </w:r>
      <w:r w:rsidRPr="0060088C">
        <w:t>miestnej samosprávy, európskych organizácií, ktoré sa podieľajú na procese implementácie EŠIF</w:t>
      </w:r>
      <w:r w:rsidRPr="0060088C">
        <w:rPr>
          <w:color w:val="000000"/>
        </w:rPr>
        <w:t>;</w:t>
      </w:r>
    </w:p>
    <w:p w14:paraId="22B28C0F" w14:textId="218DD7A1" w:rsidR="000E1B00" w:rsidRPr="0060088C" w:rsidRDefault="000E1B00" w:rsidP="002107A0">
      <w:pPr>
        <w:numPr>
          <w:ilvl w:val="0"/>
          <w:numId w:val="9"/>
        </w:numPr>
        <w:spacing w:before="120" w:after="120"/>
        <w:jc w:val="both"/>
      </w:pPr>
      <w:r w:rsidRPr="0060088C">
        <w:t>Potenciálni žiadatelia o</w:t>
      </w:r>
      <w:r w:rsidR="00314454">
        <w:t xml:space="preserve"> </w:t>
      </w:r>
      <w:r w:rsidRPr="0060088C">
        <w:t>NFP, žiadatelia o</w:t>
      </w:r>
      <w:r w:rsidR="00314454">
        <w:t xml:space="preserve"> </w:t>
      </w:r>
      <w:r w:rsidRPr="0060088C">
        <w:t xml:space="preserve">NFP, </w:t>
      </w:r>
      <w:r w:rsidR="00815E24" w:rsidRPr="0060088C">
        <w:t>prij</w:t>
      </w:r>
      <w:r w:rsidR="00815E24">
        <w:t>ímatelia</w:t>
      </w:r>
      <w:r w:rsidRPr="0060088C">
        <w:t xml:space="preserve"> NFP</w:t>
      </w:r>
      <w:r w:rsidRPr="0060088C">
        <w:rPr>
          <w:color w:val="000000"/>
        </w:rPr>
        <w:t>;</w:t>
      </w:r>
    </w:p>
    <w:p w14:paraId="36B3E1BC" w14:textId="77777777" w:rsidR="000E1B00" w:rsidRPr="0060088C" w:rsidRDefault="000E1B00" w:rsidP="002107A0">
      <w:pPr>
        <w:numPr>
          <w:ilvl w:val="0"/>
          <w:numId w:val="9"/>
        </w:numPr>
        <w:spacing w:before="120" w:after="120"/>
        <w:jc w:val="both"/>
      </w:pPr>
      <w:r w:rsidRPr="0060088C">
        <w:t>Médiá</w:t>
      </w:r>
      <w:r w:rsidRPr="0060088C">
        <w:rPr>
          <w:color w:val="000000"/>
        </w:rPr>
        <w:t>;</w:t>
      </w:r>
    </w:p>
    <w:p w14:paraId="2DE7AB4F" w14:textId="77777777" w:rsidR="000E1B00" w:rsidRPr="0060088C" w:rsidRDefault="000E1B00" w:rsidP="002107A0">
      <w:pPr>
        <w:numPr>
          <w:ilvl w:val="0"/>
          <w:numId w:val="9"/>
        </w:numPr>
        <w:spacing w:before="120" w:after="120"/>
        <w:jc w:val="both"/>
      </w:pPr>
      <w:r w:rsidRPr="0060088C">
        <w:t>Široká verejnosť.</w:t>
      </w:r>
    </w:p>
    <w:p w14:paraId="4BD63CE5" w14:textId="77777777" w:rsidR="00F23215" w:rsidRDefault="00F23215" w:rsidP="000E1B00">
      <w:pPr>
        <w:spacing w:before="120" w:after="120"/>
        <w:jc w:val="both"/>
        <w:rPr>
          <w:b/>
        </w:rPr>
      </w:pPr>
    </w:p>
    <w:p w14:paraId="2BA3D084" w14:textId="352E49E9" w:rsidR="000E1B00" w:rsidRPr="0060088C" w:rsidRDefault="000E1B00" w:rsidP="000E1B00">
      <w:pPr>
        <w:spacing w:before="120" w:after="120"/>
        <w:jc w:val="both"/>
        <w:rPr>
          <w:b/>
        </w:rPr>
      </w:pPr>
      <w:r w:rsidRPr="0060088C">
        <w:rPr>
          <w:b/>
        </w:rPr>
        <w:lastRenderedPageBreak/>
        <w:t>Segmentácia podľa kritérií mediálneho plánovania:</w:t>
      </w:r>
    </w:p>
    <w:p w14:paraId="46831120" w14:textId="599604EB" w:rsidR="000E1B00" w:rsidRPr="0060088C" w:rsidRDefault="000E1B00" w:rsidP="002107A0">
      <w:pPr>
        <w:numPr>
          <w:ilvl w:val="0"/>
          <w:numId w:val="10"/>
        </w:numPr>
        <w:spacing w:before="120" w:after="120"/>
        <w:jc w:val="both"/>
      </w:pPr>
      <w:r w:rsidRPr="0060088C">
        <w:t>Cieľové skupiny, ktoré sú homogénne a</w:t>
      </w:r>
      <w:r w:rsidR="00F23215">
        <w:t xml:space="preserve"> </w:t>
      </w:r>
      <w:r w:rsidRPr="0060088C">
        <w:t>dostatočne veľké na komunikáciu prostredníctvom masových médií</w:t>
      </w:r>
    </w:p>
    <w:p w14:paraId="2D34C2CE" w14:textId="77777777" w:rsidR="000E1B00" w:rsidRPr="0060088C" w:rsidRDefault="000E1B00" w:rsidP="002107A0">
      <w:pPr>
        <w:numPr>
          <w:ilvl w:val="1"/>
          <w:numId w:val="10"/>
        </w:numPr>
        <w:spacing w:before="120" w:after="120"/>
        <w:jc w:val="both"/>
      </w:pPr>
      <w:r w:rsidRPr="0060088C">
        <w:t>široká verejnosť</w:t>
      </w:r>
      <w:r w:rsidRPr="0060088C">
        <w:rPr>
          <w:color w:val="000000"/>
        </w:rPr>
        <w:t>;</w:t>
      </w:r>
    </w:p>
    <w:p w14:paraId="5C222BEE" w14:textId="77777777" w:rsidR="000E1B00" w:rsidRPr="0060088C" w:rsidRDefault="000E1B00" w:rsidP="002107A0">
      <w:pPr>
        <w:numPr>
          <w:ilvl w:val="1"/>
          <w:numId w:val="10"/>
        </w:numPr>
        <w:spacing w:before="120" w:after="120"/>
        <w:jc w:val="both"/>
      </w:pPr>
      <w:r w:rsidRPr="0060088C">
        <w:t>podnikateľský sektor.</w:t>
      </w:r>
    </w:p>
    <w:p w14:paraId="25FC3429" w14:textId="77777777" w:rsidR="000E1B00" w:rsidRPr="0060088C" w:rsidRDefault="000E1B00" w:rsidP="002107A0">
      <w:pPr>
        <w:numPr>
          <w:ilvl w:val="0"/>
          <w:numId w:val="10"/>
        </w:numPr>
        <w:spacing w:before="120" w:after="120"/>
        <w:jc w:val="both"/>
      </w:pPr>
      <w:r w:rsidRPr="0060088C">
        <w:t xml:space="preserve">Cieľové skupiny, ktoré sú efektívnejšie </w:t>
      </w:r>
      <w:proofErr w:type="spellStart"/>
      <w:r w:rsidRPr="0060088C">
        <w:t>zasiahnuteľné</w:t>
      </w:r>
      <w:proofErr w:type="spellEnd"/>
      <w:r w:rsidRPr="0060088C">
        <w:t xml:space="preserve"> prostredníctvom </w:t>
      </w:r>
      <w:proofErr w:type="spellStart"/>
      <w:r w:rsidRPr="0060088C">
        <w:t>podlinkových</w:t>
      </w:r>
      <w:proofErr w:type="spellEnd"/>
      <w:r w:rsidRPr="0060088C">
        <w:t xml:space="preserve"> komunikačných aktivít</w:t>
      </w:r>
    </w:p>
    <w:p w14:paraId="5769D58C" w14:textId="77777777" w:rsidR="000E1B00" w:rsidRPr="0060088C" w:rsidRDefault="000E1B00" w:rsidP="002107A0">
      <w:pPr>
        <w:numPr>
          <w:ilvl w:val="1"/>
          <w:numId w:val="10"/>
        </w:numPr>
        <w:spacing w:before="120" w:after="120"/>
        <w:jc w:val="both"/>
      </w:pPr>
      <w:r w:rsidRPr="0060088C">
        <w:t>subjekty priamo zapojené do procesu implementácie EŠIF</w:t>
      </w:r>
      <w:r w:rsidRPr="0060088C">
        <w:rPr>
          <w:color w:val="000000"/>
        </w:rPr>
        <w:t>;</w:t>
      </w:r>
    </w:p>
    <w:p w14:paraId="12322EBC" w14:textId="77777777" w:rsidR="000E1B00" w:rsidRPr="0060088C" w:rsidRDefault="000E1B00" w:rsidP="002107A0">
      <w:pPr>
        <w:numPr>
          <w:ilvl w:val="1"/>
          <w:numId w:val="10"/>
        </w:numPr>
        <w:spacing w:before="120" w:after="120"/>
        <w:jc w:val="both"/>
      </w:pPr>
      <w:r w:rsidRPr="0060088C">
        <w:t>Národný monitorovací výbor, Monitorovacie výbory  (členovia)</w:t>
      </w:r>
      <w:r w:rsidRPr="0060088C">
        <w:rPr>
          <w:color w:val="000000"/>
        </w:rPr>
        <w:t>;</w:t>
      </w:r>
    </w:p>
    <w:p w14:paraId="2A3791BA" w14:textId="4BEE3797" w:rsidR="000E1B00" w:rsidRPr="0060088C" w:rsidRDefault="000E1B00" w:rsidP="002107A0">
      <w:pPr>
        <w:numPr>
          <w:ilvl w:val="1"/>
          <w:numId w:val="10"/>
        </w:numPr>
        <w:spacing w:before="120" w:after="120"/>
        <w:jc w:val="both"/>
      </w:pPr>
      <w:r w:rsidRPr="0060088C">
        <w:t>Európska komisia (</w:t>
      </w:r>
      <w:r w:rsidR="0041008B" w:rsidRPr="0041008B">
        <w:t xml:space="preserve">príslušné </w:t>
      </w:r>
      <w:r w:rsidR="0041008B" w:rsidRPr="00243F83">
        <w:t>Generálne riaditeľstvá Európskej komisie</w:t>
      </w:r>
      <w:r w:rsidRPr="0060088C">
        <w:t>)</w:t>
      </w:r>
      <w:r w:rsidRPr="00243F83">
        <w:t>;</w:t>
      </w:r>
    </w:p>
    <w:p w14:paraId="30DE6596" w14:textId="77777777" w:rsidR="000E1B00" w:rsidRPr="0060088C" w:rsidRDefault="000E1B00" w:rsidP="002107A0">
      <w:pPr>
        <w:numPr>
          <w:ilvl w:val="1"/>
          <w:numId w:val="10"/>
        </w:numPr>
        <w:spacing w:before="120" w:after="120"/>
        <w:jc w:val="both"/>
      </w:pPr>
      <w:r w:rsidRPr="0060088C">
        <w:t>orgány štátnej správy (zástupcovia relevantných orgánov štátnej správy)</w:t>
      </w:r>
      <w:r w:rsidRPr="0060088C">
        <w:rPr>
          <w:color w:val="000000"/>
        </w:rPr>
        <w:t>;</w:t>
      </w:r>
    </w:p>
    <w:p w14:paraId="5EEBFD3D" w14:textId="0CD7740D" w:rsidR="000E1B00" w:rsidRPr="0060088C" w:rsidRDefault="000E1B00" w:rsidP="002107A0">
      <w:pPr>
        <w:numPr>
          <w:ilvl w:val="1"/>
          <w:numId w:val="10"/>
        </w:numPr>
        <w:spacing w:before="120" w:after="120"/>
        <w:jc w:val="both"/>
      </w:pPr>
      <w:r w:rsidRPr="0060088C">
        <w:t>orgány regionálnej a miestnej územnej samosprávy (primátori, starostovia, predsedovia VÚC)</w:t>
      </w:r>
      <w:r w:rsidRPr="0060088C">
        <w:rPr>
          <w:color w:val="000000"/>
        </w:rPr>
        <w:t>;</w:t>
      </w:r>
    </w:p>
    <w:p w14:paraId="1E5EED85" w14:textId="6B478582" w:rsidR="000E1B00" w:rsidRPr="0060088C" w:rsidRDefault="000E1B00" w:rsidP="002107A0">
      <w:pPr>
        <w:numPr>
          <w:ilvl w:val="1"/>
          <w:numId w:val="10"/>
        </w:numPr>
        <w:spacing w:before="120" w:after="120"/>
        <w:jc w:val="both"/>
      </w:pPr>
      <w:proofErr w:type="spellStart"/>
      <w:r w:rsidRPr="0060088C">
        <w:t>mikroregióny</w:t>
      </w:r>
      <w:proofErr w:type="spellEnd"/>
      <w:r w:rsidRPr="0060088C">
        <w:t xml:space="preserve">, združenia miest a obcí (zástupcovia </w:t>
      </w:r>
      <w:proofErr w:type="spellStart"/>
      <w:r w:rsidRPr="0060088C">
        <w:t>mikroregiónov</w:t>
      </w:r>
      <w:proofErr w:type="spellEnd"/>
      <w:r w:rsidRPr="0060088C">
        <w:t>, združení miest a</w:t>
      </w:r>
      <w:r w:rsidR="00F23215">
        <w:t xml:space="preserve"> </w:t>
      </w:r>
      <w:r w:rsidRPr="0060088C">
        <w:t>obcí)</w:t>
      </w:r>
      <w:r w:rsidRPr="0060088C">
        <w:rPr>
          <w:color w:val="000000"/>
        </w:rPr>
        <w:t>;</w:t>
      </w:r>
    </w:p>
    <w:p w14:paraId="3ACAD16C" w14:textId="77777777" w:rsidR="000E1B00" w:rsidRPr="0060088C" w:rsidRDefault="000E1B00" w:rsidP="002107A0">
      <w:pPr>
        <w:numPr>
          <w:ilvl w:val="1"/>
          <w:numId w:val="10"/>
        </w:numPr>
        <w:spacing w:before="120" w:after="120"/>
        <w:jc w:val="both"/>
      </w:pPr>
      <w:r w:rsidRPr="0060088C">
        <w:t>verejné inštitúcie (zástupcovia univerzít, škôl a i.)</w:t>
      </w:r>
      <w:r w:rsidRPr="0060088C">
        <w:rPr>
          <w:color w:val="000000"/>
        </w:rPr>
        <w:t>;</w:t>
      </w:r>
      <w:r w:rsidRPr="0060088C">
        <w:t xml:space="preserve"> </w:t>
      </w:r>
    </w:p>
    <w:p w14:paraId="11D0E85D" w14:textId="08B8A9D7" w:rsidR="000E1B00" w:rsidRPr="0060088C" w:rsidRDefault="000E1B00" w:rsidP="002107A0">
      <w:pPr>
        <w:numPr>
          <w:ilvl w:val="1"/>
          <w:numId w:val="10"/>
        </w:numPr>
        <w:spacing w:before="120" w:after="120"/>
        <w:jc w:val="both"/>
      </w:pPr>
      <w:r w:rsidRPr="0060088C">
        <w:t>štátne, verejnoprospešné, neziskové organizácie, občianske a</w:t>
      </w:r>
      <w:r w:rsidR="00314454">
        <w:t xml:space="preserve"> </w:t>
      </w:r>
      <w:r w:rsidRPr="0060088C">
        <w:t>záujmové združenia a</w:t>
      </w:r>
      <w:r w:rsidR="00314454">
        <w:t xml:space="preserve"> </w:t>
      </w:r>
      <w:r w:rsidRPr="0060088C">
        <w:t>profesijné komory (zástupcovia).</w:t>
      </w:r>
    </w:p>
    <w:p w14:paraId="166F003E" w14:textId="16B2FBA0" w:rsidR="000E1B00" w:rsidRDefault="000E1B00" w:rsidP="00243F83">
      <w:pPr>
        <w:spacing w:before="120" w:after="120"/>
        <w:ind w:left="284"/>
        <w:jc w:val="both"/>
      </w:pPr>
      <w:r w:rsidRPr="0060088C">
        <w:t>Na základe uvedenej segmentácie je v</w:t>
      </w:r>
      <w:r w:rsidR="00F23215">
        <w:t xml:space="preserve"> </w:t>
      </w:r>
      <w:r w:rsidRPr="0060088C">
        <w:t>samotnej komunikačnej stratégii i</w:t>
      </w:r>
      <w:r w:rsidR="00F23215">
        <w:t xml:space="preserve"> </w:t>
      </w:r>
      <w:r w:rsidRPr="0060088C">
        <w:t xml:space="preserve">ročných komunikačných plánoch možné presne priradiť k informačným prioritám/komunikačným cieľom príslušné cieľové skupiny, nástroje komunikácie, zodpovedajúcu výšku finančných prostriedkov na komunikáciu a tiež naplánovať </w:t>
      </w:r>
      <w:r w:rsidR="00C93B00">
        <w:t>načasovanie</w:t>
      </w:r>
      <w:r w:rsidR="00C93B00" w:rsidRPr="0060088C">
        <w:t xml:space="preserve"> </w:t>
      </w:r>
      <w:r w:rsidRPr="0060088C">
        <w:t>komunikácie s</w:t>
      </w:r>
      <w:r w:rsidR="00F23215">
        <w:t xml:space="preserve"> </w:t>
      </w:r>
      <w:r w:rsidRPr="0060088C">
        <w:t>nimi.</w:t>
      </w:r>
    </w:p>
    <w:p w14:paraId="3B6916CD" w14:textId="77777777" w:rsidR="00B37E57" w:rsidRDefault="001A04BB" w:rsidP="00B37E57">
      <w:pPr>
        <w:pStyle w:val="MPCKO1"/>
        <w:ind w:left="284" w:hanging="284"/>
      </w:pPr>
      <w:bookmarkStart w:id="9" w:name="_Toc469255069"/>
      <w:r>
        <w:t>4</w:t>
      </w:r>
      <w:r w:rsidR="00B37E57" w:rsidRPr="00B37E57">
        <w:t xml:space="preserve"> </w:t>
      </w:r>
      <w:r w:rsidR="00490454">
        <w:t>Komunikačn</w:t>
      </w:r>
      <w:r w:rsidR="00E37D96">
        <w:t>á stratégia</w:t>
      </w:r>
      <w:bookmarkEnd w:id="9"/>
    </w:p>
    <w:p w14:paraId="499C8CDD" w14:textId="79A4B293" w:rsidR="000E1B00" w:rsidRPr="00387AE6" w:rsidRDefault="000E1B00" w:rsidP="002107A0">
      <w:pPr>
        <w:pStyle w:val="Odsekzoznamu"/>
        <w:numPr>
          <w:ilvl w:val="0"/>
          <w:numId w:val="12"/>
        </w:numPr>
        <w:spacing w:before="120" w:after="120"/>
        <w:ind w:left="426" w:hanging="426"/>
        <w:contextualSpacing w:val="0"/>
        <w:jc w:val="both"/>
      </w:pPr>
      <w:r w:rsidRPr="00387AE6">
        <w:t xml:space="preserve">Komunikačná stratégia vychádza z princípu, že komunikácia </w:t>
      </w:r>
      <w:r w:rsidRPr="00F365DE">
        <w:t>je</w:t>
      </w:r>
      <w:r w:rsidRPr="00387AE6">
        <w:t xml:space="preserve"> neoddeliteľnou súčasťou  politiky</w:t>
      </w:r>
      <w:r w:rsidR="000C5573" w:rsidRPr="00387AE6">
        <w:t xml:space="preserve"> súdržnosti</w:t>
      </w:r>
      <w:r w:rsidRPr="00387AE6">
        <w:t>, keďže prispieva k transparentnej implementácii a</w:t>
      </w:r>
      <w:r w:rsidR="00314454">
        <w:t xml:space="preserve"> </w:t>
      </w:r>
      <w:r w:rsidRPr="00387AE6">
        <w:t>budovaniu administratívnych kapacít pre nástroje politiky</w:t>
      </w:r>
      <w:r w:rsidR="000C5573" w:rsidRPr="00387AE6">
        <w:t xml:space="preserve"> súdržnosti</w:t>
      </w:r>
      <w:r w:rsidRPr="00387AE6">
        <w:t xml:space="preserve">. Pomáha </w:t>
      </w:r>
      <w:r w:rsidRPr="00F365DE">
        <w:t>prispievať</w:t>
      </w:r>
      <w:r w:rsidRPr="00387AE6">
        <w:t xml:space="preserve"> k modernizácii ekonomiky EÚ a</w:t>
      </w:r>
      <w:r w:rsidR="00F23215">
        <w:t xml:space="preserve"> </w:t>
      </w:r>
      <w:r w:rsidRPr="00387AE6">
        <w:t xml:space="preserve">stratégie pre rast a pre nárast pracovných </w:t>
      </w:r>
      <w:r w:rsidRPr="00F365DE">
        <w:t>miest</w:t>
      </w:r>
      <w:r w:rsidRPr="00387AE6">
        <w:t xml:space="preserve">, k zdôrazňovaniu kvality </w:t>
      </w:r>
      <w:r w:rsidR="00C93B00" w:rsidRPr="00387AE6">
        <w:t xml:space="preserve">OP </w:t>
      </w:r>
      <w:r w:rsidRPr="00387AE6">
        <w:t>aj</w:t>
      </w:r>
      <w:r w:rsidR="00F23215">
        <w:t xml:space="preserve"> </w:t>
      </w:r>
      <w:r w:rsidRPr="00387AE6">
        <w:t xml:space="preserve">samotných projektov, pričom pomáha šíriť príklady úspešných projektov. Komunikačná stratégia vychádza z analýzy stavu. </w:t>
      </w:r>
    </w:p>
    <w:p w14:paraId="15D4E4B0" w14:textId="6632832D" w:rsidR="000E1B00" w:rsidRPr="00387AE6" w:rsidRDefault="000E1B00" w:rsidP="002107A0">
      <w:pPr>
        <w:pStyle w:val="Odsekzoznamu"/>
        <w:numPr>
          <w:ilvl w:val="0"/>
          <w:numId w:val="12"/>
        </w:numPr>
        <w:spacing w:before="120" w:after="120"/>
        <w:ind w:left="426" w:hanging="426"/>
        <w:contextualSpacing w:val="0"/>
        <w:jc w:val="both"/>
      </w:pPr>
      <w:r w:rsidRPr="00387AE6">
        <w:t xml:space="preserve">Komunikačná stratégia popisuje akým spôsobom je potrebné realizovať komunikačné aktivity  a ako dosiahnuť stanovené ciele. Samotná komunikačná  stratégia má vychádzať z cieľov </w:t>
      </w:r>
      <w:r w:rsidR="00C93B00" w:rsidRPr="00387AE6">
        <w:t>OP</w:t>
      </w:r>
      <w:r w:rsidRPr="00387AE6">
        <w:t xml:space="preserve">. Má obsahovať opatrenia v oblasti informovania a komunikácie určené pre potenciálnych prijímateľov, prijímateľov a verejnosť, ktoré má prijať RO v súvislosti so zdôraznením hodnoty pomoci Európskej únie na štátnej, regionálnej a miestnej úrovni. </w:t>
      </w:r>
    </w:p>
    <w:p w14:paraId="2355E4B8" w14:textId="3ADF3089" w:rsidR="000E1B00" w:rsidRPr="00387AE6" w:rsidRDefault="000E1B00" w:rsidP="002107A0">
      <w:pPr>
        <w:pStyle w:val="Odsekzoznamu"/>
        <w:numPr>
          <w:ilvl w:val="0"/>
          <w:numId w:val="12"/>
        </w:numPr>
        <w:spacing w:before="120" w:after="120"/>
        <w:ind w:left="426" w:hanging="426"/>
        <w:contextualSpacing w:val="0"/>
        <w:jc w:val="both"/>
      </w:pPr>
      <w:r w:rsidRPr="00387AE6">
        <w:t xml:space="preserve">Komunikačná stratégia </w:t>
      </w:r>
      <w:r w:rsidR="00C93B00" w:rsidRPr="00387AE6">
        <w:t>OP</w:t>
      </w:r>
      <w:r w:rsidRPr="00387AE6">
        <w:t xml:space="preserve"> pri rešpektovaní všetkých legislatívnych požiadaviek vychádza zo všeobecných princípov komunikácie. </w:t>
      </w:r>
    </w:p>
    <w:p w14:paraId="313423D6" w14:textId="77777777" w:rsidR="004A61B5" w:rsidRDefault="000E1B00" w:rsidP="004A61B5">
      <w:pPr>
        <w:pStyle w:val="Odsekzoznamu"/>
        <w:numPr>
          <w:ilvl w:val="0"/>
          <w:numId w:val="12"/>
        </w:numPr>
        <w:spacing w:before="120" w:after="120"/>
        <w:ind w:left="426" w:hanging="426"/>
        <w:contextualSpacing w:val="0"/>
        <w:jc w:val="both"/>
      </w:pPr>
      <w:r w:rsidRPr="0060088C">
        <w:t>Komunikačná stratégia je vyjadrením spôsobu, akým bude RO uvádzať každoročný komunikačný plán (ďalej aj „RKP“) do praxe v programovom období 2014 – 2020.</w:t>
      </w:r>
    </w:p>
    <w:p w14:paraId="398E4B53" w14:textId="1F55D3C9" w:rsidR="00C33755" w:rsidRDefault="004A61B5" w:rsidP="004A61B5">
      <w:pPr>
        <w:pStyle w:val="Odsekzoznamu"/>
        <w:numPr>
          <w:ilvl w:val="0"/>
          <w:numId w:val="12"/>
        </w:numPr>
        <w:spacing w:before="120" w:after="120"/>
        <w:ind w:left="426" w:hanging="426"/>
        <w:contextualSpacing w:val="0"/>
        <w:jc w:val="both"/>
      </w:pPr>
      <w:r w:rsidRPr="004A61B5">
        <w:lastRenderedPageBreak/>
        <w:t xml:space="preserve">Komunikačná stratégia sa v súlade s článkom 110 ods. 2 písm. d) predloží monitorovaciemu výboru na schválenie najneskôr šesť mesiacov od prijatia príslušného operačného programu alebo programov. Keď sa pre niekoľko </w:t>
      </w:r>
      <w:r w:rsidR="00C93B00">
        <w:t>OP</w:t>
      </w:r>
      <w:r w:rsidRPr="004A61B5">
        <w:t xml:space="preserve"> vypracuje spoločná komunikačná stratégia, ktorá sa týka niekoľkých monitorovacích výborov, členský štát môže určiť jeden monitorovací výbor, ktorý bude po porade s ďalšími príslušnými monitorovacími výbormi zodpovedať za schválenie spoločnej stratégie a za schválenie všetkých následných zmien tejto stratégie.</w:t>
      </w:r>
    </w:p>
    <w:p w14:paraId="384F9D0A" w14:textId="1E7298C3" w:rsidR="004A61B5" w:rsidRDefault="004A61B5" w:rsidP="004A61B5">
      <w:pPr>
        <w:pStyle w:val="Odsekzoznamu"/>
        <w:numPr>
          <w:ilvl w:val="0"/>
          <w:numId w:val="12"/>
        </w:numPr>
        <w:spacing w:before="120" w:after="120"/>
        <w:ind w:left="426" w:hanging="426"/>
        <w:contextualSpacing w:val="0"/>
        <w:jc w:val="both"/>
      </w:pPr>
      <w:r w:rsidRPr="004A61B5">
        <w:t xml:space="preserve">Členský štát alebo </w:t>
      </w:r>
      <w:r w:rsidR="00C93B00">
        <w:t>RO</w:t>
      </w:r>
      <w:r w:rsidRPr="004A61B5">
        <w:t xml:space="preserve"> môžu v prípade potreby počas programového obdobia komunikačnú stratégiu revidovať. </w:t>
      </w:r>
      <w:r w:rsidR="00C33755">
        <w:t>RO</w:t>
      </w:r>
      <w:r w:rsidRPr="004A61B5">
        <w:t xml:space="preserve"> predloží v súlade s článkom 110 ods. 2 písm. d) revidovanú komunikačnú stratégiu monitorovaciemu výboru na schválenie</w:t>
      </w:r>
      <w:r>
        <w:t>.</w:t>
      </w:r>
    </w:p>
    <w:p w14:paraId="6148495F" w14:textId="11A13FAD" w:rsidR="004A61B5" w:rsidRDefault="004A61B5" w:rsidP="004A61B5">
      <w:pPr>
        <w:pStyle w:val="Odsekzoznamu"/>
        <w:numPr>
          <w:ilvl w:val="0"/>
          <w:numId w:val="12"/>
        </w:numPr>
        <w:spacing w:before="120" w:after="120"/>
        <w:ind w:left="426" w:hanging="426"/>
        <w:contextualSpacing w:val="0"/>
        <w:jc w:val="both"/>
      </w:pPr>
      <w:r w:rsidRPr="004A61B5">
        <w:t xml:space="preserve">Odchylne od </w:t>
      </w:r>
      <w:r w:rsidR="00C33755">
        <w:t>bodu 6</w:t>
      </w:r>
      <w:r w:rsidRPr="004A61B5">
        <w:t xml:space="preserve"> </w:t>
      </w:r>
      <w:r w:rsidR="00C33755">
        <w:t>RO</w:t>
      </w:r>
      <w:r w:rsidRPr="004A61B5">
        <w:t xml:space="preserve"> informuje zodpovedný monitorovací výbor alebo výbory aspoň raz do roka o pokroku dosiahnutom pri uplatňovaní komunikačnej stratégie, ako je uvedené v článku 110 ods. 1 písm. c), a o analýze jej výsledkov, ako aj o plánovaných informačných a komunikačných činnostiach, ktoré sa budú vykonávať v nasledujúcom roku. Monitorovací výbor v prípade, keď to považuje za vhodné, vydá stanovisko o plánovaných činnostiach na nasledujúci rok.</w:t>
      </w:r>
    </w:p>
    <w:p w14:paraId="5B9A153F" w14:textId="0F489403" w:rsidR="00284A43" w:rsidRDefault="00284A43" w:rsidP="00F365DE">
      <w:pPr>
        <w:pStyle w:val="Odsekzoznamu"/>
        <w:numPr>
          <w:ilvl w:val="0"/>
          <w:numId w:val="12"/>
        </w:numPr>
        <w:tabs>
          <w:tab w:val="left" w:pos="426"/>
        </w:tabs>
        <w:ind w:left="426"/>
      </w:pPr>
      <w:r>
        <w:t xml:space="preserve">Komunikačná stratégia vypracovaná riadiacim orgánom, a prípadne členským štátom, zahŕňa tieto prvky: </w:t>
      </w:r>
    </w:p>
    <w:p w14:paraId="5B3F54C0" w14:textId="6654513F" w:rsidR="00387AE6" w:rsidRPr="00284A43" w:rsidRDefault="00284A43" w:rsidP="00F365DE">
      <w:pPr>
        <w:pStyle w:val="Odsekzoznamu"/>
        <w:numPr>
          <w:ilvl w:val="0"/>
          <w:numId w:val="47"/>
        </w:numPr>
        <w:tabs>
          <w:tab w:val="left" w:pos="426"/>
        </w:tabs>
        <w:jc w:val="both"/>
      </w:pPr>
      <w:r w:rsidRPr="00284A43">
        <w:t xml:space="preserve">opis prijatého prístupu vrátane hlavných informačných a komunikačných opatrení prijatých členským štátom alebo riadiacim orgánom, zameraného na potenciálnych prijímateľov, prijímateľov, </w:t>
      </w:r>
      <w:proofErr w:type="spellStart"/>
      <w:r w:rsidRPr="00284A43">
        <w:t>multiplikátorov</w:t>
      </w:r>
      <w:proofErr w:type="spellEnd"/>
      <w:r w:rsidRPr="00284A43">
        <w:t xml:space="preserve"> a širokú verejnosť s ohľadom na ciele opísané v článku 115; </w:t>
      </w:r>
    </w:p>
    <w:p w14:paraId="2BDBAB00" w14:textId="4BBDD732" w:rsidR="00284A43" w:rsidRPr="00284A43" w:rsidRDefault="00284A43" w:rsidP="00F365DE">
      <w:pPr>
        <w:pStyle w:val="Odsekzoznamu"/>
        <w:numPr>
          <w:ilvl w:val="0"/>
          <w:numId w:val="47"/>
        </w:numPr>
        <w:tabs>
          <w:tab w:val="left" w:pos="426"/>
        </w:tabs>
        <w:jc w:val="both"/>
      </w:pPr>
      <w:r w:rsidRPr="00284A43">
        <w:t xml:space="preserve">opis materiálov, ktoré budú k dispozícii vo formátoch prístupných pre osoby so zdravotným postihnutím; </w:t>
      </w:r>
    </w:p>
    <w:p w14:paraId="253BEEF3" w14:textId="4CF575ED" w:rsidR="00284A43" w:rsidRPr="00284A43" w:rsidRDefault="00284A43" w:rsidP="00F365DE">
      <w:pPr>
        <w:pStyle w:val="Odsekzoznamu"/>
        <w:numPr>
          <w:ilvl w:val="0"/>
          <w:numId w:val="47"/>
        </w:numPr>
        <w:tabs>
          <w:tab w:val="left" w:pos="426"/>
        </w:tabs>
        <w:jc w:val="both"/>
      </w:pPr>
      <w:r w:rsidRPr="00284A43">
        <w:t xml:space="preserve">opis podpory, ktorú prijímatelia dostanú na svoje komunikačné činnosti, </w:t>
      </w:r>
    </w:p>
    <w:p w14:paraId="074AB2DA" w14:textId="7FB9D9FD" w:rsidR="00284A43" w:rsidRPr="00284A43" w:rsidRDefault="00284A43" w:rsidP="00F365DE">
      <w:pPr>
        <w:pStyle w:val="Odsekzoznamu"/>
        <w:numPr>
          <w:ilvl w:val="0"/>
          <w:numId w:val="47"/>
        </w:numPr>
        <w:tabs>
          <w:tab w:val="left" w:pos="426"/>
        </w:tabs>
        <w:jc w:val="both"/>
      </w:pPr>
      <w:r w:rsidRPr="00284A43">
        <w:t>orientačný rozpočet na vykonanie stratégie;</w:t>
      </w:r>
    </w:p>
    <w:p w14:paraId="649CB508" w14:textId="6F447A86" w:rsidR="00284A43" w:rsidRPr="00284A43" w:rsidRDefault="00284A43" w:rsidP="00F365DE">
      <w:pPr>
        <w:pStyle w:val="Odsekzoznamu"/>
        <w:numPr>
          <w:ilvl w:val="0"/>
          <w:numId w:val="47"/>
        </w:numPr>
        <w:tabs>
          <w:tab w:val="left" w:pos="426"/>
        </w:tabs>
        <w:jc w:val="both"/>
      </w:pPr>
      <w:r w:rsidRPr="00284A43">
        <w:t xml:space="preserve">opis orgánov verejnej správy vrátane ľudských zdrojov, ktoré sú zodpovedné za vykonávanie informačných a komunikačných opatrení; </w:t>
      </w:r>
    </w:p>
    <w:p w14:paraId="6AD9EA84" w14:textId="311D68E8" w:rsidR="00284A43" w:rsidRPr="00284A43" w:rsidRDefault="00284A43" w:rsidP="00F365DE">
      <w:pPr>
        <w:pStyle w:val="Odsekzoznamu"/>
        <w:numPr>
          <w:ilvl w:val="0"/>
          <w:numId w:val="47"/>
        </w:numPr>
        <w:tabs>
          <w:tab w:val="left" w:pos="426"/>
        </w:tabs>
        <w:jc w:val="both"/>
      </w:pPr>
      <w:r w:rsidRPr="00284A43">
        <w:t xml:space="preserve">opatrenia na vykonanie informačných a komunikačných opatrení uvedené v bode 2 vrátane webovej stránky alebo webového portálu, na ktorom takéto údaje možno nájsť; </w:t>
      </w:r>
    </w:p>
    <w:p w14:paraId="4506B866" w14:textId="504E5A48" w:rsidR="00284A43" w:rsidRPr="00284A43" w:rsidRDefault="00284A43" w:rsidP="00F365DE">
      <w:pPr>
        <w:pStyle w:val="Odsekzoznamu"/>
        <w:numPr>
          <w:ilvl w:val="0"/>
          <w:numId w:val="47"/>
        </w:numPr>
        <w:tabs>
          <w:tab w:val="left" w:pos="426"/>
        </w:tabs>
        <w:jc w:val="both"/>
      </w:pPr>
      <w:r w:rsidRPr="00284A43">
        <w:t>na</w:t>
      </w:r>
      <w:r w:rsidR="00A00E0E">
        <w:t>vrhnutie spôsobu</w:t>
      </w:r>
      <w:r w:rsidRPr="00284A43">
        <w:t xml:space="preserve">, ako sa informačné a komunikačné opatrenia budú posudzovať </w:t>
      </w:r>
      <w:r w:rsidR="00A00E0E">
        <w:t xml:space="preserve">                   </w:t>
      </w:r>
      <w:r w:rsidRPr="00284A43">
        <w:t xml:space="preserve">z hľadiska viditeľnosti politiky a informovanosti o nej, operačných programov, operácií a úlohy, ktorú zohrávajú fondy a Únia; </w:t>
      </w:r>
    </w:p>
    <w:p w14:paraId="2DDCF0DB" w14:textId="68EA595D" w:rsidR="00284A43" w:rsidRPr="00284A43" w:rsidRDefault="00284A43" w:rsidP="00F365DE">
      <w:pPr>
        <w:pStyle w:val="Odsekzoznamu"/>
        <w:numPr>
          <w:ilvl w:val="0"/>
          <w:numId w:val="47"/>
        </w:numPr>
        <w:tabs>
          <w:tab w:val="left" w:pos="426"/>
        </w:tabs>
        <w:jc w:val="both"/>
      </w:pPr>
      <w:r w:rsidRPr="00284A43">
        <w:t xml:space="preserve">kde to je vhodné, opis využitia hlavných výsledkov predchádzajúceho operačného programu; </w:t>
      </w:r>
    </w:p>
    <w:p w14:paraId="1010C632" w14:textId="0173437E" w:rsidR="00284A43" w:rsidRPr="00284A43" w:rsidRDefault="00284A43" w:rsidP="00F365DE">
      <w:pPr>
        <w:pStyle w:val="Odsekzoznamu"/>
        <w:numPr>
          <w:ilvl w:val="0"/>
          <w:numId w:val="47"/>
        </w:numPr>
        <w:tabs>
          <w:tab w:val="left" w:pos="426"/>
        </w:tabs>
        <w:jc w:val="both"/>
      </w:pPr>
      <w:r w:rsidRPr="00284A43">
        <w:t>každoročnú aktualizáciu vymedzujúcu informačné a komunikačné činnosti, ktoré majú byť vykonané v nasledujúcom roku.</w:t>
      </w:r>
    </w:p>
    <w:p w14:paraId="2D3398F4" w14:textId="575552A5" w:rsidR="00E37D96" w:rsidRDefault="001A04BB" w:rsidP="00E37D96">
      <w:pPr>
        <w:pStyle w:val="MPCKO2"/>
      </w:pPr>
      <w:bookmarkStart w:id="10" w:name="_Toc469255070"/>
      <w:r>
        <w:t>4</w:t>
      </w:r>
      <w:r w:rsidR="00E37D96">
        <w:t>.1 Taktické informačno-komunikačné nástroje</w:t>
      </w:r>
      <w:bookmarkEnd w:id="10"/>
    </w:p>
    <w:p w14:paraId="2F7FA182" w14:textId="163E6D00" w:rsidR="001A04BB" w:rsidRPr="0060088C" w:rsidRDefault="00AE166D" w:rsidP="002107A0">
      <w:pPr>
        <w:pStyle w:val="Bezriadkovania"/>
        <w:numPr>
          <w:ilvl w:val="0"/>
          <w:numId w:val="14"/>
        </w:numPr>
        <w:spacing w:before="120" w:after="120"/>
        <w:ind w:left="426" w:hanging="426"/>
        <w:jc w:val="both"/>
      </w:pPr>
      <w:r>
        <w:t xml:space="preserve">ÚV SR </w:t>
      </w:r>
      <w:r w:rsidR="001A04BB" w:rsidRPr="0060088C">
        <w:t xml:space="preserve"> komunikuje prierezové témy spojené so všetkými </w:t>
      </w:r>
      <w:r w:rsidR="00C93B00">
        <w:t>OP</w:t>
      </w:r>
      <w:r w:rsidR="00C93B00" w:rsidRPr="0060088C">
        <w:t xml:space="preserve"> </w:t>
      </w:r>
      <w:r w:rsidR="001469DD">
        <w:t>spoločne</w:t>
      </w:r>
      <w:r w:rsidR="001A04BB" w:rsidRPr="0060088C">
        <w:t>.</w:t>
      </w:r>
    </w:p>
    <w:p w14:paraId="4E63BC09" w14:textId="55C6ACE5" w:rsidR="001A04BB" w:rsidRPr="0060088C" w:rsidRDefault="00C93B00" w:rsidP="002107A0">
      <w:pPr>
        <w:pStyle w:val="Bezriadkovania"/>
        <w:numPr>
          <w:ilvl w:val="0"/>
          <w:numId w:val="14"/>
        </w:numPr>
        <w:spacing w:before="120" w:after="120"/>
        <w:ind w:left="426" w:hanging="426"/>
        <w:jc w:val="both"/>
      </w:pPr>
      <w:r>
        <w:t>RO</w:t>
      </w:r>
      <w:r w:rsidR="001A04BB" w:rsidRPr="0060088C">
        <w:t xml:space="preserve"> komunikujú predovšetkým so žiadateľmi a </w:t>
      </w:r>
      <w:r w:rsidRPr="0060088C">
        <w:t>prij</w:t>
      </w:r>
      <w:r>
        <w:t>ímateľmi</w:t>
      </w:r>
      <w:r w:rsidR="001A04BB" w:rsidRPr="0060088C">
        <w:t>. Percentuálne rozdelenie uvedené v</w:t>
      </w:r>
      <w:r w:rsidR="001E5F8C">
        <w:t> nižšie uvedenom odseku</w:t>
      </w:r>
      <w:r w:rsidR="001A04BB" w:rsidRPr="0060088C">
        <w:t xml:space="preserve"> je merané počtom zhodnocovaných komunikačných nástrojov určených pre danú cieľovú skupinu v rámci jedného ročného komunikačného plánu. Toto rozdelenie je iba indikatívne.</w:t>
      </w:r>
    </w:p>
    <w:p w14:paraId="63318DDE" w14:textId="77777777" w:rsidR="001A04BB" w:rsidRPr="0060088C" w:rsidRDefault="001A04BB" w:rsidP="002107A0">
      <w:pPr>
        <w:pStyle w:val="Bezriadkovania"/>
        <w:numPr>
          <w:ilvl w:val="0"/>
          <w:numId w:val="14"/>
        </w:numPr>
        <w:spacing w:before="120" w:after="120"/>
        <w:ind w:left="426" w:hanging="426"/>
        <w:jc w:val="both"/>
      </w:pPr>
      <w:r w:rsidRPr="0060088C">
        <w:t>Primárne cieľové skupiny - v pomere viac ako 60% použitých komunikačných nástrojov, ktoré smerujú na cieľové skupiny:</w:t>
      </w:r>
    </w:p>
    <w:p w14:paraId="7F1C6D5D" w14:textId="77777777" w:rsidR="001A04BB" w:rsidRPr="0060088C" w:rsidRDefault="001A04BB" w:rsidP="002107A0">
      <w:pPr>
        <w:pStyle w:val="Bezriadkovania"/>
        <w:numPr>
          <w:ilvl w:val="0"/>
          <w:numId w:val="15"/>
        </w:numPr>
        <w:spacing w:before="120" w:after="120"/>
        <w:ind w:left="851" w:hanging="425"/>
        <w:jc w:val="both"/>
      </w:pPr>
      <w:r w:rsidRPr="0060088C">
        <w:lastRenderedPageBreak/>
        <w:t>Odborná verejnosť</w:t>
      </w:r>
    </w:p>
    <w:p w14:paraId="009C8253" w14:textId="77777777" w:rsidR="001A04BB" w:rsidRDefault="001A04BB" w:rsidP="002107A0">
      <w:pPr>
        <w:pStyle w:val="Bezriadkovania"/>
        <w:numPr>
          <w:ilvl w:val="0"/>
          <w:numId w:val="15"/>
        </w:numPr>
        <w:spacing w:before="120" w:after="120"/>
        <w:ind w:left="851" w:hanging="425"/>
        <w:jc w:val="both"/>
      </w:pPr>
      <w:r w:rsidRPr="0060088C">
        <w:t>Potenciáln</w:t>
      </w:r>
      <w:r w:rsidR="001E5F8C">
        <w:t>i</w:t>
      </w:r>
      <w:r w:rsidRPr="0060088C">
        <w:t xml:space="preserve"> a koneční užívatelia pomoci</w:t>
      </w:r>
    </w:p>
    <w:p w14:paraId="0F404F3F" w14:textId="77777777" w:rsidR="001A04BB" w:rsidRPr="0060088C" w:rsidRDefault="001A04BB" w:rsidP="002107A0">
      <w:pPr>
        <w:pStyle w:val="Bezriadkovania"/>
        <w:numPr>
          <w:ilvl w:val="0"/>
          <w:numId w:val="14"/>
        </w:numPr>
        <w:spacing w:before="120" w:after="120"/>
        <w:ind w:left="426" w:hanging="426"/>
        <w:jc w:val="both"/>
      </w:pPr>
      <w:r w:rsidRPr="0060088C">
        <w:t>Sekundárne cieľové skupiny - v pomere menej ako 40% použitých komunikačných nástrojov, ktoré smerujú na cieľové skupiny:</w:t>
      </w:r>
    </w:p>
    <w:p w14:paraId="312CD3FE" w14:textId="77777777" w:rsidR="001A04BB" w:rsidRPr="0060088C" w:rsidRDefault="001A04BB" w:rsidP="002107A0">
      <w:pPr>
        <w:pStyle w:val="Bezriadkovania"/>
        <w:numPr>
          <w:ilvl w:val="0"/>
          <w:numId w:val="16"/>
        </w:numPr>
        <w:spacing w:before="120" w:after="120"/>
        <w:ind w:left="851" w:hanging="425"/>
        <w:jc w:val="both"/>
      </w:pPr>
      <w:r w:rsidRPr="0060088C">
        <w:t>Široká verejnosť</w:t>
      </w:r>
    </w:p>
    <w:p w14:paraId="1FCD8DC8" w14:textId="77777777" w:rsidR="001A04BB" w:rsidRPr="0060088C" w:rsidRDefault="001A04BB" w:rsidP="002107A0">
      <w:pPr>
        <w:pStyle w:val="Bezriadkovania"/>
        <w:numPr>
          <w:ilvl w:val="0"/>
          <w:numId w:val="16"/>
        </w:numPr>
        <w:spacing w:before="120" w:after="120"/>
        <w:ind w:left="851" w:hanging="425"/>
        <w:jc w:val="both"/>
      </w:pPr>
      <w:r w:rsidRPr="0060088C">
        <w:t>Médiá</w:t>
      </w:r>
    </w:p>
    <w:p w14:paraId="2BC4ECF7" w14:textId="5F873AB4" w:rsidR="001A04BB" w:rsidRPr="0060088C" w:rsidRDefault="001A04BB" w:rsidP="002107A0">
      <w:pPr>
        <w:pStyle w:val="Bezriadkovania"/>
        <w:numPr>
          <w:ilvl w:val="0"/>
          <w:numId w:val="14"/>
        </w:numPr>
        <w:spacing w:before="120" w:after="120"/>
        <w:ind w:left="426" w:hanging="426"/>
        <w:jc w:val="both"/>
      </w:pPr>
      <w:r w:rsidRPr="0060088C">
        <w:t xml:space="preserve">Za realizáciu komunikačnej stratégie je zodpovedný RO alebo iný orgán určený </w:t>
      </w:r>
      <w:r w:rsidR="00C93B00">
        <w:t>RO</w:t>
      </w:r>
      <w:r w:rsidRPr="0060088C">
        <w:t xml:space="preserve"> (napr. </w:t>
      </w:r>
      <w:r w:rsidR="00C93B00">
        <w:t>SO</w:t>
      </w:r>
      <w:r w:rsidRPr="0060088C">
        <w:t>).  Informácie z</w:t>
      </w:r>
      <w:r w:rsidR="00F23215">
        <w:t xml:space="preserve"> </w:t>
      </w:r>
      <w:r w:rsidRPr="0060088C">
        <w:t>RO k</w:t>
      </w:r>
      <w:r w:rsidR="00F23215">
        <w:t xml:space="preserve"> </w:t>
      </w:r>
      <w:r w:rsidRPr="0060088C">
        <w:t>cieľovým skupinám sa dostávajú priamo, ale aj prostredníctvom tzv. sprostredkovateľov informácií.</w:t>
      </w:r>
    </w:p>
    <w:p w14:paraId="3CC37D82" w14:textId="77777777" w:rsidR="001A04BB" w:rsidRPr="0060088C" w:rsidRDefault="001A04BB" w:rsidP="002107A0">
      <w:pPr>
        <w:pStyle w:val="Bezriadkovania"/>
        <w:numPr>
          <w:ilvl w:val="0"/>
          <w:numId w:val="14"/>
        </w:numPr>
        <w:spacing w:before="120" w:after="120"/>
        <w:ind w:left="426" w:hanging="426"/>
        <w:jc w:val="both"/>
      </w:pPr>
      <w:r w:rsidRPr="0060088C">
        <w:t xml:space="preserve">Ideálnym prostriedkom sú </w:t>
      </w:r>
      <w:proofErr w:type="spellStart"/>
      <w:r w:rsidRPr="0060088C">
        <w:t>podlinkové</w:t>
      </w:r>
      <w:proofErr w:type="spellEnd"/>
      <w:r w:rsidRPr="0060088C">
        <w:t xml:space="preserve"> aktivity, ktoré sa dajú je efektívne využiť aj cez sprostredkovateľov informácií:</w:t>
      </w:r>
    </w:p>
    <w:p w14:paraId="32B2C825" w14:textId="77777777" w:rsidR="001A04BB" w:rsidRPr="0060088C" w:rsidRDefault="001A04BB" w:rsidP="001A04BB">
      <w:pPr>
        <w:autoSpaceDE w:val="0"/>
        <w:autoSpaceDN w:val="0"/>
        <w:adjustRightInd w:val="0"/>
        <w:spacing w:before="120" w:after="120"/>
        <w:ind w:left="851" w:hanging="425"/>
        <w:jc w:val="both"/>
      </w:pPr>
      <w:r w:rsidRPr="0060088C">
        <w:t xml:space="preserve">a) </w:t>
      </w:r>
      <w:r w:rsidRPr="0060088C">
        <w:tab/>
        <w:t>štátne, regionálne a miestne orgány a rozvojové agentúry;</w:t>
      </w:r>
    </w:p>
    <w:p w14:paraId="0FB5026B" w14:textId="77777777" w:rsidR="001A04BB" w:rsidRPr="0060088C" w:rsidRDefault="001A04BB" w:rsidP="001A04BB">
      <w:pPr>
        <w:autoSpaceDE w:val="0"/>
        <w:autoSpaceDN w:val="0"/>
        <w:adjustRightInd w:val="0"/>
        <w:spacing w:before="120" w:after="120"/>
        <w:ind w:left="851" w:hanging="425"/>
        <w:jc w:val="both"/>
      </w:pPr>
      <w:r w:rsidRPr="0060088C">
        <w:t xml:space="preserve">b) </w:t>
      </w:r>
      <w:r w:rsidRPr="0060088C">
        <w:tab/>
        <w:t>obchodné a profesijné združenia;</w:t>
      </w:r>
    </w:p>
    <w:p w14:paraId="2E2A8795" w14:textId="77777777" w:rsidR="001A04BB" w:rsidRPr="0060088C" w:rsidRDefault="001A04BB" w:rsidP="001A04BB">
      <w:pPr>
        <w:autoSpaceDE w:val="0"/>
        <w:autoSpaceDN w:val="0"/>
        <w:adjustRightInd w:val="0"/>
        <w:spacing w:before="120" w:after="120"/>
        <w:ind w:left="851" w:hanging="425"/>
        <w:jc w:val="both"/>
      </w:pPr>
      <w:r w:rsidRPr="0060088C">
        <w:t xml:space="preserve">c) </w:t>
      </w:r>
      <w:r w:rsidRPr="0060088C">
        <w:tab/>
        <w:t>hospodárski a sociálni partneri;</w:t>
      </w:r>
    </w:p>
    <w:p w14:paraId="30A02843" w14:textId="77777777" w:rsidR="001A04BB" w:rsidRPr="0060088C" w:rsidRDefault="001A04BB" w:rsidP="001A04BB">
      <w:pPr>
        <w:autoSpaceDE w:val="0"/>
        <w:autoSpaceDN w:val="0"/>
        <w:adjustRightInd w:val="0"/>
        <w:spacing w:before="120" w:after="120"/>
        <w:ind w:left="851" w:hanging="425"/>
        <w:jc w:val="both"/>
      </w:pPr>
      <w:r w:rsidRPr="0060088C">
        <w:t xml:space="preserve">d) </w:t>
      </w:r>
      <w:r w:rsidRPr="0060088C">
        <w:tab/>
        <w:t>mimovládne organizácie;</w:t>
      </w:r>
    </w:p>
    <w:p w14:paraId="0B35509C" w14:textId="77777777" w:rsidR="001A04BB" w:rsidRPr="0060088C" w:rsidRDefault="001A04BB" w:rsidP="001A04BB">
      <w:pPr>
        <w:autoSpaceDE w:val="0"/>
        <w:autoSpaceDN w:val="0"/>
        <w:adjustRightInd w:val="0"/>
        <w:spacing w:before="120" w:after="120"/>
        <w:ind w:left="851" w:hanging="425"/>
        <w:jc w:val="both"/>
      </w:pPr>
      <w:r w:rsidRPr="0060088C">
        <w:t xml:space="preserve">e) </w:t>
      </w:r>
      <w:r w:rsidRPr="0060088C">
        <w:tab/>
        <w:t>organizácie, ktoré zastupujú podnikateľov;</w:t>
      </w:r>
    </w:p>
    <w:p w14:paraId="176221FA" w14:textId="41183036" w:rsidR="001A04BB" w:rsidRPr="0060088C" w:rsidRDefault="001A04BB" w:rsidP="001A04BB">
      <w:pPr>
        <w:autoSpaceDE w:val="0"/>
        <w:autoSpaceDN w:val="0"/>
        <w:adjustRightInd w:val="0"/>
        <w:spacing w:before="120" w:after="120"/>
        <w:ind w:left="851" w:hanging="425"/>
        <w:jc w:val="both"/>
      </w:pPr>
      <w:r w:rsidRPr="0060088C">
        <w:t xml:space="preserve">f) </w:t>
      </w:r>
      <w:r w:rsidRPr="0060088C">
        <w:tab/>
        <w:t xml:space="preserve">informačné centrá pri zastupiteľstvách Európy ako aj zastúpenia </w:t>
      </w:r>
      <w:r w:rsidR="00C93B00">
        <w:t>Európskej k</w:t>
      </w:r>
      <w:r w:rsidRPr="0060088C">
        <w:t>omisie v členských štátoch;</w:t>
      </w:r>
    </w:p>
    <w:p w14:paraId="2ABE3B3B" w14:textId="77777777" w:rsidR="001A04BB" w:rsidRPr="0060088C" w:rsidRDefault="001A04BB" w:rsidP="001A04BB">
      <w:pPr>
        <w:autoSpaceDE w:val="0"/>
        <w:autoSpaceDN w:val="0"/>
        <w:adjustRightInd w:val="0"/>
        <w:spacing w:before="120" w:after="120"/>
        <w:ind w:left="851" w:hanging="425"/>
        <w:jc w:val="both"/>
      </w:pPr>
      <w:r w:rsidRPr="0060088C">
        <w:t xml:space="preserve">g) </w:t>
      </w:r>
      <w:r w:rsidRPr="0060088C">
        <w:tab/>
        <w:t>vzdelávacie inštitúcie.</w:t>
      </w:r>
    </w:p>
    <w:p w14:paraId="5EF2FDE1" w14:textId="77777777" w:rsidR="001A04BB" w:rsidRPr="0060088C" w:rsidRDefault="001A04BB" w:rsidP="002107A0">
      <w:pPr>
        <w:pStyle w:val="Bezriadkovania"/>
        <w:numPr>
          <w:ilvl w:val="0"/>
          <w:numId w:val="14"/>
        </w:numPr>
        <w:spacing w:before="120" w:after="120"/>
        <w:ind w:left="426" w:hanging="426"/>
        <w:jc w:val="both"/>
      </w:pPr>
      <w:r w:rsidRPr="0060088C">
        <w:t xml:space="preserve">Komunikačné nástroje (aktivity), ktoré môžu byť súčasťou komunikačnej stratégie sú nasledovné: </w:t>
      </w:r>
    </w:p>
    <w:p w14:paraId="2B028A77" w14:textId="03786516" w:rsidR="001A04BB" w:rsidRPr="0060088C" w:rsidRDefault="001A04BB" w:rsidP="002107A0">
      <w:pPr>
        <w:numPr>
          <w:ilvl w:val="0"/>
          <w:numId w:val="13"/>
        </w:numPr>
        <w:tabs>
          <w:tab w:val="clear" w:pos="720"/>
        </w:tabs>
        <w:spacing w:before="120" w:after="120"/>
        <w:ind w:left="851" w:hanging="425"/>
        <w:jc w:val="both"/>
        <w:rPr>
          <w:b/>
        </w:rPr>
      </w:pPr>
      <w:r w:rsidRPr="0060088C">
        <w:rPr>
          <w:b/>
        </w:rPr>
        <w:t>Internet</w:t>
      </w:r>
      <w:r w:rsidR="00387AE6">
        <w:rPr>
          <w:b/>
        </w:rPr>
        <w:t xml:space="preserve"> </w:t>
      </w:r>
      <w:r w:rsidRPr="0060088C">
        <w:rPr>
          <w:b/>
        </w:rPr>
        <w:t>a</w:t>
      </w:r>
      <w:r w:rsidR="00F23215">
        <w:rPr>
          <w:b/>
        </w:rPr>
        <w:t xml:space="preserve"> </w:t>
      </w:r>
      <w:r w:rsidRPr="0060088C">
        <w:rPr>
          <w:b/>
        </w:rPr>
        <w:t>on-line komunikácia</w:t>
      </w:r>
      <w:r w:rsidRPr="0060088C">
        <w:t xml:space="preserve"> - je </w:t>
      </w:r>
      <w:r w:rsidR="00C93B00">
        <w:t>vhodným</w:t>
      </w:r>
      <w:r w:rsidR="00C93B00" w:rsidRPr="0060088C">
        <w:t xml:space="preserve"> </w:t>
      </w:r>
      <w:r w:rsidRPr="0060088C">
        <w:t xml:space="preserve">nástrojom na uverejňovanie potrebných informácií. </w:t>
      </w:r>
    </w:p>
    <w:p w14:paraId="1B86B606" w14:textId="683C8976" w:rsidR="001A04BB" w:rsidRPr="0060088C" w:rsidRDefault="001A04BB" w:rsidP="002107A0">
      <w:pPr>
        <w:numPr>
          <w:ilvl w:val="1"/>
          <w:numId w:val="13"/>
        </w:numPr>
        <w:tabs>
          <w:tab w:val="num" w:pos="720"/>
        </w:tabs>
        <w:spacing w:before="120" w:after="120"/>
        <w:ind w:hanging="436"/>
        <w:jc w:val="both"/>
        <w:rPr>
          <w:b/>
        </w:rPr>
      </w:pPr>
      <w:r w:rsidRPr="0060088C">
        <w:rPr>
          <w:b/>
        </w:rPr>
        <w:t>webové sídla</w:t>
      </w:r>
      <w:r w:rsidRPr="0060088C">
        <w:rPr>
          <w:b/>
          <w:i/>
        </w:rPr>
        <w:t xml:space="preserve"> </w:t>
      </w:r>
      <w:r w:rsidRPr="0060088C">
        <w:rPr>
          <w:i/>
        </w:rPr>
        <w:t>–</w:t>
      </w:r>
      <w:r w:rsidRPr="0060088C">
        <w:rPr>
          <w:b/>
          <w:i/>
        </w:rPr>
        <w:t xml:space="preserve"> </w:t>
      </w:r>
      <w:r w:rsidRPr="0060088C">
        <w:t>budú obsahovať</w:t>
      </w:r>
      <w:r w:rsidRPr="0060088C">
        <w:rPr>
          <w:b/>
        </w:rPr>
        <w:t xml:space="preserve"> </w:t>
      </w:r>
      <w:r w:rsidRPr="0060088C">
        <w:t xml:space="preserve">základné dokumenty, ciele, poslania, aktuality, atď. Popri webovom sídle stránke RO sa využíva aj informačný portál / webové sídlo </w:t>
      </w:r>
      <w:hyperlink r:id="rId12" w:history="1">
        <w:r w:rsidR="00C93B00" w:rsidRPr="006E680C">
          <w:rPr>
            <w:rStyle w:val="Hypertextovprepojenie"/>
          </w:rPr>
          <w:t>www.partnerskadohoda.gov.sk</w:t>
        </w:r>
      </w:hyperlink>
      <w:r w:rsidR="00E35F22">
        <w:t>;</w:t>
      </w:r>
    </w:p>
    <w:p w14:paraId="1A01BFE6" w14:textId="3CCAAE5F" w:rsidR="001A04BB" w:rsidRPr="0060088C" w:rsidRDefault="001A04BB" w:rsidP="002107A0">
      <w:pPr>
        <w:numPr>
          <w:ilvl w:val="1"/>
          <w:numId w:val="13"/>
        </w:numPr>
        <w:tabs>
          <w:tab w:val="num" w:pos="720"/>
        </w:tabs>
        <w:spacing w:before="120" w:after="120"/>
        <w:ind w:hanging="436"/>
        <w:jc w:val="both"/>
        <w:rPr>
          <w:b/>
          <w:i/>
        </w:rPr>
      </w:pPr>
      <w:r w:rsidRPr="0060088C">
        <w:rPr>
          <w:b/>
        </w:rPr>
        <w:t>sociálne siete</w:t>
      </w:r>
      <w:r w:rsidRPr="0060088C">
        <w:rPr>
          <w:b/>
          <w:i/>
        </w:rPr>
        <w:t xml:space="preserve"> </w:t>
      </w:r>
      <w:r w:rsidRPr="0060088C">
        <w:rPr>
          <w:i/>
        </w:rPr>
        <w:t xml:space="preserve"> - </w:t>
      </w:r>
      <w:r w:rsidRPr="0060088C">
        <w:t>komunikácia s</w:t>
      </w:r>
      <w:r w:rsidR="00F23215">
        <w:t xml:space="preserve"> </w:t>
      </w:r>
      <w:r w:rsidRPr="0060088C">
        <w:t>verejnosťou</w:t>
      </w:r>
      <w:r w:rsidR="00E35F22">
        <w:t>;</w:t>
      </w:r>
    </w:p>
    <w:p w14:paraId="41480855" w14:textId="168FA845" w:rsidR="00C05C08" w:rsidRPr="005E22C7" w:rsidRDefault="001A04BB" w:rsidP="00F365DE">
      <w:pPr>
        <w:numPr>
          <w:ilvl w:val="1"/>
          <w:numId w:val="13"/>
        </w:numPr>
        <w:tabs>
          <w:tab w:val="num" w:pos="720"/>
        </w:tabs>
        <w:spacing w:before="120" w:after="120"/>
        <w:ind w:hanging="436"/>
        <w:jc w:val="both"/>
        <w:rPr>
          <w:b/>
          <w:i/>
        </w:rPr>
      </w:pPr>
      <w:proofErr w:type="spellStart"/>
      <w:r w:rsidRPr="0060088C">
        <w:rPr>
          <w:b/>
        </w:rPr>
        <w:t>bannery</w:t>
      </w:r>
      <w:proofErr w:type="spellEnd"/>
      <w:r w:rsidRPr="0060088C">
        <w:rPr>
          <w:b/>
          <w:i/>
        </w:rPr>
        <w:t xml:space="preserve"> </w:t>
      </w:r>
      <w:r w:rsidRPr="0060088C">
        <w:t>- budú umiestnené na najnavštevovanejších slovenských vyhľadávačoch, špecializovaných portáloch a</w:t>
      </w:r>
      <w:r w:rsidR="00F23215">
        <w:t xml:space="preserve"> </w:t>
      </w:r>
      <w:r w:rsidRPr="0060088C">
        <w:t>partnerských webových sídlach.</w:t>
      </w:r>
    </w:p>
    <w:p w14:paraId="365E47C1" w14:textId="77777777" w:rsidR="001A04BB" w:rsidRPr="0060088C" w:rsidRDefault="001A04BB" w:rsidP="00F01404">
      <w:pPr>
        <w:numPr>
          <w:ilvl w:val="0"/>
          <w:numId w:val="13"/>
        </w:numPr>
        <w:tabs>
          <w:tab w:val="clear" w:pos="720"/>
        </w:tabs>
        <w:spacing w:before="120" w:after="120"/>
        <w:ind w:left="851" w:hanging="425"/>
        <w:jc w:val="both"/>
        <w:rPr>
          <w:b/>
        </w:rPr>
      </w:pPr>
      <w:r w:rsidRPr="0060088C">
        <w:rPr>
          <w:b/>
        </w:rPr>
        <w:t>Reklama</w:t>
      </w:r>
    </w:p>
    <w:p w14:paraId="59F3882F" w14:textId="65FABD6C" w:rsidR="001A04BB" w:rsidRPr="0060088C" w:rsidRDefault="001A04BB" w:rsidP="002107A0">
      <w:pPr>
        <w:numPr>
          <w:ilvl w:val="1"/>
          <w:numId w:val="13"/>
        </w:numPr>
        <w:tabs>
          <w:tab w:val="num" w:pos="720"/>
        </w:tabs>
        <w:spacing w:before="120" w:after="120"/>
        <w:ind w:hanging="436"/>
        <w:jc w:val="both"/>
        <w:rPr>
          <w:b/>
          <w:i/>
        </w:rPr>
      </w:pPr>
      <w:r w:rsidRPr="0060088C">
        <w:rPr>
          <w:b/>
        </w:rPr>
        <w:t>tlač</w:t>
      </w:r>
      <w:r w:rsidRPr="0060088C">
        <w:rPr>
          <w:b/>
          <w:i/>
        </w:rPr>
        <w:t xml:space="preserve"> –</w:t>
      </w:r>
      <w:r w:rsidRPr="0060088C">
        <w:rPr>
          <w:i/>
        </w:rPr>
        <w:t xml:space="preserve"> </w:t>
      </w:r>
      <w:r w:rsidRPr="0060088C">
        <w:t>tento komunikačný nástroj je vhodný na prezentáciu komplexných informácií, inzerátov a</w:t>
      </w:r>
      <w:r w:rsidR="00F23215">
        <w:t xml:space="preserve"> </w:t>
      </w:r>
      <w:r w:rsidRPr="0060088C">
        <w:t>príspevkov</w:t>
      </w:r>
      <w:r w:rsidR="00E35F22">
        <w:t xml:space="preserve">; </w:t>
      </w:r>
      <w:r w:rsidRPr="0060088C">
        <w:t>Tieto majú byť zverejňované v najčítanejších denníkoch, týždenníkoch a</w:t>
      </w:r>
      <w:r w:rsidR="00314454">
        <w:t xml:space="preserve"> </w:t>
      </w:r>
      <w:r w:rsidRPr="0060088C">
        <w:t>mesačníkoch s</w:t>
      </w:r>
      <w:r w:rsidR="00F23215">
        <w:t xml:space="preserve"> </w:t>
      </w:r>
      <w:r w:rsidRPr="0060088C">
        <w:t>celoslovenskou alebo regionálnou pôsobnosťou a</w:t>
      </w:r>
      <w:r w:rsidR="00F23215">
        <w:t xml:space="preserve"> </w:t>
      </w:r>
      <w:r w:rsidRPr="0060088C">
        <w:t>v</w:t>
      </w:r>
      <w:r w:rsidR="00F23215">
        <w:t xml:space="preserve"> </w:t>
      </w:r>
      <w:r w:rsidRPr="0060088C">
        <w:t>špecializovaných periodikách</w:t>
      </w:r>
      <w:r w:rsidR="00E35F22">
        <w:t>;</w:t>
      </w:r>
    </w:p>
    <w:p w14:paraId="6EBC6171" w14:textId="7A362815" w:rsidR="001A04BB" w:rsidRPr="0060088C" w:rsidRDefault="001A04BB" w:rsidP="002107A0">
      <w:pPr>
        <w:numPr>
          <w:ilvl w:val="1"/>
          <w:numId w:val="13"/>
        </w:numPr>
        <w:tabs>
          <w:tab w:val="num" w:pos="720"/>
        </w:tabs>
        <w:spacing w:before="120" w:after="120"/>
        <w:ind w:hanging="436"/>
        <w:jc w:val="both"/>
        <w:rPr>
          <w:b/>
          <w:i/>
        </w:rPr>
      </w:pPr>
      <w:r w:rsidRPr="0060088C">
        <w:rPr>
          <w:b/>
        </w:rPr>
        <w:t xml:space="preserve">televízia </w:t>
      </w:r>
      <w:r w:rsidRPr="0060088C">
        <w:rPr>
          <w:b/>
          <w:i/>
        </w:rPr>
        <w:t>–</w:t>
      </w:r>
      <w:r w:rsidRPr="0060088C">
        <w:rPr>
          <w:i/>
        </w:rPr>
        <w:t xml:space="preserve"> </w:t>
      </w:r>
      <w:r w:rsidRPr="0060088C">
        <w:t>v</w:t>
      </w:r>
      <w:r w:rsidR="00F23215">
        <w:t xml:space="preserve"> </w:t>
      </w:r>
      <w:r w:rsidRPr="0060088C">
        <w:t>rámci šírenia informácií čo najširšiemu okruhu širokej verejnosti budú v</w:t>
      </w:r>
      <w:r w:rsidR="00314454">
        <w:t xml:space="preserve"> </w:t>
      </w:r>
      <w:r w:rsidRPr="0060088C">
        <w:t xml:space="preserve">rámci televíznych staníc vysielané </w:t>
      </w:r>
      <w:proofErr w:type="spellStart"/>
      <w:r w:rsidRPr="0060088C">
        <w:t>imidžové</w:t>
      </w:r>
      <w:proofErr w:type="spellEnd"/>
      <w:r w:rsidRPr="0060088C">
        <w:t xml:space="preserve"> a produktové spoty a samostatné periodické </w:t>
      </w:r>
      <w:r w:rsidR="00C93B00">
        <w:t xml:space="preserve">alebo ad hoc </w:t>
      </w:r>
      <w:r w:rsidRPr="0060088C">
        <w:t>relácie, rozhovory</w:t>
      </w:r>
      <w:r w:rsidR="00E35F22">
        <w:t>;</w:t>
      </w:r>
    </w:p>
    <w:p w14:paraId="4BF31B3E" w14:textId="0AACAF2F" w:rsidR="001A04BB" w:rsidRPr="0060088C" w:rsidRDefault="001A04BB" w:rsidP="002107A0">
      <w:pPr>
        <w:numPr>
          <w:ilvl w:val="1"/>
          <w:numId w:val="13"/>
        </w:numPr>
        <w:tabs>
          <w:tab w:val="num" w:pos="720"/>
        </w:tabs>
        <w:autoSpaceDE w:val="0"/>
        <w:autoSpaceDN w:val="0"/>
        <w:adjustRightInd w:val="0"/>
        <w:spacing w:before="120" w:after="120"/>
        <w:ind w:hanging="436"/>
        <w:jc w:val="both"/>
        <w:rPr>
          <w:b/>
          <w:i/>
        </w:rPr>
      </w:pPr>
      <w:r w:rsidRPr="0060088C">
        <w:rPr>
          <w:b/>
        </w:rPr>
        <w:t xml:space="preserve">rozhlas </w:t>
      </w:r>
      <w:r w:rsidRPr="0060088C">
        <w:rPr>
          <w:b/>
          <w:i/>
        </w:rPr>
        <w:t>–</w:t>
      </w:r>
      <w:r w:rsidRPr="0060088C">
        <w:t xml:space="preserve"> komunikačný nástroj využívaný ako podporné médium na udržanie kontinuálneho kontaktu s</w:t>
      </w:r>
      <w:r w:rsidR="00314454">
        <w:t xml:space="preserve"> </w:t>
      </w:r>
      <w:r w:rsidRPr="0060088C">
        <w:t>cieľovou skupinou</w:t>
      </w:r>
      <w:r w:rsidR="00E35F22">
        <w:t>;</w:t>
      </w:r>
    </w:p>
    <w:p w14:paraId="486908A4" w14:textId="4FA09C04" w:rsidR="001A04BB" w:rsidRPr="0060088C" w:rsidRDefault="001A04BB" w:rsidP="002107A0">
      <w:pPr>
        <w:numPr>
          <w:ilvl w:val="1"/>
          <w:numId w:val="13"/>
        </w:numPr>
        <w:tabs>
          <w:tab w:val="num" w:pos="720"/>
        </w:tabs>
        <w:autoSpaceDE w:val="0"/>
        <w:autoSpaceDN w:val="0"/>
        <w:adjustRightInd w:val="0"/>
        <w:spacing w:before="120" w:after="120"/>
        <w:ind w:hanging="436"/>
        <w:jc w:val="both"/>
        <w:rPr>
          <w:b/>
          <w:i/>
        </w:rPr>
      </w:pPr>
      <w:proofErr w:type="spellStart"/>
      <w:r w:rsidRPr="0060088C">
        <w:rPr>
          <w:b/>
        </w:rPr>
        <w:lastRenderedPageBreak/>
        <w:t>Out-of-home</w:t>
      </w:r>
      <w:proofErr w:type="spellEnd"/>
      <w:r w:rsidRPr="0060088C">
        <w:rPr>
          <w:b/>
        </w:rPr>
        <w:t xml:space="preserve"> - </w:t>
      </w:r>
      <w:proofErr w:type="spellStart"/>
      <w:r w:rsidRPr="0060088C">
        <w:t>indoor</w:t>
      </w:r>
      <w:proofErr w:type="spellEnd"/>
      <w:r w:rsidRPr="0060088C">
        <w:t xml:space="preserve">, </w:t>
      </w:r>
      <w:proofErr w:type="spellStart"/>
      <w:r w:rsidR="001469DD">
        <w:t>o</w:t>
      </w:r>
      <w:r w:rsidRPr="0060088C">
        <w:t>utdoor</w:t>
      </w:r>
      <w:proofErr w:type="spellEnd"/>
      <w:r w:rsidRPr="0060088C">
        <w:t xml:space="preserve"> a</w:t>
      </w:r>
      <w:r w:rsidR="00F23215">
        <w:t xml:space="preserve"> </w:t>
      </w:r>
      <w:proofErr w:type="spellStart"/>
      <w:r w:rsidRPr="0060088C">
        <w:t>kinoreklama</w:t>
      </w:r>
      <w:proofErr w:type="spellEnd"/>
      <w:r w:rsidRPr="0060088C">
        <w:t xml:space="preserve"> (</w:t>
      </w:r>
      <w:proofErr w:type="spellStart"/>
      <w:r w:rsidRPr="0060088C">
        <w:t>billboardy</w:t>
      </w:r>
      <w:proofErr w:type="spellEnd"/>
      <w:r w:rsidRPr="0060088C">
        <w:t xml:space="preserve">, </w:t>
      </w:r>
      <w:proofErr w:type="spellStart"/>
      <w:r w:rsidRPr="0060088C">
        <w:t>bigboardy</w:t>
      </w:r>
      <w:proofErr w:type="spellEnd"/>
      <w:r w:rsidRPr="0060088C">
        <w:t xml:space="preserve">, prezentácie na zastávkach MHD, </w:t>
      </w:r>
      <w:proofErr w:type="spellStart"/>
      <w:r w:rsidRPr="0060088C">
        <w:t>city-lighty</w:t>
      </w:r>
      <w:proofErr w:type="spellEnd"/>
      <w:r w:rsidRPr="0060088C">
        <w:t xml:space="preserve">, </w:t>
      </w:r>
      <w:proofErr w:type="spellStart"/>
      <w:r w:rsidRPr="0060088C">
        <w:t>mobilky</w:t>
      </w:r>
      <w:proofErr w:type="spellEnd"/>
      <w:r w:rsidRPr="0060088C">
        <w:t>, plagáty na fasádach budov a</w:t>
      </w:r>
      <w:r w:rsidR="00314454">
        <w:t xml:space="preserve"> </w:t>
      </w:r>
      <w:r w:rsidRPr="0060088C">
        <w:t>pod.).</w:t>
      </w:r>
    </w:p>
    <w:p w14:paraId="007D63BC" w14:textId="77777777" w:rsidR="001A04BB" w:rsidRPr="0060088C" w:rsidRDefault="001A04BB" w:rsidP="00F01404">
      <w:pPr>
        <w:numPr>
          <w:ilvl w:val="0"/>
          <w:numId w:val="13"/>
        </w:numPr>
        <w:tabs>
          <w:tab w:val="clear" w:pos="720"/>
        </w:tabs>
        <w:spacing w:before="120" w:after="120"/>
        <w:ind w:left="851" w:hanging="425"/>
        <w:jc w:val="both"/>
        <w:rPr>
          <w:b/>
        </w:rPr>
      </w:pPr>
      <w:r w:rsidRPr="0060088C">
        <w:rPr>
          <w:b/>
        </w:rPr>
        <w:t>Odborné publikácie</w:t>
      </w:r>
    </w:p>
    <w:p w14:paraId="6567C2D7" w14:textId="0504641C" w:rsidR="001A04BB" w:rsidRPr="001A04BB" w:rsidRDefault="001A04BB" w:rsidP="002107A0">
      <w:pPr>
        <w:numPr>
          <w:ilvl w:val="1"/>
          <w:numId w:val="13"/>
        </w:numPr>
        <w:tabs>
          <w:tab w:val="num" w:pos="720"/>
        </w:tabs>
        <w:spacing w:before="120" w:after="120"/>
        <w:ind w:hanging="436"/>
        <w:jc w:val="both"/>
      </w:pPr>
      <w:r w:rsidRPr="001A04BB">
        <w:t>dokumenty/programy/správy/legislatíva</w:t>
      </w:r>
      <w:r w:rsidR="00E35F22">
        <w:t>;</w:t>
      </w:r>
    </w:p>
    <w:p w14:paraId="58AA9E01" w14:textId="14812A1A" w:rsidR="001A04BB" w:rsidRPr="001A04BB" w:rsidRDefault="001A04BB" w:rsidP="002107A0">
      <w:pPr>
        <w:numPr>
          <w:ilvl w:val="1"/>
          <w:numId w:val="13"/>
        </w:numPr>
        <w:tabs>
          <w:tab w:val="num" w:pos="720"/>
        </w:tabs>
        <w:spacing w:before="120" w:after="120"/>
        <w:ind w:hanging="436"/>
        <w:jc w:val="both"/>
      </w:pPr>
      <w:r w:rsidRPr="001A04BB">
        <w:t>metodiky/manuály/pokyny</w:t>
      </w:r>
      <w:r w:rsidR="00E35F22">
        <w:t>;</w:t>
      </w:r>
    </w:p>
    <w:p w14:paraId="247C60E2" w14:textId="3A38F1D0" w:rsidR="001A04BB" w:rsidRPr="001A04BB" w:rsidRDefault="001A04BB" w:rsidP="002107A0">
      <w:pPr>
        <w:numPr>
          <w:ilvl w:val="1"/>
          <w:numId w:val="13"/>
        </w:numPr>
        <w:tabs>
          <w:tab w:val="num" w:pos="720"/>
        </w:tabs>
        <w:spacing w:before="120" w:after="120"/>
        <w:ind w:hanging="436"/>
        <w:jc w:val="both"/>
      </w:pPr>
      <w:r w:rsidRPr="001A04BB">
        <w:t>príručky, prípadové štúdie</w:t>
      </w:r>
      <w:r w:rsidR="00E35F22">
        <w:t>;</w:t>
      </w:r>
    </w:p>
    <w:p w14:paraId="529D93BE" w14:textId="35A189E6" w:rsidR="001A04BB" w:rsidRPr="001A04BB" w:rsidRDefault="001A04BB" w:rsidP="002107A0">
      <w:pPr>
        <w:numPr>
          <w:ilvl w:val="1"/>
          <w:numId w:val="13"/>
        </w:numPr>
        <w:tabs>
          <w:tab w:val="num" w:pos="720"/>
        </w:tabs>
        <w:spacing w:before="120" w:after="120"/>
        <w:ind w:hanging="436"/>
        <w:jc w:val="both"/>
      </w:pPr>
      <w:r w:rsidRPr="001A04BB">
        <w:t>štúdie, analýzy</w:t>
      </w:r>
      <w:r w:rsidR="00E35F22">
        <w:t>.</w:t>
      </w:r>
    </w:p>
    <w:p w14:paraId="0239D178" w14:textId="77777777" w:rsidR="001A04BB" w:rsidRPr="0060088C" w:rsidRDefault="001A04BB" w:rsidP="00F01404">
      <w:pPr>
        <w:numPr>
          <w:ilvl w:val="0"/>
          <w:numId w:val="13"/>
        </w:numPr>
        <w:tabs>
          <w:tab w:val="clear" w:pos="720"/>
        </w:tabs>
        <w:spacing w:before="120" w:after="120"/>
        <w:ind w:left="851" w:hanging="425"/>
        <w:jc w:val="both"/>
        <w:rPr>
          <w:b/>
        </w:rPr>
      </w:pPr>
      <w:r w:rsidRPr="0060088C">
        <w:rPr>
          <w:b/>
        </w:rPr>
        <w:t xml:space="preserve">Informačné publikácie </w:t>
      </w:r>
    </w:p>
    <w:p w14:paraId="7F259C37" w14:textId="113409BC" w:rsidR="001A04BB" w:rsidRPr="001A04BB" w:rsidRDefault="001A04BB" w:rsidP="002107A0">
      <w:pPr>
        <w:numPr>
          <w:ilvl w:val="1"/>
          <w:numId w:val="13"/>
        </w:numPr>
        <w:tabs>
          <w:tab w:val="num" w:pos="720"/>
        </w:tabs>
        <w:spacing w:before="120" w:after="120"/>
        <w:ind w:hanging="436"/>
        <w:jc w:val="both"/>
        <w:rPr>
          <w:i/>
        </w:rPr>
      </w:pPr>
      <w:r w:rsidRPr="001A04BB">
        <w:t>letáky, brožúry</w:t>
      </w:r>
      <w:r w:rsidRPr="001A04BB">
        <w:rPr>
          <w:i/>
        </w:rPr>
        <w:t xml:space="preserve"> </w:t>
      </w:r>
      <w:r w:rsidRPr="001A04BB">
        <w:t>(príklady úspešne realizovaných projektov)</w:t>
      </w:r>
      <w:r w:rsidR="00E35F22">
        <w:t>;</w:t>
      </w:r>
    </w:p>
    <w:p w14:paraId="60E6EFF4" w14:textId="14662839" w:rsidR="001A04BB" w:rsidRPr="001A04BB" w:rsidRDefault="001A04BB" w:rsidP="002107A0">
      <w:pPr>
        <w:numPr>
          <w:ilvl w:val="1"/>
          <w:numId w:val="13"/>
        </w:numPr>
        <w:tabs>
          <w:tab w:val="num" w:pos="720"/>
        </w:tabs>
        <w:spacing w:before="120" w:after="120"/>
        <w:ind w:hanging="436"/>
        <w:jc w:val="both"/>
      </w:pPr>
      <w:proofErr w:type="spellStart"/>
      <w:r w:rsidRPr="001A04BB">
        <w:t>spravodaje</w:t>
      </w:r>
      <w:proofErr w:type="spellEnd"/>
      <w:r w:rsidRPr="001A04BB">
        <w:t>, zborníky, časopisy</w:t>
      </w:r>
      <w:r w:rsidR="00E35F22">
        <w:t>;</w:t>
      </w:r>
    </w:p>
    <w:p w14:paraId="16904BDE" w14:textId="2E21CBA7" w:rsidR="001A04BB" w:rsidRPr="001A04BB" w:rsidRDefault="001A04BB" w:rsidP="002107A0">
      <w:pPr>
        <w:numPr>
          <w:ilvl w:val="1"/>
          <w:numId w:val="13"/>
        </w:numPr>
        <w:tabs>
          <w:tab w:val="num" w:pos="720"/>
        </w:tabs>
        <w:spacing w:before="120" w:after="120"/>
        <w:ind w:hanging="436"/>
        <w:jc w:val="both"/>
      </w:pPr>
      <w:r w:rsidRPr="001A04BB">
        <w:t>plagáty</w:t>
      </w:r>
      <w:r w:rsidR="00E35F22">
        <w:t>;</w:t>
      </w:r>
      <w:r w:rsidRPr="001A04BB">
        <w:t xml:space="preserve"> </w:t>
      </w:r>
    </w:p>
    <w:p w14:paraId="38BB5087" w14:textId="24BC397E" w:rsidR="001A04BB" w:rsidRPr="001A04BB" w:rsidRDefault="001A04BB" w:rsidP="002107A0">
      <w:pPr>
        <w:numPr>
          <w:ilvl w:val="1"/>
          <w:numId w:val="13"/>
        </w:numPr>
        <w:tabs>
          <w:tab w:val="num" w:pos="720"/>
        </w:tabs>
        <w:spacing w:before="120" w:after="120"/>
        <w:ind w:hanging="436"/>
        <w:jc w:val="both"/>
      </w:pPr>
      <w:proofErr w:type="spellStart"/>
      <w:r w:rsidRPr="001A04BB">
        <w:t>newsletters</w:t>
      </w:r>
      <w:proofErr w:type="spellEnd"/>
      <w:r w:rsidR="00E35F22">
        <w:t>.</w:t>
      </w:r>
    </w:p>
    <w:p w14:paraId="050D0C76" w14:textId="77777777" w:rsidR="001A04BB" w:rsidRPr="0060088C" w:rsidRDefault="001A04BB" w:rsidP="00F01404">
      <w:pPr>
        <w:numPr>
          <w:ilvl w:val="0"/>
          <w:numId w:val="13"/>
        </w:numPr>
        <w:tabs>
          <w:tab w:val="clear" w:pos="720"/>
        </w:tabs>
        <w:spacing w:before="120" w:after="120"/>
        <w:ind w:left="851" w:hanging="425"/>
        <w:jc w:val="both"/>
        <w:rPr>
          <w:b/>
        </w:rPr>
      </w:pPr>
      <w:r w:rsidRPr="0060088C">
        <w:rPr>
          <w:b/>
        </w:rPr>
        <w:t>Digitálne médiá</w:t>
      </w:r>
    </w:p>
    <w:p w14:paraId="60A3ADEF" w14:textId="217B5E1D" w:rsidR="001A04BB" w:rsidRPr="001A04BB" w:rsidRDefault="001A04BB" w:rsidP="002107A0">
      <w:pPr>
        <w:numPr>
          <w:ilvl w:val="1"/>
          <w:numId w:val="13"/>
        </w:numPr>
        <w:tabs>
          <w:tab w:val="num" w:pos="720"/>
        </w:tabs>
        <w:spacing w:before="120" w:after="120"/>
        <w:ind w:hanging="436"/>
        <w:jc w:val="both"/>
      </w:pPr>
      <w:r w:rsidRPr="001A04BB">
        <w:t xml:space="preserve">aplikácie (PC / mobil / </w:t>
      </w:r>
      <w:proofErr w:type="spellStart"/>
      <w:r w:rsidRPr="001A04BB">
        <w:t>tablet</w:t>
      </w:r>
      <w:proofErr w:type="spellEnd"/>
      <w:r w:rsidRPr="001A04BB">
        <w:t>)</w:t>
      </w:r>
      <w:r w:rsidR="00E35F22">
        <w:t>;</w:t>
      </w:r>
    </w:p>
    <w:p w14:paraId="025483F8" w14:textId="14D63FA7" w:rsidR="001A04BB" w:rsidRPr="001A04BB" w:rsidRDefault="001A04BB" w:rsidP="002107A0">
      <w:pPr>
        <w:numPr>
          <w:ilvl w:val="1"/>
          <w:numId w:val="13"/>
        </w:numPr>
        <w:tabs>
          <w:tab w:val="num" w:pos="720"/>
        </w:tabs>
        <w:spacing w:before="120" w:after="120"/>
        <w:ind w:hanging="436"/>
        <w:jc w:val="both"/>
      </w:pPr>
      <w:r w:rsidRPr="001A04BB">
        <w:t>DVD, CD, USB</w:t>
      </w:r>
      <w:r w:rsidR="00E35F22">
        <w:t>;</w:t>
      </w:r>
    </w:p>
    <w:p w14:paraId="7F5761E9" w14:textId="7A549739" w:rsidR="001A04BB" w:rsidRPr="001A04BB" w:rsidRDefault="001A04BB" w:rsidP="002107A0">
      <w:pPr>
        <w:numPr>
          <w:ilvl w:val="1"/>
          <w:numId w:val="13"/>
        </w:numPr>
        <w:tabs>
          <w:tab w:val="num" w:pos="720"/>
        </w:tabs>
        <w:spacing w:before="120" w:after="120"/>
        <w:ind w:hanging="436"/>
        <w:jc w:val="both"/>
      </w:pPr>
      <w:proofErr w:type="spellStart"/>
      <w:r w:rsidRPr="001A04BB">
        <w:t>foto</w:t>
      </w:r>
      <w:proofErr w:type="spellEnd"/>
      <w:r w:rsidRPr="001A04BB">
        <w:t>, video</w:t>
      </w:r>
      <w:r w:rsidR="00E35F22">
        <w:t>.</w:t>
      </w:r>
    </w:p>
    <w:p w14:paraId="565416EA" w14:textId="77777777" w:rsidR="001A04BB" w:rsidRPr="0060088C" w:rsidRDefault="001A04BB" w:rsidP="00F01404">
      <w:pPr>
        <w:numPr>
          <w:ilvl w:val="0"/>
          <w:numId w:val="13"/>
        </w:numPr>
        <w:tabs>
          <w:tab w:val="clear" w:pos="720"/>
        </w:tabs>
        <w:spacing w:before="120" w:after="120"/>
        <w:ind w:left="851" w:hanging="425"/>
        <w:jc w:val="both"/>
        <w:rPr>
          <w:b/>
        </w:rPr>
      </w:pPr>
      <w:r w:rsidRPr="0060088C">
        <w:rPr>
          <w:b/>
        </w:rPr>
        <w:t>Informačné akcie</w:t>
      </w:r>
    </w:p>
    <w:p w14:paraId="72FFF5BB" w14:textId="63F661ED" w:rsidR="001A04BB" w:rsidRPr="001A04BB" w:rsidRDefault="001A04BB" w:rsidP="002107A0">
      <w:pPr>
        <w:numPr>
          <w:ilvl w:val="1"/>
          <w:numId w:val="13"/>
        </w:numPr>
        <w:tabs>
          <w:tab w:val="num" w:pos="720"/>
        </w:tabs>
        <w:spacing w:before="120" w:after="120"/>
        <w:ind w:hanging="436"/>
        <w:jc w:val="both"/>
        <w:rPr>
          <w:i/>
        </w:rPr>
      </w:pPr>
      <w:r w:rsidRPr="001A04BB">
        <w:t xml:space="preserve">konferencie, </w:t>
      </w:r>
      <w:proofErr w:type="spellStart"/>
      <w:r w:rsidRPr="001A04BB">
        <w:t>workshopy</w:t>
      </w:r>
      <w:proofErr w:type="spellEnd"/>
      <w:r w:rsidRPr="001A04BB">
        <w:t>, semináre</w:t>
      </w:r>
      <w:r w:rsidRPr="001A04BB">
        <w:rPr>
          <w:i/>
        </w:rPr>
        <w:t xml:space="preserve"> </w:t>
      </w:r>
      <w:r w:rsidRPr="001A04BB">
        <w:t>– sú zamerané najmä na prezentovanie OP formou osobného stretnutia zástupcov RO a cieľových skupín</w:t>
      </w:r>
      <w:r w:rsidR="00E35F22">
        <w:t>;</w:t>
      </w:r>
    </w:p>
    <w:p w14:paraId="60830842" w14:textId="7E17A20D" w:rsidR="001A04BB" w:rsidRPr="001A04BB" w:rsidRDefault="001A04BB" w:rsidP="002107A0">
      <w:pPr>
        <w:numPr>
          <w:ilvl w:val="1"/>
          <w:numId w:val="13"/>
        </w:numPr>
        <w:tabs>
          <w:tab w:val="num" w:pos="720"/>
        </w:tabs>
        <w:spacing w:before="120" w:after="120"/>
        <w:ind w:hanging="436"/>
        <w:jc w:val="both"/>
      </w:pPr>
      <w:r w:rsidRPr="001A04BB">
        <w:t>výstavy a</w:t>
      </w:r>
      <w:r w:rsidR="00E35F22">
        <w:t> </w:t>
      </w:r>
      <w:r w:rsidRPr="001A04BB">
        <w:t>veľtrhy</w:t>
      </w:r>
      <w:r w:rsidR="00E35F22">
        <w:t>;</w:t>
      </w:r>
    </w:p>
    <w:p w14:paraId="1DE0B999" w14:textId="6BB0CE92" w:rsidR="001A04BB" w:rsidRPr="001A04BB" w:rsidRDefault="00C93B00" w:rsidP="002107A0">
      <w:pPr>
        <w:numPr>
          <w:ilvl w:val="1"/>
          <w:numId w:val="13"/>
        </w:numPr>
        <w:tabs>
          <w:tab w:val="num" w:pos="720"/>
        </w:tabs>
        <w:spacing w:before="120" w:after="120"/>
        <w:ind w:hanging="436"/>
        <w:jc w:val="both"/>
      </w:pPr>
      <w:proofErr w:type="spellStart"/>
      <w:r>
        <w:t>e</w:t>
      </w:r>
      <w:r w:rsidR="001A04BB" w:rsidRPr="001A04BB">
        <w:t>venty</w:t>
      </w:r>
      <w:proofErr w:type="spellEnd"/>
    </w:p>
    <w:p w14:paraId="57B2B81E" w14:textId="12F4A4BE" w:rsidR="00C05C08" w:rsidRPr="0060088C" w:rsidRDefault="001A04BB" w:rsidP="00F365DE">
      <w:pPr>
        <w:numPr>
          <w:ilvl w:val="0"/>
          <w:numId w:val="13"/>
        </w:numPr>
        <w:tabs>
          <w:tab w:val="clear" w:pos="720"/>
          <w:tab w:val="num" w:pos="993"/>
        </w:tabs>
        <w:spacing w:before="120" w:after="120"/>
        <w:ind w:left="993" w:hanging="567"/>
        <w:jc w:val="both"/>
        <w:rPr>
          <w:b/>
        </w:rPr>
      </w:pPr>
      <w:r w:rsidRPr="0060088C">
        <w:rPr>
          <w:b/>
        </w:rPr>
        <w:t>Propagačné predmety</w:t>
      </w:r>
      <w:r w:rsidRPr="0060088C">
        <w:t xml:space="preserve"> - nástroj na vytvorenie a</w:t>
      </w:r>
      <w:r w:rsidR="00314454">
        <w:t xml:space="preserve"> </w:t>
      </w:r>
      <w:r w:rsidRPr="0060088C">
        <w:t>podporu povedomia o</w:t>
      </w:r>
      <w:r w:rsidR="00314454">
        <w:t xml:space="preserve"> </w:t>
      </w:r>
      <w:r w:rsidR="00332D35">
        <w:t>OP</w:t>
      </w:r>
      <w:r w:rsidRPr="0060088C">
        <w:t>. Ide o</w:t>
      </w:r>
      <w:r w:rsidR="00314454">
        <w:t xml:space="preserve"> </w:t>
      </w:r>
      <w:r w:rsidRPr="0060088C">
        <w:t>propagačné predmety ako napr. perá, tašky, PC podložky, bloky, šnúrky na mobil, USB kľúč, atď.</w:t>
      </w:r>
      <w:r w:rsidR="001469DD">
        <w:t xml:space="preserve"> </w:t>
      </w:r>
    </w:p>
    <w:p w14:paraId="2A2E3E1C" w14:textId="77777777" w:rsidR="001A04BB" w:rsidRPr="0060088C" w:rsidRDefault="001A04BB" w:rsidP="00F01404">
      <w:pPr>
        <w:numPr>
          <w:ilvl w:val="0"/>
          <w:numId w:val="13"/>
        </w:numPr>
        <w:tabs>
          <w:tab w:val="clear" w:pos="720"/>
        </w:tabs>
        <w:spacing w:before="120" w:after="120"/>
        <w:ind w:left="851" w:hanging="425"/>
        <w:jc w:val="both"/>
        <w:rPr>
          <w:b/>
        </w:rPr>
      </w:pPr>
      <w:r w:rsidRPr="0060088C">
        <w:rPr>
          <w:b/>
        </w:rPr>
        <w:t xml:space="preserve">Priamy kontakt </w:t>
      </w:r>
    </w:p>
    <w:p w14:paraId="4B117636" w14:textId="6AD3657E" w:rsidR="001A04BB" w:rsidRPr="001A04BB" w:rsidRDefault="00332D35" w:rsidP="002107A0">
      <w:pPr>
        <w:numPr>
          <w:ilvl w:val="1"/>
          <w:numId w:val="13"/>
        </w:numPr>
        <w:tabs>
          <w:tab w:val="num" w:pos="720"/>
        </w:tabs>
        <w:spacing w:before="120" w:after="120"/>
        <w:jc w:val="both"/>
      </w:pPr>
      <w:proofErr w:type="spellStart"/>
      <w:r>
        <w:t>I</w:t>
      </w:r>
      <w:r w:rsidR="001A04BB" w:rsidRPr="001A04BB">
        <w:t>nfolinka</w:t>
      </w:r>
      <w:proofErr w:type="spellEnd"/>
      <w:r w:rsidR="001A04BB" w:rsidRPr="001A04BB">
        <w:t xml:space="preserve"> – telefonická bezplatná linka pre verejnosť.</w:t>
      </w:r>
    </w:p>
    <w:p w14:paraId="77F0DEBD" w14:textId="77777777" w:rsidR="001A04BB" w:rsidRDefault="001A04BB" w:rsidP="002107A0">
      <w:pPr>
        <w:numPr>
          <w:ilvl w:val="1"/>
          <w:numId w:val="13"/>
        </w:numPr>
        <w:tabs>
          <w:tab w:val="num" w:pos="720"/>
        </w:tabs>
        <w:spacing w:before="120" w:after="120"/>
        <w:jc w:val="both"/>
      </w:pPr>
      <w:r w:rsidRPr="0060088C">
        <w:t xml:space="preserve">Databázový </w:t>
      </w:r>
      <w:proofErr w:type="spellStart"/>
      <w:r w:rsidRPr="0060088C">
        <w:t>mailing</w:t>
      </w:r>
      <w:proofErr w:type="spellEnd"/>
    </w:p>
    <w:p w14:paraId="6E9DF2CA" w14:textId="4AE99287" w:rsidR="001469DD" w:rsidRPr="001469DD" w:rsidRDefault="001469DD" w:rsidP="001469DD">
      <w:pPr>
        <w:pStyle w:val="Odsekzoznamu"/>
        <w:numPr>
          <w:ilvl w:val="1"/>
          <w:numId w:val="13"/>
        </w:numPr>
      </w:pPr>
      <w:r w:rsidRPr="001469DD">
        <w:t xml:space="preserve">Informačné centrum </w:t>
      </w:r>
      <w:r w:rsidR="00AE166D">
        <w:t>ÚV SR</w:t>
      </w:r>
    </w:p>
    <w:p w14:paraId="3C783295" w14:textId="7DA71357" w:rsidR="001469DD" w:rsidRPr="0060088C" w:rsidRDefault="001469DD" w:rsidP="004A61B5">
      <w:pPr>
        <w:numPr>
          <w:ilvl w:val="1"/>
          <w:numId w:val="13"/>
        </w:numPr>
        <w:spacing w:before="120" w:after="120"/>
        <w:jc w:val="both"/>
      </w:pPr>
      <w:r w:rsidRPr="001469DD">
        <w:t>Informačno-poradenské centrá v rámci integrovanej siete IPC</w:t>
      </w:r>
      <w:r w:rsidR="00332D35">
        <w:t xml:space="preserve">. </w:t>
      </w:r>
      <w:r w:rsidR="004A61B5" w:rsidRPr="004A61B5">
        <w:t>Kompetencie určuje Systém riadenia EŠIF, 5.3.1 Integrovaná sieť informačno-poradenských centier</w:t>
      </w:r>
      <w:r w:rsidR="00332D35">
        <w:t>.</w:t>
      </w:r>
    </w:p>
    <w:p w14:paraId="6A395A10" w14:textId="77777777" w:rsidR="001A04BB" w:rsidRPr="0060088C" w:rsidRDefault="001A04BB" w:rsidP="00F01404">
      <w:pPr>
        <w:numPr>
          <w:ilvl w:val="0"/>
          <w:numId w:val="13"/>
        </w:numPr>
        <w:tabs>
          <w:tab w:val="clear" w:pos="720"/>
          <w:tab w:val="num" w:pos="1440"/>
        </w:tabs>
        <w:spacing w:before="120" w:after="120"/>
        <w:ind w:left="851" w:hanging="425"/>
        <w:jc w:val="both"/>
        <w:rPr>
          <w:b/>
        </w:rPr>
      </w:pPr>
      <w:r w:rsidRPr="0060088C">
        <w:rPr>
          <w:b/>
        </w:rPr>
        <w:t>Iné nástroje</w:t>
      </w:r>
    </w:p>
    <w:p w14:paraId="35411325" w14:textId="7E1AF327" w:rsidR="007F6442" w:rsidRDefault="007F6442" w:rsidP="007F6442">
      <w:pPr>
        <w:numPr>
          <w:ilvl w:val="1"/>
          <w:numId w:val="13"/>
        </w:numPr>
        <w:spacing w:before="120" w:after="120"/>
        <w:jc w:val="both"/>
      </w:pPr>
      <w:r w:rsidRPr="007F6442">
        <w:t xml:space="preserve">aplikácia jednotnej vizuálnej identity </w:t>
      </w:r>
      <w:r w:rsidR="00332D35">
        <w:t>OP</w:t>
      </w:r>
      <w:r w:rsidRPr="007F6442">
        <w:t xml:space="preserve"> (</w:t>
      </w:r>
      <w:proofErr w:type="spellStart"/>
      <w:r w:rsidRPr="007F6442">
        <w:t>Corporate</w:t>
      </w:r>
      <w:proofErr w:type="spellEnd"/>
      <w:r w:rsidRPr="007F6442">
        <w:t xml:space="preserve"> </w:t>
      </w:r>
      <w:proofErr w:type="spellStart"/>
      <w:r w:rsidRPr="007F6442">
        <w:t>Desi</w:t>
      </w:r>
      <w:r>
        <w:t>gn</w:t>
      </w:r>
      <w:proofErr w:type="spellEnd"/>
      <w:r>
        <w:t xml:space="preserve"> manuál)</w:t>
      </w:r>
    </w:p>
    <w:p w14:paraId="77E52F22" w14:textId="77777777" w:rsidR="00CB7AE2" w:rsidRDefault="001A04BB" w:rsidP="00CB7AE2">
      <w:pPr>
        <w:numPr>
          <w:ilvl w:val="1"/>
          <w:numId w:val="13"/>
        </w:numPr>
        <w:spacing w:before="120" w:after="120"/>
        <w:jc w:val="both"/>
      </w:pPr>
      <w:r w:rsidRPr="0060088C">
        <w:t>marketingový prieskum, výskum verejnej mienky</w:t>
      </w:r>
    </w:p>
    <w:p w14:paraId="5569B2DA" w14:textId="7EA7530D" w:rsidR="00CB7AE2" w:rsidRDefault="00CB7AE2" w:rsidP="00CB7AE2">
      <w:pPr>
        <w:numPr>
          <w:ilvl w:val="1"/>
          <w:numId w:val="13"/>
        </w:numPr>
        <w:spacing w:before="120" w:after="120"/>
        <w:jc w:val="both"/>
      </w:pPr>
      <w:r>
        <w:t>V</w:t>
      </w:r>
      <w:r w:rsidRPr="008E599A">
        <w:t xml:space="preserve">eľkoplošný </w:t>
      </w:r>
      <w:r>
        <w:t>pútač</w:t>
      </w:r>
      <w:r w:rsidRPr="008E599A">
        <w:t xml:space="preserve"> alebo stála </w:t>
      </w:r>
      <w:r>
        <w:t>tabuľa</w:t>
      </w:r>
      <w:r w:rsidRPr="008E599A">
        <w:t xml:space="preserve"> u projektov v oblasti infraštruktúry alebo stavebných činností  v hodnote vyššej ako 500 000 eur. V</w:t>
      </w:r>
      <w:r w:rsidR="00314454">
        <w:t xml:space="preserve"> p</w:t>
      </w:r>
      <w:r w:rsidRPr="008E599A">
        <w:t xml:space="preserve">rípade iných </w:t>
      </w:r>
      <w:r w:rsidRPr="008E599A">
        <w:lastRenderedPageBreak/>
        <w:t>projektov ako v oblasti infraštruktúry alebo stavebných činností používať plagát veľkosti min A3.  Plagát u projektov v hodnote nižšej ako 500 000 EUR veľkosti min A3. Projekty v rámci ESF budú vždy využívať plagáty bez ohľadu na výšku alokácie.</w:t>
      </w:r>
    </w:p>
    <w:p w14:paraId="6021767F" w14:textId="532DF479" w:rsidR="001A04BB" w:rsidRPr="0060088C" w:rsidRDefault="001469DD" w:rsidP="002107A0">
      <w:pPr>
        <w:numPr>
          <w:ilvl w:val="1"/>
          <w:numId w:val="13"/>
        </w:numPr>
        <w:spacing w:before="120" w:after="120"/>
        <w:jc w:val="both"/>
      </w:pPr>
      <w:r>
        <w:t>vlajka</w:t>
      </w:r>
      <w:r w:rsidRPr="0060088C">
        <w:t xml:space="preserve"> </w:t>
      </w:r>
      <w:r w:rsidR="001A04BB" w:rsidRPr="0060088C">
        <w:t>EÚ</w:t>
      </w:r>
    </w:p>
    <w:p w14:paraId="7ECBD6FA" w14:textId="77777777" w:rsidR="001A04BB" w:rsidRPr="00306F23" w:rsidRDefault="001A04BB" w:rsidP="002107A0">
      <w:pPr>
        <w:numPr>
          <w:ilvl w:val="1"/>
          <w:numId w:val="13"/>
        </w:numPr>
        <w:spacing w:before="120" w:after="120"/>
        <w:jc w:val="both"/>
      </w:pPr>
      <w:r w:rsidRPr="0060088C">
        <w:rPr>
          <w:bCs/>
          <w:iCs/>
        </w:rPr>
        <w:t>zoznam prijímateľov NFP spolufinancovaných z EŠIF.</w:t>
      </w:r>
    </w:p>
    <w:p w14:paraId="60F97CF7" w14:textId="742A229D" w:rsidR="00243F83" w:rsidRDefault="00306F23" w:rsidP="00F365DE">
      <w:pPr>
        <w:pStyle w:val="MPCKO2"/>
        <w:numPr>
          <w:ilvl w:val="1"/>
          <w:numId w:val="1"/>
        </w:numPr>
        <w:spacing w:after="120"/>
      </w:pPr>
      <w:bookmarkStart w:id="11" w:name="_Toc469255071"/>
      <w:r>
        <w:t>Predbežná plánovaná finančná alokácia na jednotlivé roky</w:t>
      </w:r>
      <w:bookmarkEnd w:id="11"/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10"/>
        <w:gridCol w:w="910"/>
        <w:gridCol w:w="909"/>
        <w:gridCol w:w="909"/>
        <w:gridCol w:w="909"/>
        <w:gridCol w:w="909"/>
        <w:gridCol w:w="909"/>
        <w:gridCol w:w="909"/>
        <w:gridCol w:w="858"/>
        <w:gridCol w:w="51"/>
        <w:gridCol w:w="909"/>
      </w:tblGrid>
      <w:tr w:rsidR="00243F83" w:rsidRPr="0049366A" w14:paraId="351886A7" w14:textId="77777777" w:rsidTr="00243F83">
        <w:trPr>
          <w:trHeight w:val="473"/>
        </w:trPr>
        <w:tc>
          <w:tcPr>
            <w:tcW w:w="500" w:type="pct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FFFFFF"/>
            </w:tcBorders>
            <w:shd w:val="clear" w:color="auto" w:fill="365F91" w:themeFill="accent1" w:themeFillShade="B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E3BF4F5" w14:textId="77777777" w:rsidR="00243F83" w:rsidRPr="0049366A" w:rsidRDefault="00243F83" w:rsidP="00666924">
            <w:pPr>
              <w:jc w:val="center"/>
              <w:rPr>
                <w:rFonts w:eastAsia="Arial Unicode MS"/>
                <w:b/>
                <w:color w:val="FFFFFF"/>
              </w:rPr>
            </w:pPr>
            <w:r>
              <w:rPr>
                <w:rFonts w:eastAsia="Arial Unicode MS"/>
                <w:b/>
                <w:color w:val="FFFFFF"/>
              </w:rPr>
              <w:t>2014</w:t>
            </w:r>
          </w:p>
        </w:tc>
        <w:tc>
          <w:tcPr>
            <w:tcW w:w="500" w:type="pct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365F91" w:themeFill="accent1" w:themeFillShade="BF"/>
            <w:vAlign w:val="center"/>
          </w:tcPr>
          <w:p w14:paraId="3D31440E" w14:textId="77777777" w:rsidR="00243F83" w:rsidRPr="0049366A" w:rsidRDefault="00243F83" w:rsidP="00666924">
            <w:pPr>
              <w:jc w:val="center"/>
              <w:rPr>
                <w:rFonts w:eastAsia="Arial Unicode MS"/>
                <w:b/>
                <w:color w:val="FFFFFF"/>
              </w:rPr>
            </w:pPr>
            <w:r w:rsidRPr="0049366A">
              <w:rPr>
                <w:rFonts w:eastAsia="Arial Unicode MS"/>
                <w:b/>
                <w:color w:val="FFFFFF"/>
              </w:rPr>
              <w:t>2015</w:t>
            </w:r>
          </w:p>
        </w:tc>
        <w:tc>
          <w:tcPr>
            <w:tcW w:w="500" w:type="pct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365F91" w:themeFill="accent1" w:themeFillShade="BF"/>
            <w:vAlign w:val="center"/>
          </w:tcPr>
          <w:p w14:paraId="260C99E4" w14:textId="77777777" w:rsidR="00243F83" w:rsidRPr="0049366A" w:rsidRDefault="00243F83" w:rsidP="00666924">
            <w:pPr>
              <w:jc w:val="center"/>
              <w:rPr>
                <w:rFonts w:eastAsia="Arial Unicode MS"/>
                <w:b/>
                <w:color w:val="FFFFFF"/>
              </w:rPr>
            </w:pPr>
            <w:r w:rsidRPr="0049366A">
              <w:rPr>
                <w:rFonts w:eastAsia="Arial Unicode MS"/>
                <w:b/>
                <w:color w:val="FFFFFF"/>
              </w:rPr>
              <w:t>2016</w:t>
            </w:r>
          </w:p>
        </w:tc>
        <w:tc>
          <w:tcPr>
            <w:tcW w:w="500" w:type="pct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365F91" w:themeFill="accent1" w:themeFillShade="BF"/>
            <w:vAlign w:val="center"/>
          </w:tcPr>
          <w:p w14:paraId="4C787A46" w14:textId="77777777" w:rsidR="00243F83" w:rsidRPr="0049366A" w:rsidRDefault="00243F83" w:rsidP="00666924">
            <w:pPr>
              <w:jc w:val="center"/>
              <w:rPr>
                <w:rFonts w:eastAsia="Arial Unicode MS"/>
                <w:b/>
                <w:color w:val="FFFFFF"/>
              </w:rPr>
            </w:pPr>
            <w:r>
              <w:rPr>
                <w:rFonts w:eastAsia="Arial Unicode MS"/>
                <w:b/>
                <w:color w:val="FFFFFF"/>
              </w:rPr>
              <w:t>2017</w:t>
            </w:r>
          </w:p>
        </w:tc>
        <w:tc>
          <w:tcPr>
            <w:tcW w:w="500" w:type="pct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365F91" w:themeFill="accent1" w:themeFillShade="BF"/>
            <w:vAlign w:val="center"/>
          </w:tcPr>
          <w:p w14:paraId="44F79CFB" w14:textId="77777777" w:rsidR="00243F83" w:rsidRPr="0049366A" w:rsidRDefault="00243F83" w:rsidP="00666924">
            <w:pPr>
              <w:jc w:val="center"/>
              <w:rPr>
                <w:rFonts w:eastAsia="Arial Unicode MS"/>
                <w:b/>
                <w:color w:val="FFFFFF"/>
              </w:rPr>
            </w:pPr>
            <w:r>
              <w:rPr>
                <w:rFonts w:eastAsia="Arial Unicode MS"/>
                <w:b/>
                <w:color w:val="FFFFFF"/>
              </w:rPr>
              <w:t>2018</w:t>
            </w:r>
          </w:p>
        </w:tc>
        <w:tc>
          <w:tcPr>
            <w:tcW w:w="500" w:type="pct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365F91" w:themeFill="accent1" w:themeFillShade="BF"/>
            <w:vAlign w:val="center"/>
          </w:tcPr>
          <w:p w14:paraId="6A4E22F2" w14:textId="77777777" w:rsidR="00243F83" w:rsidRPr="0049366A" w:rsidRDefault="00243F83" w:rsidP="00666924">
            <w:pPr>
              <w:jc w:val="center"/>
              <w:rPr>
                <w:rFonts w:eastAsia="Arial Unicode MS"/>
                <w:b/>
                <w:color w:val="FFFFFF"/>
              </w:rPr>
            </w:pPr>
            <w:r>
              <w:rPr>
                <w:rFonts w:eastAsia="Arial Unicode MS"/>
                <w:b/>
                <w:color w:val="FFFFFF"/>
              </w:rPr>
              <w:t>2019</w:t>
            </w:r>
          </w:p>
        </w:tc>
        <w:tc>
          <w:tcPr>
            <w:tcW w:w="500" w:type="pct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365F91" w:themeFill="accent1" w:themeFillShade="BF"/>
            <w:vAlign w:val="center"/>
          </w:tcPr>
          <w:p w14:paraId="529F8EFB" w14:textId="77777777" w:rsidR="00243F83" w:rsidRPr="0049366A" w:rsidRDefault="00243F83" w:rsidP="00666924">
            <w:pPr>
              <w:jc w:val="center"/>
              <w:rPr>
                <w:rFonts w:eastAsia="Arial Unicode MS"/>
                <w:b/>
                <w:color w:val="FFFFFF"/>
              </w:rPr>
            </w:pPr>
            <w:r>
              <w:rPr>
                <w:rFonts w:eastAsia="Arial Unicode MS"/>
                <w:b/>
                <w:color w:val="FFFFFF"/>
              </w:rPr>
              <w:t>2020</w:t>
            </w:r>
          </w:p>
        </w:tc>
        <w:tc>
          <w:tcPr>
            <w:tcW w:w="500" w:type="pct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365F91" w:themeFill="accent1" w:themeFillShade="BF"/>
            <w:vAlign w:val="center"/>
          </w:tcPr>
          <w:p w14:paraId="4E3D10B2" w14:textId="77777777" w:rsidR="00243F83" w:rsidRPr="0049366A" w:rsidRDefault="00243F83" w:rsidP="00666924">
            <w:pPr>
              <w:jc w:val="center"/>
              <w:rPr>
                <w:rFonts w:eastAsia="Arial Unicode MS"/>
                <w:b/>
                <w:color w:val="FFFFFF"/>
              </w:rPr>
            </w:pPr>
            <w:r>
              <w:rPr>
                <w:rFonts w:eastAsia="Arial Unicode MS"/>
                <w:b/>
                <w:color w:val="FFFFFF"/>
              </w:rPr>
              <w:t>2021</w:t>
            </w:r>
          </w:p>
        </w:tc>
        <w:tc>
          <w:tcPr>
            <w:tcW w:w="472" w:type="pct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365F91" w:themeFill="accent1" w:themeFillShade="BF"/>
            <w:vAlign w:val="center"/>
          </w:tcPr>
          <w:p w14:paraId="17B64A84" w14:textId="77777777" w:rsidR="00243F83" w:rsidRDefault="00243F83" w:rsidP="00666924">
            <w:pPr>
              <w:jc w:val="center"/>
              <w:rPr>
                <w:rFonts w:eastAsia="Arial Unicode MS"/>
                <w:b/>
                <w:color w:val="FFFFFF"/>
              </w:rPr>
            </w:pPr>
            <w:r>
              <w:rPr>
                <w:rFonts w:eastAsia="Arial Unicode MS"/>
                <w:b/>
                <w:color w:val="FFFFFF"/>
              </w:rPr>
              <w:t>2022</w:t>
            </w:r>
          </w:p>
        </w:tc>
        <w:tc>
          <w:tcPr>
            <w:tcW w:w="528" w:type="pct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365F91" w:themeFill="accent1" w:themeFillShade="BF"/>
          </w:tcPr>
          <w:p w14:paraId="4755793A" w14:textId="77777777" w:rsidR="00243F83" w:rsidRDefault="00243F83" w:rsidP="00666924">
            <w:pPr>
              <w:jc w:val="center"/>
              <w:rPr>
                <w:rFonts w:eastAsia="Arial Unicode MS"/>
                <w:b/>
                <w:color w:val="FFFFFF"/>
              </w:rPr>
            </w:pPr>
            <w:r>
              <w:rPr>
                <w:rFonts w:eastAsia="Arial Unicode MS"/>
                <w:b/>
                <w:color w:val="FFFFFF"/>
              </w:rPr>
              <w:t>2023</w:t>
            </w:r>
          </w:p>
        </w:tc>
      </w:tr>
      <w:tr w:rsidR="00243F83" w:rsidRPr="0049366A" w14:paraId="4FB28B78" w14:textId="77777777" w:rsidTr="00243F83">
        <w:trPr>
          <w:trHeight w:val="473"/>
        </w:trPr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F293AE" w14:textId="77777777" w:rsidR="00243F83" w:rsidRPr="0049366A" w:rsidRDefault="00243F83" w:rsidP="00243F83">
            <w:pPr>
              <w:jc w:val="both"/>
              <w:rPr>
                <w:rFonts w:eastAsia="Arial Unicode MS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839F9" w14:textId="77777777" w:rsidR="00243F83" w:rsidRPr="0049366A" w:rsidRDefault="00243F83" w:rsidP="00243F83">
            <w:pPr>
              <w:jc w:val="both"/>
              <w:rPr>
                <w:rFonts w:eastAsia="Arial Unicode MS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4F567" w14:textId="77777777" w:rsidR="00243F83" w:rsidRPr="0049366A" w:rsidRDefault="00243F83" w:rsidP="00243F83">
            <w:pPr>
              <w:jc w:val="both"/>
              <w:rPr>
                <w:rFonts w:eastAsia="Arial Unicode MS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73221" w14:textId="77777777" w:rsidR="00243F83" w:rsidRPr="0049366A" w:rsidRDefault="00243F83" w:rsidP="00243F83">
            <w:pPr>
              <w:jc w:val="both"/>
              <w:rPr>
                <w:rFonts w:eastAsia="Arial Unicode MS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B014B" w14:textId="77777777" w:rsidR="00243F83" w:rsidRPr="0049366A" w:rsidRDefault="00243F83" w:rsidP="00243F83">
            <w:pPr>
              <w:jc w:val="both"/>
              <w:rPr>
                <w:rFonts w:eastAsia="Arial Unicode MS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D63E7" w14:textId="77777777" w:rsidR="00243F83" w:rsidRPr="0049366A" w:rsidRDefault="00243F83" w:rsidP="00243F83">
            <w:pPr>
              <w:jc w:val="both"/>
              <w:rPr>
                <w:rFonts w:eastAsia="Arial Unicode MS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E5D99" w14:textId="77777777" w:rsidR="00243F83" w:rsidRPr="0049366A" w:rsidRDefault="00243F83" w:rsidP="00243F83">
            <w:pPr>
              <w:jc w:val="both"/>
              <w:rPr>
                <w:rFonts w:eastAsia="Arial Unicode MS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997C4" w14:textId="77777777" w:rsidR="00243F83" w:rsidRPr="0049366A" w:rsidRDefault="00243F83" w:rsidP="00243F83">
            <w:pPr>
              <w:jc w:val="both"/>
              <w:rPr>
                <w:rFonts w:eastAsia="Arial Unicode MS"/>
              </w:rPr>
            </w:pPr>
          </w:p>
        </w:tc>
        <w:tc>
          <w:tcPr>
            <w:tcW w:w="5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0044F" w14:textId="77777777" w:rsidR="00243F83" w:rsidRPr="0049366A" w:rsidRDefault="00243F83" w:rsidP="00243F83">
            <w:pPr>
              <w:jc w:val="both"/>
              <w:rPr>
                <w:rFonts w:eastAsia="Arial Unicode MS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216D4" w14:textId="77777777" w:rsidR="00243F83" w:rsidRPr="0049366A" w:rsidRDefault="00243F83" w:rsidP="00243F83">
            <w:pPr>
              <w:jc w:val="both"/>
              <w:rPr>
                <w:rFonts w:eastAsia="Arial Unicode MS"/>
              </w:rPr>
            </w:pPr>
          </w:p>
        </w:tc>
      </w:tr>
    </w:tbl>
    <w:p w14:paraId="6DEA554C" w14:textId="77777777" w:rsidR="00490454" w:rsidRDefault="001A04BB" w:rsidP="00490454">
      <w:pPr>
        <w:pStyle w:val="MPCKO1"/>
        <w:ind w:left="284" w:hanging="284"/>
      </w:pPr>
      <w:bookmarkStart w:id="12" w:name="_Toc469255072"/>
      <w:r>
        <w:t>5</w:t>
      </w:r>
      <w:r w:rsidR="00490454" w:rsidRPr="00B37E57">
        <w:t xml:space="preserve"> </w:t>
      </w:r>
      <w:r w:rsidR="00490454">
        <w:t>Realizačný plán</w:t>
      </w:r>
      <w:bookmarkEnd w:id="12"/>
    </w:p>
    <w:p w14:paraId="51D740BA" w14:textId="0CBF37A1" w:rsidR="00E37D96" w:rsidRDefault="001A04BB" w:rsidP="00E37D96">
      <w:pPr>
        <w:pStyle w:val="MPCKO2"/>
        <w:ind w:left="378" w:hanging="378"/>
      </w:pPr>
      <w:bookmarkStart w:id="13" w:name="_Toc469255073"/>
      <w:r>
        <w:t>5</w:t>
      </w:r>
      <w:r w:rsidR="00E37D96">
        <w:t>.1 Časový harmonogram realizácie plánovaných komunikačných aktivít na roky 2014-202</w:t>
      </w:r>
      <w:r w:rsidR="00603F09">
        <w:t>3</w:t>
      </w:r>
      <w:bookmarkEnd w:id="13"/>
    </w:p>
    <w:p w14:paraId="49DB0865" w14:textId="0F7EDBD9" w:rsidR="001A04BB" w:rsidRPr="005E22C7" w:rsidRDefault="001A04BB" w:rsidP="001A04BB">
      <w:pPr>
        <w:autoSpaceDE w:val="0"/>
        <w:spacing w:before="120" w:after="120"/>
        <w:jc w:val="both"/>
      </w:pPr>
      <w:r w:rsidRPr="005E22C7">
        <w:rPr>
          <w:rFonts w:eastAsia="Calibri"/>
          <w:color w:val="000000"/>
          <w:shd w:val="clear" w:color="auto" w:fill="FFFFFF"/>
        </w:rPr>
        <w:t xml:space="preserve">Časový plán neobsahuje len dátum začiatku a konca kampane, ale zahŕňa tiež časový harmonogram podľa ktorého sa budú nasadzovať jednotlivé komunikačné nástroje a používať komunikačné kanály. Nasadenie nástrojov by malo byť načasované tak, aby sa nástroje vzájomne dopĺňali a vytvorili tak synergický efekt. Správne načasovanie je teda veľmi dôležité pre efektívnu komunikáciu, dosiahnutie vytýčených komunikačných cieľov a celkový úspech komunikačnej kampane. </w:t>
      </w:r>
      <w:r>
        <w:rPr>
          <w:rFonts w:eastAsia="Calibri"/>
          <w:color w:val="000000"/>
          <w:shd w:val="clear" w:color="auto" w:fill="FFFFFF"/>
        </w:rPr>
        <w:t>Každý OP si stanoví vlastný časový harmonogram, ktorý zodpovedá jeho východiskám, potrebám a</w:t>
      </w:r>
      <w:r w:rsidR="00F23215">
        <w:rPr>
          <w:rFonts w:eastAsia="Calibri"/>
          <w:color w:val="000000"/>
          <w:shd w:val="clear" w:color="auto" w:fill="FFFFFF"/>
        </w:rPr>
        <w:t xml:space="preserve"> </w:t>
      </w:r>
      <w:r>
        <w:rPr>
          <w:rFonts w:eastAsia="Calibri"/>
          <w:color w:val="000000"/>
          <w:shd w:val="clear" w:color="auto" w:fill="FFFFFF"/>
        </w:rPr>
        <w:t>cieľom.</w:t>
      </w:r>
    </w:p>
    <w:p w14:paraId="603A8A5C" w14:textId="77777777" w:rsidR="002632F0" w:rsidRDefault="002632F0" w:rsidP="002632F0">
      <w:pPr>
        <w:pStyle w:val="MPCKO1"/>
        <w:ind w:left="284" w:hanging="284"/>
      </w:pPr>
      <w:bookmarkStart w:id="14" w:name="_Toc469255075"/>
      <w:r>
        <w:t>6</w:t>
      </w:r>
      <w:r w:rsidRPr="00B37E57">
        <w:t xml:space="preserve"> </w:t>
      </w:r>
      <w:r>
        <w:t>Monitorovanie a hodnotenie</w:t>
      </w:r>
      <w:bookmarkEnd w:id="14"/>
    </w:p>
    <w:p w14:paraId="40DAD153" w14:textId="218F4C96" w:rsidR="00564089" w:rsidRPr="00C934D3" w:rsidRDefault="00564089" w:rsidP="00C95807">
      <w:pPr>
        <w:pStyle w:val="Odsekzoznamu"/>
        <w:numPr>
          <w:ilvl w:val="0"/>
          <w:numId w:val="21"/>
        </w:numPr>
        <w:spacing w:before="120" w:after="120"/>
        <w:ind w:left="426" w:hanging="426"/>
        <w:jc w:val="both"/>
      </w:pPr>
      <w:r w:rsidRPr="00C934D3">
        <w:t xml:space="preserve">Proces monitorovania je zameraný na získavanie údajov a vyťažovanie informácií získaných prostredníctvom </w:t>
      </w:r>
      <w:r w:rsidR="0041008B" w:rsidRPr="0041008B">
        <w:t>ITMS2014+</w:t>
      </w:r>
      <w:r w:rsidRPr="00C934D3">
        <w:t xml:space="preserve">, prípadne ostatných informačných systémov </w:t>
      </w:r>
      <w:r w:rsidR="00314454">
        <w:br/>
      </w:r>
      <w:r w:rsidRPr="00C934D3">
        <w:t>a</w:t>
      </w:r>
      <w:r w:rsidR="00314454">
        <w:t xml:space="preserve"> </w:t>
      </w:r>
      <w:r w:rsidRPr="00C934D3">
        <w:t>zdrojov obsahujúcich údaje o</w:t>
      </w:r>
      <w:r w:rsidR="00314454">
        <w:t xml:space="preserve"> </w:t>
      </w:r>
      <w:r w:rsidRPr="00C934D3">
        <w:t xml:space="preserve">portfóliu </w:t>
      </w:r>
      <w:r>
        <w:t>Partnerskej dohody</w:t>
      </w:r>
      <w:r w:rsidRPr="00C934D3">
        <w:t xml:space="preserve">. Cieľom procesu monitorovania je zabezpečiť pre všetkých aktérov údaje potrebné pre operatívne </w:t>
      </w:r>
      <w:r w:rsidR="00314454">
        <w:br/>
      </w:r>
      <w:r w:rsidRPr="00C934D3">
        <w:t>a</w:t>
      </w:r>
      <w:r w:rsidR="00314454">
        <w:t xml:space="preserve"> </w:t>
      </w:r>
      <w:r w:rsidRPr="00C934D3">
        <w:t xml:space="preserve">strategické riadenie vo vysokej dátovej kvalite tak z hľadiska rozsahu, ako aj </w:t>
      </w:r>
      <w:proofErr w:type="spellStart"/>
      <w:r w:rsidRPr="00C934D3">
        <w:t>validity</w:t>
      </w:r>
      <w:proofErr w:type="spellEnd"/>
      <w:r w:rsidR="00314454">
        <w:t xml:space="preserve"> </w:t>
      </w:r>
      <w:r w:rsidR="00314454">
        <w:br/>
      </w:r>
      <w:r w:rsidRPr="00C934D3">
        <w:t>a</w:t>
      </w:r>
      <w:r w:rsidR="00314454">
        <w:t xml:space="preserve"> </w:t>
      </w:r>
      <w:r w:rsidRPr="00C934D3">
        <w:t xml:space="preserve">prezentovať ich zrozumiteľnou formou. </w:t>
      </w:r>
    </w:p>
    <w:p w14:paraId="259D4694" w14:textId="1179CF11" w:rsidR="00564089" w:rsidRPr="00C934D3" w:rsidRDefault="00564089" w:rsidP="00C95807">
      <w:pPr>
        <w:pStyle w:val="Odsekzoznamu"/>
        <w:numPr>
          <w:ilvl w:val="0"/>
          <w:numId w:val="21"/>
        </w:numPr>
        <w:spacing w:before="120" w:after="120"/>
        <w:ind w:left="426" w:hanging="426"/>
        <w:jc w:val="both"/>
      </w:pPr>
      <w:r w:rsidRPr="00C934D3">
        <w:t>Výstupom procesu monitorovania sú správy o</w:t>
      </w:r>
      <w:r w:rsidR="00314454">
        <w:t xml:space="preserve"> </w:t>
      </w:r>
      <w:r w:rsidRPr="00C934D3">
        <w:t>stave projektu alebo programu (reporty), generované automaticky prostredníctvom príslušných funkcií</w:t>
      </w:r>
      <w:r w:rsidR="0041008B">
        <w:t xml:space="preserve"> </w:t>
      </w:r>
      <w:r w:rsidR="0041008B" w:rsidRPr="0041008B">
        <w:t>ITMS2014+</w:t>
      </w:r>
      <w:r w:rsidRPr="00C934D3">
        <w:t xml:space="preserve">, alebo vytvárané aktérmi v príslušných roliach. </w:t>
      </w:r>
    </w:p>
    <w:p w14:paraId="1DA9650C" w14:textId="19C8E5E7" w:rsidR="00564089" w:rsidRPr="00C934D3" w:rsidRDefault="00564089" w:rsidP="000C5BD2">
      <w:pPr>
        <w:pStyle w:val="Odsekzoznamu"/>
        <w:numPr>
          <w:ilvl w:val="0"/>
          <w:numId w:val="21"/>
        </w:numPr>
        <w:spacing w:before="120" w:after="120"/>
        <w:ind w:left="426" w:hanging="426"/>
        <w:jc w:val="both"/>
      </w:pPr>
      <w:r w:rsidRPr="00C934D3">
        <w:t xml:space="preserve">Proces monitorovania obsahuje nasledujúce </w:t>
      </w:r>
      <w:proofErr w:type="spellStart"/>
      <w:r w:rsidRPr="00C934D3">
        <w:t>podprocesy</w:t>
      </w:r>
      <w:proofErr w:type="spellEnd"/>
      <w:r w:rsidR="00EF231F">
        <w:t xml:space="preserve"> a</w:t>
      </w:r>
      <w:r w:rsidR="00EF231F" w:rsidRPr="00EF231F">
        <w:t xml:space="preserve"> poskytuje vstupy pre hodnotenie</w:t>
      </w:r>
      <w:r w:rsidRPr="00C934D3">
        <w:t xml:space="preserve">: </w:t>
      </w:r>
    </w:p>
    <w:p w14:paraId="06964991" w14:textId="77777777" w:rsidR="00564089" w:rsidRPr="00C934D3" w:rsidRDefault="00564089" w:rsidP="00564089">
      <w:pPr>
        <w:numPr>
          <w:ilvl w:val="0"/>
          <w:numId w:val="22"/>
        </w:numPr>
        <w:spacing w:before="120" w:after="120"/>
        <w:ind w:left="851" w:hanging="425"/>
        <w:jc w:val="both"/>
      </w:pPr>
      <w:r w:rsidRPr="00C934D3">
        <w:t>získavanie údajov (prijímateľ</w:t>
      </w:r>
      <w:r>
        <w:t xml:space="preserve">, </w:t>
      </w:r>
      <w:r w:rsidRPr="00C934D3">
        <w:t>SO/RO,</w:t>
      </w:r>
      <w:r w:rsidR="00AE166D">
        <w:t>ÚV SR,</w:t>
      </w:r>
      <w:r w:rsidRPr="00C934D3">
        <w:t xml:space="preserve"> CKO, CO),</w:t>
      </w:r>
    </w:p>
    <w:p w14:paraId="4E90E8BC" w14:textId="77777777" w:rsidR="00564089" w:rsidRPr="00C934D3" w:rsidRDefault="00564089" w:rsidP="00564089">
      <w:pPr>
        <w:numPr>
          <w:ilvl w:val="0"/>
          <w:numId w:val="22"/>
        </w:numPr>
        <w:spacing w:before="120" w:after="120"/>
        <w:ind w:left="851" w:hanging="425"/>
        <w:jc w:val="both"/>
      </w:pPr>
      <w:r w:rsidRPr="00C934D3">
        <w:t>prezentácia údajov (SO/RO</w:t>
      </w:r>
      <w:r>
        <w:t xml:space="preserve">, </w:t>
      </w:r>
      <w:r w:rsidRPr="00C934D3">
        <w:t>prijímateľ</w:t>
      </w:r>
      <w:r>
        <w:t xml:space="preserve">, </w:t>
      </w:r>
      <w:r w:rsidR="00AE166D">
        <w:t>ÚV SR ,</w:t>
      </w:r>
      <w:r w:rsidRPr="00C934D3">
        <w:t xml:space="preserve">CKO, CO, </w:t>
      </w:r>
      <w:proofErr w:type="spellStart"/>
      <w:r w:rsidRPr="00C934D3">
        <w:t>donori</w:t>
      </w:r>
      <w:proofErr w:type="spellEnd"/>
      <w:r w:rsidRPr="00C934D3">
        <w:t>),</w:t>
      </w:r>
    </w:p>
    <w:p w14:paraId="283D62D1" w14:textId="090977FA" w:rsidR="00564089" w:rsidRPr="00C934D3" w:rsidRDefault="00564089" w:rsidP="00564089">
      <w:pPr>
        <w:numPr>
          <w:ilvl w:val="0"/>
          <w:numId w:val="22"/>
        </w:numPr>
        <w:spacing w:before="120" w:after="120"/>
        <w:ind w:left="851" w:hanging="425"/>
        <w:jc w:val="both"/>
      </w:pPr>
      <w:proofErr w:type="spellStart"/>
      <w:r w:rsidRPr="00C934D3">
        <w:t>ex-ante</w:t>
      </w:r>
      <w:proofErr w:type="spellEnd"/>
      <w:r w:rsidRPr="00C934D3">
        <w:t xml:space="preserve">, </w:t>
      </w:r>
      <w:proofErr w:type="spellStart"/>
      <w:r w:rsidRPr="00C934D3">
        <w:t>interim</w:t>
      </w:r>
      <w:proofErr w:type="spellEnd"/>
      <w:r w:rsidRPr="00C934D3">
        <w:t xml:space="preserve"> a</w:t>
      </w:r>
      <w:r w:rsidR="00314454">
        <w:t xml:space="preserve"> </w:t>
      </w:r>
      <w:proofErr w:type="spellStart"/>
      <w:r w:rsidRPr="00C934D3">
        <w:t>ex-post</w:t>
      </w:r>
      <w:proofErr w:type="spellEnd"/>
      <w:r w:rsidRPr="00C934D3">
        <w:t xml:space="preserve"> hodnotenia.</w:t>
      </w:r>
    </w:p>
    <w:p w14:paraId="5604C2B1" w14:textId="77777777" w:rsidR="00564089" w:rsidRPr="00C934D3" w:rsidRDefault="00564089" w:rsidP="00564089">
      <w:pPr>
        <w:pStyle w:val="Odsekzoznamu"/>
        <w:numPr>
          <w:ilvl w:val="0"/>
          <w:numId w:val="21"/>
        </w:numPr>
        <w:spacing w:before="120" w:after="120"/>
        <w:ind w:left="426" w:hanging="426"/>
        <w:jc w:val="both"/>
      </w:pPr>
      <w:r w:rsidRPr="00C934D3">
        <w:t xml:space="preserve">Na základe údajov z monitorovania sa bude skúmať primárny vzťah medzi naplánovanými a reálnymi hodnotami finančných a fyzických ukazovateľov. Budú pravidelne vyhodnocované plnenia plánov: </w:t>
      </w:r>
    </w:p>
    <w:p w14:paraId="0FADE72E" w14:textId="77777777" w:rsidR="00564089" w:rsidRPr="00C934D3" w:rsidRDefault="00564089" w:rsidP="00564089">
      <w:pPr>
        <w:numPr>
          <w:ilvl w:val="0"/>
          <w:numId w:val="24"/>
        </w:numPr>
        <w:spacing w:before="120" w:after="120"/>
        <w:ind w:left="851" w:hanging="425"/>
        <w:jc w:val="both"/>
      </w:pPr>
      <w:r w:rsidRPr="00C934D3">
        <w:t xml:space="preserve">kontrahovania, </w:t>
      </w:r>
    </w:p>
    <w:p w14:paraId="1D8A9240" w14:textId="77777777" w:rsidR="00564089" w:rsidRPr="00C934D3" w:rsidRDefault="00564089" w:rsidP="00564089">
      <w:pPr>
        <w:numPr>
          <w:ilvl w:val="0"/>
          <w:numId w:val="24"/>
        </w:numPr>
        <w:spacing w:before="120" w:after="120"/>
        <w:ind w:left="851" w:hanging="425"/>
        <w:jc w:val="both"/>
      </w:pPr>
      <w:r w:rsidRPr="00C934D3">
        <w:lastRenderedPageBreak/>
        <w:t>čerpania a  skutočného čerpania (údaje z certifikačného orgánu),</w:t>
      </w:r>
    </w:p>
    <w:p w14:paraId="6819601D" w14:textId="77777777" w:rsidR="00564089" w:rsidRPr="00C934D3" w:rsidRDefault="00564089" w:rsidP="00564089">
      <w:pPr>
        <w:numPr>
          <w:ilvl w:val="0"/>
          <w:numId w:val="24"/>
        </w:numPr>
        <w:spacing w:before="120" w:after="120"/>
        <w:ind w:left="851" w:hanging="425"/>
        <w:jc w:val="both"/>
      </w:pPr>
      <w:r w:rsidRPr="00C934D3">
        <w:t xml:space="preserve">výsledkov. </w:t>
      </w:r>
    </w:p>
    <w:p w14:paraId="30892196" w14:textId="4B053B3B" w:rsidR="00564089" w:rsidRPr="00C934D3" w:rsidRDefault="00564089" w:rsidP="00564089">
      <w:pPr>
        <w:pStyle w:val="Odsekzoznamu"/>
        <w:numPr>
          <w:ilvl w:val="0"/>
          <w:numId w:val="21"/>
        </w:numPr>
        <w:spacing w:before="120" w:after="120"/>
        <w:ind w:left="426" w:hanging="426"/>
        <w:jc w:val="both"/>
      </w:pPr>
      <w:r w:rsidRPr="00C934D3">
        <w:t>V</w:t>
      </w:r>
      <w:r w:rsidR="00314454">
        <w:t xml:space="preserve"> </w:t>
      </w:r>
      <w:r w:rsidRPr="00C934D3">
        <w:t>prípade prekročenia tolerovanej hranice rozdielu medzi plánom a skutočnosťou realizácie projektu alebo programu sa v</w:t>
      </w:r>
      <w:r w:rsidR="00F23215">
        <w:t xml:space="preserve"> </w:t>
      </w:r>
      <w:r w:rsidRPr="00C934D3">
        <w:t xml:space="preserve">prípade programov uplatní výkonnostná rezerva. </w:t>
      </w:r>
    </w:p>
    <w:p w14:paraId="17DA444C" w14:textId="22BE2F43" w:rsidR="00564089" w:rsidRPr="00C934D3" w:rsidRDefault="00564089" w:rsidP="00564089">
      <w:pPr>
        <w:pStyle w:val="Odsekzoznamu"/>
        <w:numPr>
          <w:ilvl w:val="0"/>
          <w:numId w:val="21"/>
        </w:numPr>
        <w:spacing w:before="120" w:after="120"/>
        <w:ind w:left="426" w:hanging="426"/>
        <w:jc w:val="both"/>
      </w:pPr>
      <w:r w:rsidRPr="00C934D3">
        <w:t>V</w:t>
      </w:r>
      <w:r w:rsidR="00314454">
        <w:t xml:space="preserve"> </w:t>
      </w:r>
      <w:r w:rsidRPr="00C934D3">
        <w:t xml:space="preserve">prípade projektov sa uplatnia </w:t>
      </w:r>
      <w:proofErr w:type="spellStart"/>
      <w:r w:rsidRPr="00C934D3">
        <w:t>mitigačné</w:t>
      </w:r>
      <w:proofErr w:type="spellEnd"/>
      <w:r w:rsidRPr="00C934D3">
        <w:t xml:space="preserve"> mechanizmy vyplývajúce zo systému finančného riadenia (korekcie, krátenie FP). </w:t>
      </w:r>
    </w:p>
    <w:p w14:paraId="2B7AD20E" w14:textId="46B24AA4" w:rsidR="00564089" w:rsidRPr="00C934D3" w:rsidRDefault="00564089" w:rsidP="00564089">
      <w:pPr>
        <w:pStyle w:val="Odsekzoznamu"/>
        <w:numPr>
          <w:ilvl w:val="0"/>
          <w:numId w:val="21"/>
        </w:numPr>
        <w:spacing w:before="120" w:after="120"/>
        <w:ind w:left="426" w:hanging="426"/>
        <w:jc w:val="both"/>
      </w:pPr>
      <w:r w:rsidRPr="00C934D3">
        <w:t xml:space="preserve">Súčasťou monitorovania bude aj monitorovanie údajov pre potreby hodnotenia dodržiavania stanovených lehôt a kritérií kvality (chybovosť). V prípade nedodržania lehôt, neúmerne dlhého trvania procesov, prípadne pri chybovosti budú uplatnené </w:t>
      </w:r>
      <w:proofErr w:type="spellStart"/>
      <w:r w:rsidRPr="00C934D3">
        <w:t>mitigačné</w:t>
      </w:r>
      <w:proofErr w:type="spellEnd"/>
      <w:r w:rsidRPr="00C934D3">
        <w:t xml:space="preserve"> mechanizmy ako napr. neoprávnenosť príslušných výdavkov zo zdrojov </w:t>
      </w:r>
      <w:r w:rsidR="00E35F22">
        <w:t>t</w:t>
      </w:r>
      <w:r>
        <w:t xml:space="preserve">echnickej </w:t>
      </w:r>
      <w:r w:rsidR="00E35F22">
        <w:t>pomoci</w:t>
      </w:r>
      <w:r w:rsidR="00E35F22" w:rsidRPr="00C934D3">
        <w:t xml:space="preserve"> </w:t>
      </w:r>
      <w:r w:rsidRPr="00C934D3">
        <w:t xml:space="preserve">a ich financovanie zo zdrojov SO/RO. </w:t>
      </w:r>
    </w:p>
    <w:p w14:paraId="21D930A4" w14:textId="77777777" w:rsidR="00564089" w:rsidRPr="00C934D3" w:rsidRDefault="00564089" w:rsidP="00564089">
      <w:pPr>
        <w:pStyle w:val="Odsekzoznamu"/>
        <w:numPr>
          <w:ilvl w:val="0"/>
          <w:numId w:val="21"/>
        </w:numPr>
        <w:spacing w:before="120" w:after="120"/>
        <w:ind w:left="426" w:hanging="426"/>
        <w:jc w:val="both"/>
      </w:pPr>
      <w:r w:rsidRPr="00C934D3">
        <w:t>Základom pre úspešnú realizáciu komunikačnej stratégie je priebežné sledovanie a hodnotenie realizovaných komunikačných aktivít.</w:t>
      </w:r>
    </w:p>
    <w:p w14:paraId="242BB6FB" w14:textId="427D952E" w:rsidR="00564089" w:rsidRPr="00C934D3" w:rsidRDefault="00564089" w:rsidP="00564089">
      <w:pPr>
        <w:pStyle w:val="Odsekzoznamu"/>
        <w:numPr>
          <w:ilvl w:val="0"/>
          <w:numId w:val="21"/>
        </w:numPr>
        <w:spacing w:before="120" w:after="120"/>
        <w:ind w:left="426" w:hanging="426"/>
        <w:jc w:val="both"/>
      </w:pPr>
      <w:r w:rsidRPr="00C934D3">
        <w:t>Efektívnosť, účelnosť</w:t>
      </w:r>
      <w:r w:rsidR="003E715D">
        <w:t>, účinnosť</w:t>
      </w:r>
      <w:r w:rsidRPr="00C934D3">
        <w:t xml:space="preserve"> a hospodárnosť čerpania finančných prostriedkov je vhodné priebežne (mesačne, kvartálne, ročne) sledovať pomocou </w:t>
      </w:r>
      <w:r w:rsidR="006B0C05">
        <w:t>ukazovateľov</w:t>
      </w:r>
      <w:r w:rsidRPr="00C934D3">
        <w:t xml:space="preserve"> definovaných v</w:t>
      </w:r>
      <w:r w:rsidR="00F23215">
        <w:t xml:space="preserve"> </w:t>
      </w:r>
      <w:r w:rsidRPr="00C934D3">
        <w:t>OP. RO má povinnosť podať informácie o</w:t>
      </w:r>
      <w:r w:rsidR="00F23215">
        <w:t xml:space="preserve"> </w:t>
      </w:r>
      <w:r w:rsidRPr="00C934D3">
        <w:t>čerpaní finančných prostriedkov a</w:t>
      </w:r>
      <w:r w:rsidR="00F23215">
        <w:t xml:space="preserve"> </w:t>
      </w:r>
      <w:r w:rsidRPr="00C934D3">
        <w:t>o stave realizácie Komunikačnej stratégie v</w:t>
      </w:r>
      <w:r w:rsidR="00F23215">
        <w:t xml:space="preserve"> </w:t>
      </w:r>
      <w:r w:rsidRPr="00C934D3">
        <w:t xml:space="preserve">rámci </w:t>
      </w:r>
      <w:r w:rsidRPr="00564089">
        <w:rPr>
          <w:b/>
        </w:rPr>
        <w:t>výročných správ</w:t>
      </w:r>
      <w:r w:rsidRPr="00C934D3">
        <w:t xml:space="preserve"> </w:t>
      </w:r>
      <w:r w:rsidR="00314454">
        <w:br/>
      </w:r>
      <w:r w:rsidRPr="00C934D3">
        <w:t>a</w:t>
      </w:r>
      <w:r w:rsidR="00314454">
        <w:t xml:space="preserve"> </w:t>
      </w:r>
      <w:r w:rsidRPr="00564089">
        <w:rPr>
          <w:b/>
        </w:rPr>
        <w:t>záverečnej správy</w:t>
      </w:r>
      <w:r w:rsidRPr="00C934D3">
        <w:t xml:space="preserve"> monitorovaciemu výboru. Výročná vykonávacia správa a záverečná vykonávacia správa budú obsahovať kapitolu s vyhodnotením výsledkov opatrení v oblasti informovania a</w:t>
      </w:r>
      <w:r w:rsidR="00314454">
        <w:t xml:space="preserve"> </w:t>
      </w:r>
      <w:r w:rsidRPr="00C934D3">
        <w:t xml:space="preserve">komunikácie. </w:t>
      </w:r>
    </w:p>
    <w:p w14:paraId="3C1785E3" w14:textId="77777777" w:rsidR="00564089" w:rsidRPr="00C934D3" w:rsidRDefault="00564089" w:rsidP="00564089">
      <w:pPr>
        <w:pStyle w:val="Odsekzoznamu"/>
        <w:numPr>
          <w:ilvl w:val="0"/>
          <w:numId w:val="21"/>
        </w:numPr>
        <w:spacing w:before="120" w:after="120"/>
        <w:ind w:left="426" w:hanging="426"/>
        <w:jc w:val="both"/>
      </w:pPr>
      <w:r w:rsidRPr="00C934D3">
        <w:t>Výročné správy a záverečná správa o vykonaní OP obsahujú:</w:t>
      </w:r>
    </w:p>
    <w:p w14:paraId="6D7832F9" w14:textId="77777777" w:rsidR="00564089" w:rsidRPr="00C934D3" w:rsidRDefault="00564089" w:rsidP="00564089">
      <w:pPr>
        <w:pStyle w:val="Odsekzoznamu"/>
        <w:numPr>
          <w:ilvl w:val="1"/>
          <w:numId w:val="26"/>
        </w:numPr>
        <w:autoSpaceDE w:val="0"/>
        <w:autoSpaceDN w:val="0"/>
        <w:adjustRightInd w:val="0"/>
        <w:spacing w:before="120" w:after="120"/>
        <w:ind w:left="851" w:hanging="425"/>
        <w:jc w:val="both"/>
      </w:pPr>
      <w:r w:rsidRPr="00C934D3">
        <w:t>príklady aktivít v oblasti informovania a komunikácie pre OP, ktoré sa vykonávajú pri realizácii komunikačnej stratégie;</w:t>
      </w:r>
    </w:p>
    <w:p w14:paraId="37486EAC" w14:textId="77777777" w:rsidR="00564089" w:rsidRPr="00C934D3" w:rsidRDefault="00564089" w:rsidP="00564089">
      <w:pPr>
        <w:pStyle w:val="Odsekzoznamu"/>
        <w:numPr>
          <w:ilvl w:val="1"/>
          <w:numId w:val="26"/>
        </w:numPr>
        <w:autoSpaceDE w:val="0"/>
        <w:autoSpaceDN w:val="0"/>
        <w:adjustRightInd w:val="0"/>
        <w:spacing w:before="120" w:after="120"/>
        <w:ind w:left="851" w:hanging="425"/>
        <w:jc w:val="both"/>
      </w:pPr>
      <w:r w:rsidRPr="00C934D3">
        <w:t>kroky na vykonanie aktivít v oblasti informovania a komunikácie vrátane elektronickej adresy, na ktorej tieto údaje možno nájsť;</w:t>
      </w:r>
    </w:p>
    <w:p w14:paraId="70CA8BD5" w14:textId="77777777" w:rsidR="00564089" w:rsidRPr="00C934D3" w:rsidRDefault="00564089" w:rsidP="00564089">
      <w:pPr>
        <w:pStyle w:val="Odsekzoznamu"/>
        <w:numPr>
          <w:ilvl w:val="1"/>
          <w:numId w:val="26"/>
        </w:numPr>
        <w:autoSpaceDE w:val="0"/>
        <w:autoSpaceDN w:val="0"/>
        <w:adjustRightInd w:val="0"/>
        <w:spacing w:before="120" w:after="120"/>
        <w:ind w:left="851" w:hanging="425"/>
        <w:jc w:val="both"/>
      </w:pPr>
      <w:r w:rsidRPr="00C934D3">
        <w:t>obsah hlavných zmien a doplnení komunikačnej stratégie.</w:t>
      </w:r>
    </w:p>
    <w:p w14:paraId="256351EF" w14:textId="77777777" w:rsidR="00564089" w:rsidRPr="00C934D3" w:rsidRDefault="00564089" w:rsidP="00564089">
      <w:pPr>
        <w:pStyle w:val="Odsekzoznamu"/>
        <w:numPr>
          <w:ilvl w:val="0"/>
          <w:numId w:val="21"/>
        </w:numPr>
        <w:spacing w:before="120" w:after="120"/>
        <w:ind w:left="426" w:hanging="426"/>
        <w:jc w:val="both"/>
      </w:pPr>
      <w:r w:rsidRPr="00C934D3">
        <w:t>Výročná vykonávacia správa a záverečná vykonávacia správa m</w:t>
      </w:r>
      <w:r>
        <w:t>ajú</w:t>
      </w:r>
      <w:r w:rsidRPr="00C934D3">
        <w:t xml:space="preserve"> obsahovať kapitolu s vyhodnotením výsledkov opatrení v oblasti informovania a komunikácie v súvislosti so zviditeľnením a zvýšením povedomia o operačných programoch a s úlohou, ktorú zohráva Európska únia. </w:t>
      </w:r>
    </w:p>
    <w:p w14:paraId="6E4AF27F" w14:textId="2074EFAF" w:rsidR="00564089" w:rsidRPr="00F365DE" w:rsidRDefault="00564089" w:rsidP="005A544B">
      <w:pPr>
        <w:pStyle w:val="Default"/>
        <w:numPr>
          <w:ilvl w:val="0"/>
          <w:numId w:val="21"/>
        </w:numPr>
        <w:spacing w:before="120" w:after="120"/>
        <w:ind w:left="426" w:hanging="426"/>
        <w:jc w:val="both"/>
        <w:rPr>
          <w:rFonts w:ascii="Times New Roman" w:hAnsi="Times New Roman" w:cs="Times New Roman"/>
          <w:b/>
          <w:color w:val="auto"/>
        </w:rPr>
      </w:pPr>
      <w:r w:rsidRPr="00F365DE">
        <w:rPr>
          <w:rFonts w:ascii="Times New Roman" w:hAnsi="Times New Roman" w:cs="Times New Roman"/>
          <w:b/>
          <w:color w:val="auto"/>
        </w:rPr>
        <w:t xml:space="preserve">Hodnotenie výsledkov realizácie Komunikačnej stratégie sa uskutoční na základe </w:t>
      </w:r>
      <w:r w:rsidR="00E35F22" w:rsidRPr="00F365DE">
        <w:rPr>
          <w:rFonts w:ascii="Times New Roman" w:hAnsi="Times New Roman" w:cs="Times New Roman"/>
          <w:b/>
          <w:color w:val="auto"/>
        </w:rPr>
        <w:t xml:space="preserve">minimálne jedného z </w:t>
      </w:r>
      <w:r w:rsidRPr="00F365DE">
        <w:rPr>
          <w:rFonts w:ascii="Times New Roman" w:hAnsi="Times New Roman" w:cs="Times New Roman"/>
          <w:b/>
          <w:color w:val="auto"/>
        </w:rPr>
        <w:t>uvedených navrhovaných hodnotiacich kritérií:</w:t>
      </w:r>
    </w:p>
    <w:p w14:paraId="4C45E693" w14:textId="77777777" w:rsidR="00564089" w:rsidRPr="00387AE6" w:rsidRDefault="00564089">
      <w:pPr>
        <w:pStyle w:val="Zkladntext2"/>
        <w:numPr>
          <w:ilvl w:val="1"/>
          <w:numId w:val="30"/>
        </w:numPr>
        <w:spacing w:before="120" w:line="240" w:lineRule="auto"/>
        <w:ind w:left="851" w:hanging="425"/>
        <w:jc w:val="both"/>
        <w:rPr>
          <w:rFonts w:ascii="Times New Roman" w:hAnsi="Times New Roman"/>
          <w:b/>
          <w:bCs/>
          <w:sz w:val="24"/>
        </w:rPr>
      </w:pPr>
      <w:r w:rsidRPr="00387AE6">
        <w:rPr>
          <w:rFonts w:ascii="Times New Roman" w:hAnsi="Times New Roman"/>
          <w:b/>
          <w:bCs/>
          <w:sz w:val="24"/>
        </w:rPr>
        <w:t xml:space="preserve">na úrovni operačného programu (dopadové </w:t>
      </w:r>
      <w:r w:rsidR="006B0C05" w:rsidRPr="00387AE6">
        <w:rPr>
          <w:rFonts w:ascii="Times New Roman" w:hAnsi="Times New Roman"/>
          <w:b/>
          <w:bCs/>
          <w:sz w:val="24"/>
        </w:rPr>
        <w:t>ukazovatele</w:t>
      </w:r>
      <w:r w:rsidRPr="00387AE6">
        <w:rPr>
          <w:rFonts w:ascii="Times New Roman" w:hAnsi="Times New Roman"/>
          <w:b/>
          <w:bCs/>
          <w:sz w:val="24"/>
        </w:rPr>
        <w:t>)</w:t>
      </w:r>
    </w:p>
    <w:p w14:paraId="30AB79BC" w14:textId="7498E75A" w:rsidR="00564089" w:rsidRPr="00387AE6" w:rsidRDefault="00564089" w:rsidP="00C95807">
      <w:pPr>
        <w:numPr>
          <w:ilvl w:val="0"/>
          <w:numId w:val="31"/>
        </w:numPr>
        <w:tabs>
          <w:tab w:val="clear" w:pos="720"/>
        </w:tabs>
        <w:spacing w:before="120" w:after="120"/>
        <w:ind w:left="1276" w:hanging="425"/>
        <w:jc w:val="both"/>
        <w:rPr>
          <w:bCs/>
          <w:color w:val="000000"/>
        </w:rPr>
      </w:pPr>
      <w:r w:rsidRPr="00387AE6">
        <w:rPr>
          <w:bCs/>
          <w:color w:val="000000"/>
        </w:rPr>
        <w:t>úroveň celkovej informovanosti verejnosti o</w:t>
      </w:r>
      <w:r w:rsidR="00314454">
        <w:rPr>
          <w:bCs/>
          <w:color w:val="000000"/>
        </w:rPr>
        <w:t xml:space="preserve"> </w:t>
      </w:r>
      <w:r w:rsidRPr="00387AE6">
        <w:rPr>
          <w:bCs/>
          <w:color w:val="000000"/>
        </w:rPr>
        <w:t>úlohe EÚ a</w:t>
      </w:r>
      <w:r w:rsidR="00314454">
        <w:rPr>
          <w:bCs/>
          <w:color w:val="000000"/>
        </w:rPr>
        <w:t xml:space="preserve"> </w:t>
      </w:r>
      <w:r w:rsidRPr="00387AE6">
        <w:rPr>
          <w:bCs/>
          <w:color w:val="000000"/>
        </w:rPr>
        <w:t>opatreniach OP,</w:t>
      </w:r>
    </w:p>
    <w:p w14:paraId="3D69DD17" w14:textId="28F05458" w:rsidR="00564089" w:rsidRPr="00387AE6" w:rsidRDefault="00564089" w:rsidP="00C95807">
      <w:pPr>
        <w:numPr>
          <w:ilvl w:val="0"/>
          <w:numId w:val="31"/>
        </w:numPr>
        <w:tabs>
          <w:tab w:val="clear" w:pos="720"/>
        </w:tabs>
        <w:spacing w:before="120" w:after="120"/>
        <w:ind w:left="1276" w:hanging="425"/>
        <w:jc w:val="both"/>
        <w:rPr>
          <w:bCs/>
          <w:color w:val="000000"/>
        </w:rPr>
      </w:pPr>
      <w:r w:rsidRPr="00387AE6">
        <w:rPr>
          <w:bCs/>
          <w:color w:val="000000"/>
        </w:rPr>
        <w:t>záujem o</w:t>
      </w:r>
      <w:r w:rsidR="00314454">
        <w:rPr>
          <w:bCs/>
          <w:color w:val="000000"/>
        </w:rPr>
        <w:t xml:space="preserve"> </w:t>
      </w:r>
      <w:r w:rsidRPr="00387AE6">
        <w:rPr>
          <w:bCs/>
          <w:color w:val="000000"/>
        </w:rPr>
        <w:t>podporu z OP,</w:t>
      </w:r>
    </w:p>
    <w:p w14:paraId="21539340" w14:textId="603C39A0" w:rsidR="00564089" w:rsidRPr="00387AE6" w:rsidRDefault="00564089" w:rsidP="00C95807">
      <w:pPr>
        <w:numPr>
          <w:ilvl w:val="0"/>
          <w:numId w:val="31"/>
        </w:numPr>
        <w:tabs>
          <w:tab w:val="clear" w:pos="720"/>
        </w:tabs>
        <w:spacing w:before="120" w:after="120"/>
        <w:ind w:left="1276" w:hanging="425"/>
        <w:jc w:val="both"/>
        <w:rPr>
          <w:bCs/>
          <w:color w:val="000000"/>
        </w:rPr>
      </w:pPr>
      <w:r w:rsidRPr="00387AE6">
        <w:rPr>
          <w:bCs/>
          <w:color w:val="000000"/>
        </w:rPr>
        <w:t xml:space="preserve">úspešnosť programu </w:t>
      </w:r>
      <w:r w:rsidR="00E35F22" w:rsidRPr="00387AE6">
        <w:rPr>
          <w:bCs/>
          <w:color w:val="000000"/>
        </w:rPr>
        <w:t>(</w:t>
      </w:r>
      <w:r w:rsidRPr="00387AE6">
        <w:rPr>
          <w:bCs/>
          <w:color w:val="000000"/>
        </w:rPr>
        <w:t xml:space="preserve">úspešnosť čerpania, miera chybovosti, </w:t>
      </w:r>
      <w:proofErr w:type="spellStart"/>
      <w:r w:rsidRPr="00387AE6">
        <w:rPr>
          <w:bCs/>
          <w:color w:val="000000"/>
        </w:rPr>
        <w:t>good</w:t>
      </w:r>
      <w:proofErr w:type="spellEnd"/>
      <w:r w:rsidRPr="00387AE6">
        <w:rPr>
          <w:bCs/>
          <w:color w:val="000000"/>
        </w:rPr>
        <w:t xml:space="preserve"> </w:t>
      </w:r>
      <w:proofErr w:type="spellStart"/>
      <w:r w:rsidRPr="00387AE6">
        <w:rPr>
          <w:bCs/>
          <w:color w:val="000000"/>
        </w:rPr>
        <w:t>practices</w:t>
      </w:r>
      <w:proofErr w:type="spellEnd"/>
      <w:r w:rsidR="00E35F22" w:rsidRPr="00387AE6">
        <w:rPr>
          <w:bCs/>
          <w:color w:val="000000"/>
        </w:rPr>
        <w:t>)</w:t>
      </w:r>
    </w:p>
    <w:p w14:paraId="1E44B433" w14:textId="0F15DEC5" w:rsidR="00564089" w:rsidRPr="00387AE6" w:rsidRDefault="00564089">
      <w:pPr>
        <w:pStyle w:val="Zkladntext2"/>
        <w:numPr>
          <w:ilvl w:val="1"/>
          <w:numId w:val="30"/>
        </w:numPr>
        <w:spacing w:before="120" w:line="240" w:lineRule="auto"/>
        <w:ind w:left="851" w:hanging="425"/>
        <w:jc w:val="both"/>
        <w:rPr>
          <w:rFonts w:ascii="Times New Roman" w:hAnsi="Times New Roman"/>
          <w:b/>
          <w:bCs/>
          <w:sz w:val="24"/>
        </w:rPr>
      </w:pPr>
      <w:r w:rsidRPr="00387AE6">
        <w:rPr>
          <w:rFonts w:ascii="Times New Roman" w:hAnsi="Times New Roman"/>
          <w:b/>
          <w:bCs/>
          <w:sz w:val="24"/>
        </w:rPr>
        <w:t xml:space="preserve">na úrovni jednotlivých aktivít Komunikačnej stratégie (výstupové a výsledkové </w:t>
      </w:r>
      <w:r w:rsidR="006B0C05" w:rsidRPr="00387AE6">
        <w:rPr>
          <w:rFonts w:ascii="Times New Roman" w:hAnsi="Times New Roman"/>
          <w:b/>
          <w:bCs/>
          <w:sz w:val="24"/>
        </w:rPr>
        <w:t>ukazovatele</w:t>
      </w:r>
      <w:r w:rsidRPr="00387AE6">
        <w:rPr>
          <w:rFonts w:ascii="Times New Roman" w:hAnsi="Times New Roman"/>
          <w:b/>
          <w:bCs/>
          <w:sz w:val="24"/>
        </w:rPr>
        <w:t>)</w:t>
      </w:r>
      <w:r w:rsidR="00E35F22" w:rsidRPr="00387AE6">
        <w:rPr>
          <w:rFonts w:ascii="Times New Roman" w:hAnsi="Times New Roman"/>
          <w:bCs/>
          <w:sz w:val="24"/>
        </w:rPr>
        <w:t>, pričom sa musia použiť minimálne dva z nasledujúcich ukazovateľov:</w:t>
      </w:r>
    </w:p>
    <w:p w14:paraId="4CC1D9F9" w14:textId="77777777" w:rsidR="00564089" w:rsidRPr="00387AE6" w:rsidRDefault="00564089" w:rsidP="00C95807">
      <w:pPr>
        <w:numPr>
          <w:ilvl w:val="0"/>
          <w:numId w:val="32"/>
        </w:numPr>
        <w:tabs>
          <w:tab w:val="clear" w:pos="720"/>
        </w:tabs>
        <w:spacing w:before="120" w:after="120"/>
        <w:ind w:left="1276" w:hanging="425"/>
        <w:jc w:val="both"/>
        <w:rPr>
          <w:bCs/>
          <w:color w:val="000000"/>
        </w:rPr>
      </w:pPr>
      <w:r w:rsidRPr="00387AE6">
        <w:rPr>
          <w:bCs/>
          <w:color w:val="000000"/>
        </w:rPr>
        <w:t>počet zverejnených správ, rozhovorov, príspevkov, inzerátov vo všetkých druhoch médií,</w:t>
      </w:r>
    </w:p>
    <w:p w14:paraId="43D4104E" w14:textId="7DD19FEA" w:rsidR="00564089" w:rsidRPr="00C934D3" w:rsidRDefault="00564089" w:rsidP="00C95807">
      <w:pPr>
        <w:numPr>
          <w:ilvl w:val="0"/>
          <w:numId w:val="32"/>
        </w:numPr>
        <w:tabs>
          <w:tab w:val="clear" w:pos="720"/>
        </w:tabs>
        <w:spacing w:before="120" w:after="120"/>
        <w:ind w:left="1276" w:hanging="425"/>
        <w:jc w:val="both"/>
        <w:rPr>
          <w:bCs/>
          <w:color w:val="000000"/>
        </w:rPr>
      </w:pPr>
      <w:r w:rsidRPr="00C934D3">
        <w:rPr>
          <w:bCs/>
          <w:color w:val="000000"/>
        </w:rPr>
        <w:t xml:space="preserve">návštevnosť </w:t>
      </w:r>
      <w:r w:rsidR="00A3234F">
        <w:rPr>
          <w:bCs/>
          <w:color w:val="000000"/>
        </w:rPr>
        <w:t xml:space="preserve">príslušného </w:t>
      </w:r>
      <w:r>
        <w:rPr>
          <w:bCs/>
          <w:color w:val="000000"/>
        </w:rPr>
        <w:t>webového sídla</w:t>
      </w:r>
      <w:r w:rsidR="00A3234F">
        <w:rPr>
          <w:bCs/>
          <w:color w:val="000000"/>
        </w:rPr>
        <w:t xml:space="preserve"> </w:t>
      </w:r>
      <w:r w:rsidR="00E35F22">
        <w:rPr>
          <w:bCs/>
          <w:color w:val="000000"/>
        </w:rPr>
        <w:t>(</w:t>
      </w:r>
      <w:r w:rsidR="00A3234F">
        <w:rPr>
          <w:bCs/>
          <w:color w:val="000000"/>
        </w:rPr>
        <w:t>RO, SO, projekt</w:t>
      </w:r>
      <w:r w:rsidR="00E35F22">
        <w:rPr>
          <w:bCs/>
          <w:color w:val="000000"/>
        </w:rPr>
        <w:t>)</w:t>
      </w:r>
      <w:r w:rsidRPr="00C934D3">
        <w:rPr>
          <w:bCs/>
          <w:color w:val="000000"/>
        </w:rPr>
        <w:t>,</w:t>
      </w:r>
    </w:p>
    <w:p w14:paraId="39825AED" w14:textId="01CF2E2D" w:rsidR="00564089" w:rsidRPr="00C934D3" w:rsidRDefault="00564089" w:rsidP="00C95807">
      <w:pPr>
        <w:numPr>
          <w:ilvl w:val="0"/>
          <w:numId w:val="32"/>
        </w:numPr>
        <w:tabs>
          <w:tab w:val="clear" w:pos="720"/>
        </w:tabs>
        <w:spacing w:before="120" w:after="120"/>
        <w:ind w:left="1276" w:hanging="425"/>
        <w:jc w:val="both"/>
        <w:rPr>
          <w:bCs/>
          <w:color w:val="000000"/>
        </w:rPr>
      </w:pPr>
      <w:r w:rsidRPr="00C934D3">
        <w:rPr>
          <w:bCs/>
          <w:color w:val="000000"/>
        </w:rPr>
        <w:t>počet uskutočnených seminárov,</w:t>
      </w:r>
      <w:r w:rsidR="00314454">
        <w:rPr>
          <w:bCs/>
          <w:color w:val="000000"/>
        </w:rPr>
        <w:t xml:space="preserve"> </w:t>
      </w:r>
      <w:r w:rsidRPr="00C934D3">
        <w:rPr>
          <w:bCs/>
          <w:color w:val="000000"/>
        </w:rPr>
        <w:t>konferencií a</w:t>
      </w:r>
      <w:r w:rsidR="00314454">
        <w:rPr>
          <w:bCs/>
          <w:color w:val="000000"/>
        </w:rPr>
        <w:t xml:space="preserve"> </w:t>
      </w:r>
      <w:r w:rsidRPr="00C934D3">
        <w:rPr>
          <w:bCs/>
          <w:color w:val="000000"/>
        </w:rPr>
        <w:t>iných podujatí</w:t>
      </w:r>
      <w:r>
        <w:rPr>
          <w:bCs/>
          <w:color w:val="000000"/>
        </w:rPr>
        <w:t xml:space="preserve"> a</w:t>
      </w:r>
      <w:r w:rsidR="00314454">
        <w:rPr>
          <w:bCs/>
          <w:color w:val="000000"/>
        </w:rPr>
        <w:t xml:space="preserve"> </w:t>
      </w:r>
      <w:r>
        <w:rPr>
          <w:bCs/>
          <w:color w:val="000000"/>
        </w:rPr>
        <w:t>počet účastníkov na uvedených podujatiach</w:t>
      </w:r>
    </w:p>
    <w:p w14:paraId="58E700BA" w14:textId="044AD65C" w:rsidR="00564089" w:rsidRPr="00C934D3" w:rsidRDefault="00564089" w:rsidP="00C95807">
      <w:pPr>
        <w:numPr>
          <w:ilvl w:val="0"/>
          <w:numId w:val="32"/>
        </w:numPr>
        <w:tabs>
          <w:tab w:val="clear" w:pos="720"/>
        </w:tabs>
        <w:spacing w:before="120" w:after="120"/>
        <w:ind w:left="1276" w:hanging="425"/>
        <w:jc w:val="both"/>
        <w:rPr>
          <w:bCs/>
          <w:color w:val="000000"/>
        </w:rPr>
      </w:pPr>
      <w:r w:rsidRPr="00C934D3">
        <w:rPr>
          <w:bCs/>
          <w:color w:val="000000"/>
        </w:rPr>
        <w:t xml:space="preserve">počet vydaných </w:t>
      </w:r>
      <w:r>
        <w:rPr>
          <w:bCs/>
          <w:color w:val="000000"/>
        </w:rPr>
        <w:t xml:space="preserve">a distribuovaných </w:t>
      </w:r>
      <w:r w:rsidRPr="00C934D3">
        <w:rPr>
          <w:bCs/>
          <w:color w:val="000000"/>
        </w:rPr>
        <w:t>odborných a</w:t>
      </w:r>
      <w:r w:rsidR="00314454">
        <w:rPr>
          <w:bCs/>
          <w:color w:val="000000"/>
        </w:rPr>
        <w:t xml:space="preserve"> </w:t>
      </w:r>
      <w:r w:rsidRPr="00C934D3">
        <w:rPr>
          <w:bCs/>
          <w:color w:val="000000"/>
        </w:rPr>
        <w:t>informačných</w:t>
      </w:r>
      <w:r w:rsidR="00314454">
        <w:rPr>
          <w:bCs/>
          <w:color w:val="000000"/>
        </w:rPr>
        <w:t xml:space="preserve"> </w:t>
      </w:r>
      <w:r w:rsidRPr="00C934D3">
        <w:rPr>
          <w:bCs/>
          <w:color w:val="000000"/>
        </w:rPr>
        <w:t>publikácií.</w:t>
      </w:r>
    </w:p>
    <w:p w14:paraId="3113B61D" w14:textId="460E3C64" w:rsidR="00564089" w:rsidRDefault="00564089" w:rsidP="00C95807">
      <w:pPr>
        <w:pStyle w:val="Odsekzoznamu"/>
        <w:numPr>
          <w:ilvl w:val="0"/>
          <w:numId w:val="21"/>
        </w:numPr>
        <w:spacing w:before="120" w:after="120"/>
        <w:ind w:left="426" w:hanging="426"/>
        <w:contextualSpacing w:val="0"/>
        <w:jc w:val="both"/>
      </w:pPr>
      <w:r w:rsidRPr="00564089">
        <w:lastRenderedPageBreak/>
        <w:t>Jednotlivé kritériá budú definované ukazovateľmi a</w:t>
      </w:r>
      <w:r w:rsidR="00314454">
        <w:t xml:space="preserve"> </w:t>
      </w:r>
      <w:r w:rsidRPr="00564089">
        <w:t>zistené metódami uvedenými v tabuľke:</w:t>
      </w:r>
    </w:p>
    <w:tbl>
      <w:tblPr>
        <w:tblpPr w:leftFromText="141" w:rightFromText="141" w:vertAnchor="text" w:horzAnchor="margin" w:tblpXSpec="center" w:tblpY="90"/>
        <w:tblW w:w="89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68"/>
        <w:gridCol w:w="3035"/>
        <w:gridCol w:w="2725"/>
      </w:tblGrid>
      <w:tr w:rsidR="00603F09" w:rsidRPr="00603F09" w14:paraId="394C10E9" w14:textId="77777777" w:rsidTr="00603F09">
        <w:trPr>
          <w:trHeight w:val="348"/>
        </w:trPr>
        <w:tc>
          <w:tcPr>
            <w:tcW w:w="3168" w:type="dxa"/>
            <w:tcBorders>
              <w:bottom w:val="single" w:sz="4" w:space="0" w:color="FFFFFF"/>
              <w:right w:val="single" w:sz="4" w:space="0" w:color="FFFFFF" w:themeColor="background1"/>
            </w:tcBorders>
            <w:shd w:val="clear" w:color="auto" w:fill="000000"/>
            <w:vAlign w:val="center"/>
          </w:tcPr>
          <w:p w14:paraId="5B833B39" w14:textId="77777777" w:rsidR="00603F09" w:rsidRPr="00603F09" w:rsidRDefault="00603F09" w:rsidP="00603F09">
            <w:pPr>
              <w:rPr>
                <w:b/>
                <w:color w:val="FFFFFF" w:themeColor="background1"/>
              </w:rPr>
            </w:pPr>
            <w:r w:rsidRPr="00603F09">
              <w:rPr>
                <w:b/>
                <w:color w:val="FFFFFF" w:themeColor="background1"/>
              </w:rPr>
              <w:t>Hodnotiace kritérium</w:t>
            </w:r>
          </w:p>
        </w:tc>
        <w:tc>
          <w:tcPr>
            <w:tcW w:w="3035" w:type="dxa"/>
            <w:tcBorders>
              <w:left w:val="single" w:sz="4" w:space="0" w:color="FFFFFF" w:themeColor="background1"/>
              <w:bottom w:val="single" w:sz="4" w:space="0" w:color="FFFFFF"/>
              <w:right w:val="single" w:sz="4" w:space="0" w:color="FFFFFF" w:themeColor="background1"/>
            </w:tcBorders>
            <w:shd w:val="clear" w:color="auto" w:fill="000000"/>
            <w:vAlign w:val="center"/>
          </w:tcPr>
          <w:p w14:paraId="5483D844" w14:textId="77777777" w:rsidR="00603F09" w:rsidRPr="00603F09" w:rsidRDefault="00603F09" w:rsidP="00603F09">
            <w:pPr>
              <w:rPr>
                <w:b/>
                <w:color w:val="FFFFFF" w:themeColor="background1"/>
              </w:rPr>
            </w:pPr>
            <w:r w:rsidRPr="00603F09">
              <w:rPr>
                <w:b/>
                <w:color w:val="FFFFFF" w:themeColor="background1"/>
              </w:rPr>
              <w:t xml:space="preserve">Ukazovateľ </w:t>
            </w:r>
          </w:p>
        </w:tc>
        <w:tc>
          <w:tcPr>
            <w:tcW w:w="2725" w:type="dxa"/>
            <w:tcBorders>
              <w:left w:val="single" w:sz="4" w:space="0" w:color="FFFFFF" w:themeColor="background1"/>
              <w:bottom w:val="single" w:sz="4" w:space="0" w:color="FFFFFF"/>
            </w:tcBorders>
            <w:shd w:val="clear" w:color="auto" w:fill="000000"/>
            <w:vAlign w:val="center"/>
          </w:tcPr>
          <w:p w14:paraId="610C8B62" w14:textId="77777777" w:rsidR="00603F09" w:rsidRPr="00603F09" w:rsidRDefault="00603F09" w:rsidP="00603F09">
            <w:pPr>
              <w:rPr>
                <w:b/>
                <w:color w:val="FFFFFF" w:themeColor="background1"/>
              </w:rPr>
            </w:pPr>
            <w:r w:rsidRPr="00603F09">
              <w:rPr>
                <w:b/>
                <w:color w:val="FFFFFF" w:themeColor="background1"/>
              </w:rPr>
              <w:t>Metóda zistenia</w:t>
            </w:r>
          </w:p>
        </w:tc>
      </w:tr>
      <w:tr w:rsidR="00603F09" w:rsidRPr="00603F09" w14:paraId="2326583E" w14:textId="77777777" w:rsidTr="00603F09">
        <w:trPr>
          <w:trHeight w:val="338"/>
        </w:trPr>
        <w:tc>
          <w:tcPr>
            <w:tcW w:w="8928" w:type="dxa"/>
            <w:gridSpan w:val="3"/>
            <w:tcBorders>
              <w:top w:val="single" w:sz="4" w:space="0" w:color="FFFFFF"/>
            </w:tcBorders>
            <w:shd w:val="clear" w:color="auto" w:fill="8C8C8C"/>
            <w:vAlign w:val="center"/>
          </w:tcPr>
          <w:p w14:paraId="36317A1C" w14:textId="77777777" w:rsidR="00603F09" w:rsidRPr="00603F09" w:rsidRDefault="00603F09" w:rsidP="00603F09">
            <w:pPr>
              <w:rPr>
                <w:b/>
                <w:color w:val="FFFFFF" w:themeColor="background1"/>
              </w:rPr>
            </w:pPr>
            <w:r w:rsidRPr="00603F09">
              <w:rPr>
                <w:b/>
                <w:color w:val="FFFFFF" w:themeColor="background1"/>
              </w:rPr>
              <w:t>Úroveň programu a opatrení (ukazovatele výsledku)</w:t>
            </w:r>
          </w:p>
        </w:tc>
      </w:tr>
      <w:tr w:rsidR="00603F09" w:rsidRPr="00603F09" w14:paraId="4DF97CBC" w14:textId="77777777" w:rsidTr="00603F09">
        <w:trPr>
          <w:trHeight w:val="350"/>
        </w:trPr>
        <w:tc>
          <w:tcPr>
            <w:tcW w:w="3168" w:type="dxa"/>
            <w:vAlign w:val="center"/>
          </w:tcPr>
          <w:p w14:paraId="111414B9" w14:textId="77777777" w:rsidR="00603F09" w:rsidRPr="00603F09" w:rsidRDefault="00603F09" w:rsidP="00603F09">
            <w:pPr>
              <w:rPr>
                <w:bCs/>
              </w:rPr>
            </w:pPr>
            <w:r w:rsidRPr="00603F09">
              <w:rPr>
                <w:bCs/>
              </w:rPr>
              <w:t>úroveň celkovej informovanosti verejnosti o úlohe EÚ a opatreniach OP</w:t>
            </w:r>
          </w:p>
        </w:tc>
        <w:tc>
          <w:tcPr>
            <w:tcW w:w="3035" w:type="dxa"/>
            <w:vAlign w:val="center"/>
          </w:tcPr>
          <w:p w14:paraId="4A6BBAA6" w14:textId="2B2FAAA6" w:rsidR="00603F09" w:rsidRPr="00603F09" w:rsidRDefault="00314454" w:rsidP="00603F09">
            <w:pPr>
              <w:rPr>
                <w:bCs/>
              </w:rPr>
            </w:pPr>
            <w:r>
              <w:rPr>
                <w:bCs/>
              </w:rPr>
              <w:t>m</w:t>
            </w:r>
            <w:r w:rsidR="00603F09" w:rsidRPr="00603F09">
              <w:rPr>
                <w:bCs/>
              </w:rPr>
              <w:t>iera informovanosti o možnostiach podpory z OP, príp.  Miera informovanosti o možnostiach podpory z EŠIF</w:t>
            </w:r>
            <w:r w:rsidR="00603F09" w:rsidRPr="00603F09" w:rsidDel="00D51A9F">
              <w:rPr>
                <w:bCs/>
              </w:rPr>
              <w:t xml:space="preserve"> </w:t>
            </w:r>
            <w:r w:rsidR="00603F09" w:rsidRPr="00603F09">
              <w:rPr>
                <w:bCs/>
              </w:rPr>
              <w:t xml:space="preserve">(pre OP TP) </w:t>
            </w:r>
          </w:p>
        </w:tc>
        <w:tc>
          <w:tcPr>
            <w:tcW w:w="2725" w:type="dxa"/>
            <w:vAlign w:val="center"/>
          </w:tcPr>
          <w:p w14:paraId="21E44A0C" w14:textId="77777777" w:rsidR="00603F09" w:rsidRPr="00603F09" w:rsidRDefault="00603F09" w:rsidP="00603F09">
            <w:pPr>
              <w:rPr>
                <w:bCs/>
              </w:rPr>
            </w:pPr>
            <w:r w:rsidRPr="00603F09">
              <w:rPr>
                <w:bCs/>
              </w:rPr>
              <w:t>prieskum verejnej mienky</w:t>
            </w:r>
          </w:p>
        </w:tc>
      </w:tr>
      <w:tr w:rsidR="00603F09" w:rsidRPr="00603F09" w14:paraId="20984DF5" w14:textId="77777777" w:rsidTr="00603F09">
        <w:trPr>
          <w:trHeight w:val="193"/>
        </w:trPr>
        <w:tc>
          <w:tcPr>
            <w:tcW w:w="3168" w:type="dxa"/>
            <w:vAlign w:val="center"/>
          </w:tcPr>
          <w:p w14:paraId="773311FC" w14:textId="77777777" w:rsidR="00603F09" w:rsidRPr="00603F09" w:rsidRDefault="00603F09" w:rsidP="00603F09">
            <w:pPr>
              <w:rPr>
                <w:bCs/>
              </w:rPr>
            </w:pPr>
            <w:r w:rsidRPr="00603F09">
              <w:rPr>
                <w:bCs/>
              </w:rPr>
              <w:t>záujem o podporu z OP</w:t>
            </w:r>
          </w:p>
        </w:tc>
        <w:tc>
          <w:tcPr>
            <w:tcW w:w="3035" w:type="dxa"/>
            <w:vAlign w:val="center"/>
          </w:tcPr>
          <w:p w14:paraId="7D45DAA4" w14:textId="77777777" w:rsidR="00603F09" w:rsidRPr="00603F09" w:rsidRDefault="00603F09" w:rsidP="00603F09">
            <w:pPr>
              <w:rPr>
                <w:bCs/>
              </w:rPr>
            </w:pPr>
            <w:r w:rsidRPr="00603F09">
              <w:rPr>
                <w:bCs/>
              </w:rPr>
              <w:t>počet žiadateľov o NFP</w:t>
            </w:r>
          </w:p>
        </w:tc>
        <w:tc>
          <w:tcPr>
            <w:tcW w:w="2725" w:type="dxa"/>
            <w:vAlign w:val="center"/>
          </w:tcPr>
          <w:p w14:paraId="7BE1CD92" w14:textId="77777777" w:rsidR="00603F09" w:rsidRPr="00603F09" w:rsidRDefault="00603F09" w:rsidP="00603F09">
            <w:pPr>
              <w:rPr>
                <w:bCs/>
              </w:rPr>
            </w:pPr>
            <w:r w:rsidRPr="00603F09">
              <w:rPr>
                <w:bCs/>
              </w:rPr>
              <w:t>monitorovacie správy</w:t>
            </w:r>
          </w:p>
        </w:tc>
      </w:tr>
      <w:tr w:rsidR="00603F09" w:rsidRPr="00603F09" w14:paraId="25EF031E" w14:textId="77777777" w:rsidTr="00603F09">
        <w:trPr>
          <w:trHeight w:val="549"/>
        </w:trPr>
        <w:tc>
          <w:tcPr>
            <w:tcW w:w="3168" w:type="dxa"/>
            <w:tcBorders>
              <w:bottom w:val="single" w:sz="4" w:space="0" w:color="auto"/>
            </w:tcBorders>
            <w:vAlign w:val="center"/>
          </w:tcPr>
          <w:p w14:paraId="0DF3637C" w14:textId="77777777" w:rsidR="00603F09" w:rsidRPr="00603F09" w:rsidRDefault="00603F09" w:rsidP="00603F09">
            <w:pPr>
              <w:rPr>
                <w:bCs/>
              </w:rPr>
            </w:pPr>
            <w:r w:rsidRPr="00603F09">
              <w:rPr>
                <w:bCs/>
              </w:rPr>
              <w:t>úspešnosť programu</w:t>
            </w:r>
          </w:p>
        </w:tc>
        <w:tc>
          <w:tcPr>
            <w:tcW w:w="3035" w:type="dxa"/>
            <w:tcBorders>
              <w:bottom w:val="single" w:sz="4" w:space="0" w:color="auto"/>
            </w:tcBorders>
            <w:vAlign w:val="center"/>
          </w:tcPr>
          <w:p w14:paraId="4D3C375B" w14:textId="77777777" w:rsidR="00603F09" w:rsidRPr="00603F09" w:rsidRDefault="00603F09" w:rsidP="00603F09">
            <w:pPr>
              <w:rPr>
                <w:bCs/>
              </w:rPr>
            </w:pPr>
            <w:r w:rsidRPr="00603F09">
              <w:rPr>
                <w:bCs/>
              </w:rPr>
              <w:t>počet úspešne realizovaných projektov</w:t>
            </w:r>
          </w:p>
        </w:tc>
        <w:tc>
          <w:tcPr>
            <w:tcW w:w="2725" w:type="dxa"/>
            <w:tcBorders>
              <w:bottom w:val="single" w:sz="4" w:space="0" w:color="auto"/>
            </w:tcBorders>
            <w:vAlign w:val="center"/>
          </w:tcPr>
          <w:p w14:paraId="1A247773" w14:textId="77777777" w:rsidR="00603F09" w:rsidRPr="00603F09" w:rsidRDefault="00603F09" w:rsidP="00603F09">
            <w:pPr>
              <w:rPr>
                <w:bCs/>
              </w:rPr>
            </w:pPr>
            <w:r w:rsidRPr="00603F09">
              <w:rPr>
                <w:bCs/>
              </w:rPr>
              <w:t>monitorovacie správy</w:t>
            </w:r>
          </w:p>
          <w:p w14:paraId="04074502" w14:textId="77777777" w:rsidR="00603F09" w:rsidRPr="00603F09" w:rsidRDefault="00603F09" w:rsidP="00603F09">
            <w:pPr>
              <w:rPr>
                <w:bCs/>
              </w:rPr>
            </w:pPr>
          </w:p>
        </w:tc>
      </w:tr>
      <w:tr w:rsidR="00603F09" w:rsidRPr="00603F09" w14:paraId="7C52AF41" w14:textId="77777777" w:rsidTr="00603F09">
        <w:trPr>
          <w:trHeight w:val="132"/>
        </w:trPr>
        <w:tc>
          <w:tcPr>
            <w:tcW w:w="8928" w:type="dxa"/>
            <w:gridSpan w:val="3"/>
            <w:tcBorders>
              <w:bottom w:val="single" w:sz="4" w:space="0" w:color="auto"/>
            </w:tcBorders>
            <w:shd w:val="clear" w:color="auto" w:fill="8C8C8C"/>
            <w:vAlign w:val="center"/>
          </w:tcPr>
          <w:p w14:paraId="5D5761E0" w14:textId="77777777" w:rsidR="00603F09" w:rsidRPr="00603F09" w:rsidRDefault="00603F09" w:rsidP="00603F09">
            <w:r w:rsidRPr="00603F09">
              <w:t>Úroveň aktivít</w:t>
            </w:r>
          </w:p>
        </w:tc>
      </w:tr>
      <w:tr w:rsidR="00603F09" w:rsidRPr="00603F09" w14:paraId="0ACF1CC9" w14:textId="77777777" w:rsidTr="00603F09">
        <w:trPr>
          <w:trHeight w:val="298"/>
        </w:trPr>
        <w:tc>
          <w:tcPr>
            <w:tcW w:w="8928" w:type="dxa"/>
            <w:gridSpan w:val="3"/>
            <w:shd w:val="clear" w:color="auto" w:fill="F3F3F3"/>
            <w:vAlign w:val="center"/>
          </w:tcPr>
          <w:p w14:paraId="0B1A4B80" w14:textId="77777777" w:rsidR="00603F09" w:rsidRPr="00603F09" w:rsidRDefault="00603F09" w:rsidP="00603F09">
            <w:r w:rsidRPr="00603F09">
              <w:t>Ukazovatele výsledku</w:t>
            </w:r>
          </w:p>
        </w:tc>
      </w:tr>
      <w:tr w:rsidR="00603F09" w:rsidRPr="00603F09" w14:paraId="62C3B422" w14:textId="77777777" w:rsidTr="00603F09">
        <w:trPr>
          <w:trHeight w:val="250"/>
        </w:trPr>
        <w:tc>
          <w:tcPr>
            <w:tcW w:w="3168" w:type="dxa"/>
            <w:vAlign w:val="center"/>
          </w:tcPr>
          <w:p w14:paraId="468FEFBC" w14:textId="5EB2789F" w:rsidR="00603F09" w:rsidRPr="00603F09" w:rsidRDefault="00603F09" w:rsidP="00603F09">
            <w:pPr>
              <w:rPr>
                <w:bCs/>
              </w:rPr>
            </w:pPr>
            <w:r w:rsidRPr="00603F09">
              <w:rPr>
                <w:bCs/>
              </w:rPr>
              <w:t>počet distribuovaných odborných a</w:t>
            </w:r>
            <w:r w:rsidR="00F23215">
              <w:rPr>
                <w:bCs/>
              </w:rPr>
              <w:t xml:space="preserve"> </w:t>
            </w:r>
            <w:r w:rsidRPr="00603F09">
              <w:rPr>
                <w:bCs/>
              </w:rPr>
              <w:t>informačných publikácií</w:t>
            </w:r>
          </w:p>
        </w:tc>
        <w:tc>
          <w:tcPr>
            <w:tcW w:w="3035" w:type="dxa"/>
            <w:vAlign w:val="center"/>
          </w:tcPr>
          <w:p w14:paraId="1AECD94A" w14:textId="77777777" w:rsidR="00603F09" w:rsidRPr="00603F09" w:rsidRDefault="00603F09" w:rsidP="00603F09">
            <w:pPr>
              <w:rPr>
                <w:bCs/>
              </w:rPr>
            </w:pPr>
            <w:r w:rsidRPr="00603F09">
              <w:rPr>
                <w:bCs/>
              </w:rPr>
              <w:t>počet</w:t>
            </w:r>
          </w:p>
        </w:tc>
        <w:tc>
          <w:tcPr>
            <w:tcW w:w="2725" w:type="dxa"/>
            <w:vAlign w:val="center"/>
          </w:tcPr>
          <w:p w14:paraId="0B58A522" w14:textId="77777777" w:rsidR="00603F09" w:rsidRPr="00603F09" w:rsidRDefault="00603F09" w:rsidP="00603F09">
            <w:pPr>
              <w:rPr>
                <w:bCs/>
              </w:rPr>
            </w:pPr>
            <w:proofErr w:type="spellStart"/>
            <w:r w:rsidRPr="00603F09">
              <w:rPr>
                <w:bCs/>
              </w:rPr>
              <w:t>sumarizácia</w:t>
            </w:r>
            <w:proofErr w:type="spellEnd"/>
            <w:r w:rsidRPr="00603F09">
              <w:rPr>
                <w:bCs/>
              </w:rPr>
              <w:t xml:space="preserve"> vlastných údajov</w:t>
            </w:r>
          </w:p>
        </w:tc>
      </w:tr>
      <w:tr w:rsidR="00603F09" w:rsidRPr="00603F09" w14:paraId="66B92CF8" w14:textId="77777777" w:rsidTr="00603F09">
        <w:trPr>
          <w:trHeight w:val="328"/>
        </w:trPr>
        <w:tc>
          <w:tcPr>
            <w:tcW w:w="3168" w:type="dxa"/>
            <w:tcBorders>
              <w:bottom w:val="single" w:sz="4" w:space="0" w:color="auto"/>
            </w:tcBorders>
            <w:vAlign w:val="center"/>
          </w:tcPr>
          <w:p w14:paraId="08E271B1" w14:textId="77777777" w:rsidR="00603F09" w:rsidRPr="00603F09" w:rsidRDefault="00603F09" w:rsidP="00603F09">
            <w:pPr>
              <w:rPr>
                <w:bCs/>
              </w:rPr>
            </w:pPr>
            <w:r w:rsidRPr="00603F09">
              <w:rPr>
                <w:bCs/>
              </w:rPr>
              <w:t>návštevnosť webového sídla</w:t>
            </w:r>
          </w:p>
        </w:tc>
        <w:tc>
          <w:tcPr>
            <w:tcW w:w="3035" w:type="dxa"/>
            <w:tcBorders>
              <w:bottom w:val="single" w:sz="4" w:space="0" w:color="auto"/>
            </w:tcBorders>
            <w:vAlign w:val="center"/>
          </w:tcPr>
          <w:p w14:paraId="72305802" w14:textId="77777777" w:rsidR="00603F09" w:rsidRPr="00603F09" w:rsidRDefault="00603F09" w:rsidP="00603F09">
            <w:pPr>
              <w:rPr>
                <w:bCs/>
              </w:rPr>
            </w:pPr>
            <w:r w:rsidRPr="00603F09">
              <w:rPr>
                <w:bCs/>
              </w:rPr>
              <w:t>počet prístupov/ počet návštev</w:t>
            </w:r>
          </w:p>
        </w:tc>
        <w:tc>
          <w:tcPr>
            <w:tcW w:w="2725" w:type="dxa"/>
            <w:tcBorders>
              <w:bottom w:val="single" w:sz="4" w:space="0" w:color="auto"/>
            </w:tcBorders>
            <w:vAlign w:val="center"/>
          </w:tcPr>
          <w:p w14:paraId="43AD3438" w14:textId="77777777" w:rsidR="00603F09" w:rsidRPr="00603F09" w:rsidRDefault="00603F09" w:rsidP="00603F09">
            <w:pPr>
              <w:rPr>
                <w:bCs/>
              </w:rPr>
            </w:pPr>
            <w:proofErr w:type="spellStart"/>
            <w:r w:rsidRPr="00603F09">
              <w:rPr>
                <w:bCs/>
              </w:rPr>
              <w:t>sumarizácia</w:t>
            </w:r>
            <w:proofErr w:type="spellEnd"/>
            <w:r w:rsidRPr="00603F09">
              <w:rPr>
                <w:bCs/>
              </w:rPr>
              <w:t xml:space="preserve"> vlastných údajov</w:t>
            </w:r>
          </w:p>
        </w:tc>
      </w:tr>
      <w:tr w:rsidR="00603F09" w:rsidRPr="00603F09" w14:paraId="7A134533" w14:textId="77777777" w:rsidTr="00603F09">
        <w:trPr>
          <w:trHeight w:val="328"/>
        </w:trPr>
        <w:tc>
          <w:tcPr>
            <w:tcW w:w="3168" w:type="dxa"/>
            <w:tcBorders>
              <w:bottom w:val="single" w:sz="4" w:space="0" w:color="auto"/>
            </w:tcBorders>
            <w:vAlign w:val="center"/>
          </w:tcPr>
          <w:p w14:paraId="68FF241F" w14:textId="77777777" w:rsidR="00603F09" w:rsidRPr="00603F09" w:rsidRDefault="00603F09" w:rsidP="00603F09">
            <w:pPr>
              <w:rPr>
                <w:bCs/>
              </w:rPr>
            </w:pPr>
            <w:r w:rsidRPr="00603F09">
              <w:rPr>
                <w:bCs/>
              </w:rPr>
              <w:t xml:space="preserve"> počet účastníkov seminárov, konferencií a iných podujatí</w:t>
            </w:r>
          </w:p>
        </w:tc>
        <w:tc>
          <w:tcPr>
            <w:tcW w:w="3035" w:type="dxa"/>
            <w:tcBorders>
              <w:bottom w:val="single" w:sz="4" w:space="0" w:color="auto"/>
            </w:tcBorders>
            <w:vAlign w:val="center"/>
          </w:tcPr>
          <w:p w14:paraId="1F19A709" w14:textId="77777777" w:rsidR="00603F09" w:rsidRPr="00603F09" w:rsidRDefault="00603F09" w:rsidP="00603F09">
            <w:pPr>
              <w:rPr>
                <w:bCs/>
              </w:rPr>
            </w:pPr>
            <w:r w:rsidRPr="00603F09">
              <w:rPr>
                <w:bCs/>
              </w:rPr>
              <w:t>počet</w:t>
            </w:r>
          </w:p>
        </w:tc>
        <w:tc>
          <w:tcPr>
            <w:tcW w:w="2725" w:type="dxa"/>
            <w:tcBorders>
              <w:bottom w:val="single" w:sz="4" w:space="0" w:color="auto"/>
            </w:tcBorders>
            <w:vAlign w:val="center"/>
          </w:tcPr>
          <w:p w14:paraId="3629BBB8" w14:textId="77777777" w:rsidR="00603F09" w:rsidRPr="00603F09" w:rsidRDefault="00603F09" w:rsidP="00603F09">
            <w:pPr>
              <w:rPr>
                <w:bCs/>
              </w:rPr>
            </w:pPr>
            <w:r w:rsidRPr="00603F09">
              <w:rPr>
                <w:bCs/>
              </w:rPr>
              <w:t xml:space="preserve">prezenčné listiny/ </w:t>
            </w:r>
            <w:proofErr w:type="spellStart"/>
            <w:r w:rsidRPr="00603F09">
              <w:rPr>
                <w:bCs/>
              </w:rPr>
              <w:t>sumarizácia</w:t>
            </w:r>
            <w:proofErr w:type="spellEnd"/>
            <w:r w:rsidRPr="00603F09">
              <w:rPr>
                <w:bCs/>
              </w:rPr>
              <w:t xml:space="preserve"> vlastných údajov</w:t>
            </w:r>
          </w:p>
        </w:tc>
      </w:tr>
      <w:tr w:rsidR="00603F09" w:rsidRPr="00603F09" w14:paraId="11C4A515" w14:textId="77777777" w:rsidTr="00603F09">
        <w:trPr>
          <w:trHeight w:val="285"/>
        </w:trPr>
        <w:tc>
          <w:tcPr>
            <w:tcW w:w="8928" w:type="dxa"/>
            <w:gridSpan w:val="3"/>
            <w:shd w:val="clear" w:color="auto" w:fill="F3F3F3"/>
            <w:vAlign w:val="center"/>
          </w:tcPr>
          <w:p w14:paraId="5052C10B" w14:textId="77777777" w:rsidR="00603F09" w:rsidRPr="00603F09" w:rsidRDefault="00603F09" w:rsidP="00603F09">
            <w:r w:rsidRPr="00603F09">
              <w:t>Ukazovatele výstupu</w:t>
            </w:r>
          </w:p>
        </w:tc>
      </w:tr>
      <w:tr w:rsidR="00603F09" w:rsidRPr="00603F09" w14:paraId="2BCEFE00" w14:textId="77777777" w:rsidTr="00603F09">
        <w:trPr>
          <w:trHeight w:val="549"/>
        </w:trPr>
        <w:tc>
          <w:tcPr>
            <w:tcW w:w="3168" w:type="dxa"/>
            <w:vAlign w:val="center"/>
          </w:tcPr>
          <w:p w14:paraId="3FFDC130" w14:textId="77777777" w:rsidR="00603F09" w:rsidRPr="00603F09" w:rsidRDefault="00603F09" w:rsidP="00603F09">
            <w:pPr>
              <w:rPr>
                <w:bCs/>
              </w:rPr>
            </w:pPr>
            <w:r w:rsidRPr="00603F09">
              <w:rPr>
                <w:bCs/>
              </w:rPr>
              <w:t>počet uskutočnených seminárov, konferencií a iných podujatí</w:t>
            </w:r>
          </w:p>
        </w:tc>
        <w:tc>
          <w:tcPr>
            <w:tcW w:w="3035" w:type="dxa"/>
            <w:vAlign w:val="center"/>
          </w:tcPr>
          <w:p w14:paraId="04E92EE0" w14:textId="77777777" w:rsidR="00603F09" w:rsidRPr="00603F09" w:rsidRDefault="00603F09" w:rsidP="00603F09">
            <w:pPr>
              <w:rPr>
                <w:bCs/>
              </w:rPr>
            </w:pPr>
            <w:r w:rsidRPr="00603F09">
              <w:rPr>
                <w:bCs/>
              </w:rPr>
              <w:t>počet</w:t>
            </w:r>
          </w:p>
        </w:tc>
        <w:tc>
          <w:tcPr>
            <w:tcW w:w="2725" w:type="dxa"/>
            <w:vAlign w:val="center"/>
          </w:tcPr>
          <w:p w14:paraId="00B7F217" w14:textId="77777777" w:rsidR="00603F09" w:rsidRPr="00603F09" w:rsidRDefault="00603F09" w:rsidP="00603F09">
            <w:pPr>
              <w:rPr>
                <w:bCs/>
              </w:rPr>
            </w:pPr>
            <w:proofErr w:type="spellStart"/>
            <w:r w:rsidRPr="00603F09">
              <w:rPr>
                <w:bCs/>
              </w:rPr>
              <w:t>sumarizácia</w:t>
            </w:r>
            <w:proofErr w:type="spellEnd"/>
            <w:r w:rsidRPr="00603F09">
              <w:rPr>
                <w:bCs/>
              </w:rPr>
              <w:t xml:space="preserve"> vlastných údajov</w:t>
            </w:r>
          </w:p>
        </w:tc>
      </w:tr>
      <w:tr w:rsidR="00603F09" w:rsidRPr="00603F09" w14:paraId="75C7219B" w14:textId="77777777" w:rsidTr="00603F09">
        <w:trPr>
          <w:trHeight w:val="477"/>
        </w:trPr>
        <w:tc>
          <w:tcPr>
            <w:tcW w:w="3168" w:type="dxa"/>
            <w:vAlign w:val="center"/>
          </w:tcPr>
          <w:p w14:paraId="3EF30ED5" w14:textId="77777777" w:rsidR="00603F09" w:rsidRPr="00603F09" w:rsidRDefault="00603F09" w:rsidP="00603F09">
            <w:pPr>
              <w:rPr>
                <w:bCs/>
              </w:rPr>
            </w:pPr>
            <w:r w:rsidRPr="00603F09">
              <w:rPr>
                <w:bCs/>
              </w:rPr>
              <w:t>počet vydaných odborných a informačných publikácií</w:t>
            </w:r>
          </w:p>
        </w:tc>
        <w:tc>
          <w:tcPr>
            <w:tcW w:w="3035" w:type="dxa"/>
            <w:vAlign w:val="center"/>
          </w:tcPr>
          <w:p w14:paraId="0D8CD5A4" w14:textId="77777777" w:rsidR="00603F09" w:rsidRPr="00603F09" w:rsidRDefault="00603F09" w:rsidP="00603F09">
            <w:pPr>
              <w:rPr>
                <w:bCs/>
              </w:rPr>
            </w:pPr>
            <w:r w:rsidRPr="00603F09">
              <w:rPr>
                <w:bCs/>
              </w:rPr>
              <w:t>počet</w:t>
            </w:r>
          </w:p>
          <w:p w14:paraId="6EEC9EAF" w14:textId="77777777" w:rsidR="00603F09" w:rsidRPr="00603F09" w:rsidRDefault="00603F09" w:rsidP="00603F09">
            <w:pPr>
              <w:rPr>
                <w:bCs/>
              </w:rPr>
            </w:pPr>
          </w:p>
        </w:tc>
        <w:tc>
          <w:tcPr>
            <w:tcW w:w="2725" w:type="dxa"/>
            <w:vAlign w:val="center"/>
          </w:tcPr>
          <w:p w14:paraId="0690A2ED" w14:textId="77777777" w:rsidR="00603F09" w:rsidRPr="00603F09" w:rsidRDefault="00603F09" w:rsidP="00603F09">
            <w:pPr>
              <w:rPr>
                <w:bCs/>
              </w:rPr>
            </w:pPr>
            <w:proofErr w:type="spellStart"/>
            <w:r w:rsidRPr="00603F09">
              <w:rPr>
                <w:bCs/>
              </w:rPr>
              <w:t>sumarizácia</w:t>
            </w:r>
            <w:proofErr w:type="spellEnd"/>
            <w:r w:rsidRPr="00603F09">
              <w:rPr>
                <w:bCs/>
              </w:rPr>
              <w:t xml:space="preserve"> vlastných údajov</w:t>
            </w:r>
          </w:p>
        </w:tc>
      </w:tr>
      <w:tr w:rsidR="00603F09" w:rsidRPr="00603F09" w14:paraId="2E42B59F" w14:textId="77777777" w:rsidTr="00603F09">
        <w:trPr>
          <w:trHeight w:val="564"/>
        </w:trPr>
        <w:tc>
          <w:tcPr>
            <w:tcW w:w="3168" w:type="dxa"/>
            <w:vAlign w:val="center"/>
          </w:tcPr>
          <w:p w14:paraId="73612A65" w14:textId="77777777" w:rsidR="00603F09" w:rsidRPr="00603F09" w:rsidRDefault="00603F09" w:rsidP="00603F09">
            <w:pPr>
              <w:rPr>
                <w:bCs/>
              </w:rPr>
            </w:pPr>
            <w:r w:rsidRPr="00603F09">
              <w:rPr>
                <w:bCs/>
              </w:rPr>
              <w:t>počet zverejnených správ, rozhovorov, príspevkov, inzerátov vo všetkých druhoch médií</w:t>
            </w:r>
          </w:p>
        </w:tc>
        <w:tc>
          <w:tcPr>
            <w:tcW w:w="3035" w:type="dxa"/>
            <w:vAlign w:val="center"/>
          </w:tcPr>
          <w:p w14:paraId="71A464E4" w14:textId="77777777" w:rsidR="00603F09" w:rsidRPr="00603F09" w:rsidRDefault="00603F09" w:rsidP="00603F09">
            <w:pPr>
              <w:rPr>
                <w:bCs/>
              </w:rPr>
            </w:pPr>
            <w:r w:rsidRPr="00603F09">
              <w:rPr>
                <w:bCs/>
              </w:rPr>
              <w:t>počet</w:t>
            </w:r>
          </w:p>
        </w:tc>
        <w:tc>
          <w:tcPr>
            <w:tcW w:w="2725" w:type="dxa"/>
            <w:vAlign w:val="center"/>
          </w:tcPr>
          <w:p w14:paraId="4ABF76F0" w14:textId="77777777" w:rsidR="00603F09" w:rsidRPr="00603F09" w:rsidRDefault="00603F09" w:rsidP="00603F09">
            <w:pPr>
              <w:rPr>
                <w:bCs/>
              </w:rPr>
            </w:pPr>
            <w:proofErr w:type="spellStart"/>
            <w:r w:rsidRPr="00603F09">
              <w:rPr>
                <w:bCs/>
              </w:rPr>
              <w:t>sumarizácia</w:t>
            </w:r>
            <w:proofErr w:type="spellEnd"/>
            <w:r w:rsidRPr="00603F09">
              <w:rPr>
                <w:bCs/>
              </w:rPr>
              <w:t xml:space="preserve"> vlastných údajov, monitoring médií</w:t>
            </w:r>
          </w:p>
        </w:tc>
      </w:tr>
    </w:tbl>
    <w:p w14:paraId="7D20BE89" w14:textId="77777777" w:rsidR="00A40EF0" w:rsidRDefault="00A40EF0" w:rsidP="00A40EF0">
      <w:pPr>
        <w:pStyle w:val="MPCKO1"/>
        <w:ind w:left="284" w:hanging="284"/>
      </w:pPr>
      <w:bookmarkStart w:id="15" w:name="_Toc469255076"/>
      <w:r>
        <w:t>7</w:t>
      </w:r>
      <w:r w:rsidRPr="00B37E57">
        <w:t xml:space="preserve"> </w:t>
      </w:r>
      <w:r>
        <w:t>Administratívne zabezpečenie</w:t>
      </w:r>
      <w:bookmarkEnd w:id="15"/>
    </w:p>
    <w:p w14:paraId="6C3A8E45" w14:textId="78411A01" w:rsidR="00A40EF0" w:rsidRPr="00A40EF0" w:rsidRDefault="00A40EF0" w:rsidP="00CB7AE2">
      <w:pPr>
        <w:pStyle w:val="Odsekzoznamu"/>
        <w:numPr>
          <w:ilvl w:val="0"/>
          <w:numId w:val="33"/>
        </w:numPr>
        <w:spacing w:before="120" w:after="120"/>
        <w:contextualSpacing w:val="0"/>
        <w:jc w:val="both"/>
      </w:pPr>
      <w:r w:rsidRPr="00A40EF0">
        <w:t xml:space="preserve">Za realizáciu komunikačnej stratégie je zodpovedný RO daného OP. </w:t>
      </w:r>
      <w:r w:rsidR="00CB7AE2" w:rsidRPr="00CB7AE2">
        <w:t>Keď sa RO v rámci svojej pôsobnosti dohodne na prenesení kompetencií na iný subjekt (napr. na SO), je nutné tieto skutočnosti uviesť v Komunikačnej stratégii</w:t>
      </w:r>
      <w:r w:rsidRPr="00A40EF0">
        <w:t xml:space="preserve">. </w:t>
      </w:r>
    </w:p>
    <w:p w14:paraId="1D70DAB0" w14:textId="7FCA4F30" w:rsidR="00A40EF0" w:rsidRPr="00A40EF0" w:rsidRDefault="00A40EF0" w:rsidP="00F01404">
      <w:pPr>
        <w:pStyle w:val="Odsekzoznamu"/>
        <w:numPr>
          <w:ilvl w:val="0"/>
          <w:numId w:val="33"/>
        </w:numPr>
        <w:spacing w:before="120" w:after="120"/>
        <w:ind w:left="426" w:hanging="426"/>
        <w:contextualSpacing w:val="0"/>
        <w:jc w:val="both"/>
        <w:rPr>
          <w:b/>
        </w:rPr>
      </w:pPr>
      <w:r w:rsidRPr="00A40EF0">
        <w:rPr>
          <w:b/>
        </w:rPr>
        <w:t>V</w:t>
      </w:r>
      <w:r w:rsidR="00314454">
        <w:rPr>
          <w:b/>
        </w:rPr>
        <w:t xml:space="preserve"> </w:t>
      </w:r>
      <w:r w:rsidRPr="00A40EF0">
        <w:rPr>
          <w:b/>
        </w:rPr>
        <w:t xml:space="preserve">Komunikačnej stratégii </w:t>
      </w:r>
      <w:r>
        <w:rPr>
          <w:b/>
        </w:rPr>
        <w:t>RO</w:t>
      </w:r>
      <w:r w:rsidRPr="00A40EF0">
        <w:rPr>
          <w:b/>
        </w:rPr>
        <w:t xml:space="preserve"> zadefinuje: </w:t>
      </w:r>
    </w:p>
    <w:p w14:paraId="0D8261E4" w14:textId="3CD31F15" w:rsidR="00A40EF0" w:rsidRPr="00F01404" w:rsidRDefault="00A40EF0" w:rsidP="00F01404">
      <w:pPr>
        <w:pStyle w:val="Default"/>
        <w:numPr>
          <w:ilvl w:val="0"/>
          <w:numId w:val="38"/>
        </w:numPr>
        <w:spacing w:before="120" w:after="120"/>
        <w:ind w:left="851" w:hanging="425"/>
        <w:jc w:val="both"/>
        <w:rPr>
          <w:rFonts w:ascii="Times New Roman" w:hAnsi="Times New Roman" w:cs="Times New Roman"/>
          <w:color w:val="auto"/>
        </w:rPr>
      </w:pPr>
      <w:r w:rsidRPr="00F01404">
        <w:rPr>
          <w:rFonts w:ascii="Times New Roman" w:hAnsi="Times New Roman" w:cs="Times New Roman"/>
          <w:color w:val="auto"/>
        </w:rPr>
        <w:t>inštitúciu, útvar a osobu (osoby) zodpovednú za celkovú prípravu a realizáciu komunikačnej stratégie,</w:t>
      </w:r>
    </w:p>
    <w:p w14:paraId="5DF21409" w14:textId="70C416FE" w:rsidR="00A40EF0" w:rsidRPr="00F01404" w:rsidRDefault="00A40EF0" w:rsidP="00F01404">
      <w:pPr>
        <w:pStyle w:val="Default"/>
        <w:numPr>
          <w:ilvl w:val="0"/>
          <w:numId w:val="38"/>
        </w:numPr>
        <w:spacing w:before="120" w:after="120"/>
        <w:ind w:left="851" w:hanging="425"/>
        <w:jc w:val="both"/>
        <w:rPr>
          <w:rFonts w:ascii="Times New Roman" w:hAnsi="Times New Roman" w:cs="Times New Roman"/>
          <w:color w:val="auto"/>
        </w:rPr>
      </w:pPr>
      <w:r w:rsidRPr="00F01404">
        <w:rPr>
          <w:rFonts w:ascii="Times New Roman" w:hAnsi="Times New Roman" w:cs="Times New Roman"/>
          <w:color w:val="auto"/>
        </w:rPr>
        <w:t xml:space="preserve">vymedzenie  pozície tejto zodpovednej inštitúcie, útvaru a osoby v rámci národnej siete osôb zabezpečujúcich informovanie a komunikáciu OP (Pracovná skupina pre </w:t>
      </w:r>
      <w:r w:rsidR="00E35F22">
        <w:rPr>
          <w:rFonts w:ascii="Times New Roman" w:hAnsi="Times New Roman" w:cs="Times New Roman"/>
          <w:color w:val="auto"/>
        </w:rPr>
        <w:t xml:space="preserve">informovanie a </w:t>
      </w:r>
      <w:r w:rsidRPr="00F01404">
        <w:rPr>
          <w:rFonts w:ascii="Times New Roman" w:hAnsi="Times New Roman" w:cs="Times New Roman"/>
          <w:color w:val="auto"/>
        </w:rPr>
        <w:t xml:space="preserve">komunikáciu), </w:t>
      </w:r>
    </w:p>
    <w:p w14:paraId="2AF77D8E" w14:textId="77777777" w:rsidR="00A40EF0" w:rsidRPr="00F01404" w:rsidRDefault="00A40EF0" w:rsidP="00F01404">
      <w:pPr>
        <w:pStyle w:val="Default"/>
        <w:numPr>
          <w:ilvl w:val="0"/>
          <w:numId w:val="38"/>
        </w:numPr>
        <w:spacing w:before="120" w:after="120"/>
        <w:ind w:left="851" w:hanging="425"/>
        <w:jc w:val="both"/>
        <w:rPr>
          <w:rFonts w:ascii="Times New Roman" w:hAnsi="Times New Roman" w:cs="Times New Roman"/>
          <w:color w:val="auto"/>
        </w:rPr>
      </w:pPr>
      <w:r w:rsidRPr="00F01404">
        <w:rPr>
          <w:rFonts w:ascii="Times New Roman" w:hAnsi="Times New Roman" w:cs="Times New Roman"/>
          <w:color w:val="auto"/>
        </w:rPr>
        <w:lastRenderedPageBreak/>
        <w:t xml:space="preserve">vymedzenie  pozície tejto zodpovednej inštitúcie, útvaru a osoby v rámci európskych sietí osôb zabezpečujúcich informovanie a komunikáciu programu (na spoluprácu a výmeny skúseností), </w:t>
      </w:r>
    </w:p>
    <w:p w14:paraId="739873B8" w14:textId="602A2BCE" w:rsidR="00A40EF0" w:rsidRPr="00F01404" w:rsidRDefault="00A40EF0" w:rsidP="00F01404">
      <w:pPr>
        <w:pStyle w:val="Default"/>
        <w:numPr>
          <w:ilvl w:val="0"/>
          <w:numId w:val="38"/>
        </w:numPr>
        <w:spacing w:before="120" w:after="120"/>
        <w:ind w:left="851" w:hanging="425"/>
        <w:jc w:val="both"/>
        <w:rPr>
          <w:rFonts w:ascii="Times New Roman" w:hAnsi="Times New Roman" w:cs="Times New Roman"/>
          <w:color w:val="auto"/>
        </w:rPr>
      </w:pPr>
      <w:r w:rsidRPr="00F01404">
        <w:rPr>
          <w:rFonts w:ascii="Times New Roman" w:hAnsi="Times New Roman" w:cs="Times New Roman"/>
          <w:color w:val="auto"/>
        </w:rPr>
        <w:t xml:space="preserve">vzťahy medzi inštitúciami, útvarom a osobou zodpovednou za realizáciu komunikačnej stratégie a osobou (osobami) zodpovednou za realizáciu </w:t>
      </w:r>
      <w:r w:rsidR="00E35F22">
        <w:rPr>
          <w:rFonts w:ascii="Times New Roman" w:hAnsi="Times New Roman" w:cs="Times New Roman"/>
          <w:color w:val="auto"/>
        </w:rPr>
        <w:t>OP</w:t>
      </w:r>
      <w:r w:rsidR="00E35F22" w:rsidRPr="00F01404">
        <w:rPr>
          <w:rFonts w:ascii="Times New Roman" w:hAnsi="Times New Roman" w:cs="Times New Roman"/>
          <w:color w:val="auto"/>
        </w:rPr>
        <w:t xml:space="preserve"> </w:t>
      </w:r>
      <w:r w:rsidRPr="00F01404">
        <w:rPr>
          <w:rFonts w:ascii="Times New Roman" w:hAnsi="Times New Roman" w:cs="Times New Roman"/>
          <w:color w:val="auto"/>
        </w:rPr>
        <w:t xml:space="preserve">a podieľajúcimi sa na monitorovaní </w:t>
      </w:r>
      <w:r w:rsidR="00E35F22">
        <w:rPr>
          <w:rFonts w:ascii="Times New Roman" w:hAnsi="Times New Roman" w:cs="Times New Roman"/>
          <w:color w:val="auto"/>
        </w:rPr>
        <w:t>OP</w:t>
      </w:r>
      <w:r w:rsidRPr="00F01404">
        <w:rPr>
          <w:rFonts w:ascii="Times New Roman" w:hAnsi="Times New Roman" w:cs="Times New Roman"/>
          <w:color w:val="auto"/>
        </w:rPr>
        <w:t xml:space="preserve">, </w:t>
      </w:r>
    </w:p>
    <w:p w14:paraId="3A9C5075" w14:textId="0D6F49CD" w:rsidR="00A40EF0" w:rsidRPr="00F01404" w:rsidRDefault="00A40EF0" w:rsidP="00F01404">
      <w:pPr>
        <w:pStyle w:val="Default"/>
        <w:numPr>
          <w:ilvl w:val="0"/>
          <w:numId w:val="38"/>
        </w:numPr>
        <w:spacing w:before="120" w:after="120"/>
        <w:ind w:left="851" w:hanging="425"/>
        <w:jc w:val="both"/>
        <w:rPr>
          <w:rFonts w:ascii="Times New Roman" w:hAnsi="Times New Roman" w:cs="Times New Roman"/>
          <w:color w:val="auto"/>
        </w:rPr>
      </w:pPr>
      <w:r w:rsidRPr="00F01404">
        <w:rPr>
          <w:rFonts w:ascii="Times New Roman" w:hAnsi="Times New Roman" w:cs="Times New Roman"/>
          <w:color w:val="auto"/>
        </w:rPr>
        <w:t xml:space="preserve">inštitúciu, útvar a osobu zodpovednú za vyhodnotenie a kontrolu plnenia komunikačnej stratégie, </w:t>
      </w:r>
    </w:p>
    <w:p w14:paraId="19C760AA" w14:textId="0F4CE611" w:rsidR="00A40EF0" w:rsidRPr="00F01404" w:rsidRDefault="00A40EF0" w:rsidP="00F01404">
      <w:pPr>
        <w:pStyle w:val="Default"/>
        <w:numPr>
          <w:ilvl w:val="0"/>
          <w:numId w:val="38"/>
        </w:numPr>
        <w:spacing w:before="120" w:after="120"/>
        <w:ind w:left="851" w:hanging="425"/>
        <w:jc w:val="both"/>
        <w:rPr>
          <w:rFonts w:ascii="Times New Roman" w:hAnsi="Times New Roman" w:cs="Times New Roman"/>
          <w:color w:val="auto"/>
        </w:rPr>
      </w:pPr>
      <w:r w:rsidRPr="00F01404">
        <w:rPr>
          <w:rFonts w:ascii="Times New Roman" w:hAnsi="Times New Roman" w:cs="Times New Roman"/>
          <w:color w:val="auto"/>
        </w:rPr>
        <w:t>primerané administratívne kapacity vyhradené na prípravu, realizáciu a vyhodnotenie komunikačnej stratégie (vrátane definovania zastupiteľnosti, kontaktných údajov, organizačnej štruktúry a</w:t>
      </w:r>
      <w:r w:rsidR="00314454">
        <w:rPr>
          <w:rFonts w:ascii="Times New Roman" w:hAnsi="Times New Roman" w:cs="Times New Roman"/>
          <w:color w:val="auto"/>
        </w:rPr>
        <w:t xml:space="preserve"> </w:t>
      </w:r>
      <w:r w:rsidRPr="00F01404">
        <w:rPr>
          <w:rFonts w:ascii="Times New Roman" w:hAnsi="Times New Roman" w:cs="Times New Roman"/>
          <w:color w:val="auto"/>
        </w:rPr>
        <w:t>pod.),</w:t>
      </w:r>
    </w:p>
    <w:p w14:paraId="10D40A2A" w14:textId="77777777" w:rsidR="00A40EF0" w:rsidRPr="00F01404" w:rsidRDefault="00A40EF0" w:rsidP="00F01404">
      <w:pPr>
        <w:pStyle w:val="Default"/>
        <w:numPr>
          <w:ilvl w:val="0"/>
          <w:numId w:val="38"/>
        </w:numPr>
        <w:spacing w:before="120" w:after="120"/>
        <w:ind w:left="851" w:hanging="425"/>
        <w:jc w:val="both"/>
        <w:rPr>
          <w:rFonts w:ascii="Times New Roman" w:hAnsi="Times New Roman" w:cs="Times New Roman"/>
          <w:color w:val="auto"/>
        </w:rPr>
      </w:pPr>
      <w:r w:rsidRPr="00F01404">
        <w:rPr>
          <w:rFonts w:ascii="Times New Roman" w:hAnsi="Times New Roman" w:cs="Times New Roman"/>
          <w:color w:val="auto"/>
        </w:rPr>
        <w:t xml:space="preserve">plán rozvoja administratívnych kapacít (vzdelávanie, profesijný rozvoj, a pod.). </w:t>
      </w:r>
    </w:p>
    <w:p w14:paraId="3196ADC6" w14:textId="6A83080E" w:rsidR="00A40EF0" w:rsidRDefault="00A40EF0" w:rsidP="00895CB4">
      <w:pPr>
        <w:pStyle w:val="Odsekzoznamu"/>
        <w:numPr>
          <w:ilvl w:val="0"/>
          <w:numId w:val="33"/>
        </w:numPr>
        <w:spacing w:before="120" w:after="120"/>
        <w:contextualSpacing w:val="0"/>
        <w:jc w:val="both"/>
      </w:pPr>
      <w:r w:rsidRPr="00A40EF0">
        <w:t>V</w:t>
      </w:r>
      <w:r w:rsidR="00F23215">
        <w:t xml:space="preserve"> </w:t>
      </w:r>
      <w:r w:rsidRPr="00A40EF0">
        <w:t>komunikačnej stratégii RO jasne zadefinuje zodpovedné orgány,</w:t>
      </w:r>
      <w:r w:rsidR="00F23215">
        <w:t xml:space="preserve"> </w:t>
      </w:r>
      <w:r w:rsidRPr="00A40EF0">
        <w:t>osoby a</w:t>
      </w:r>
      <w:r w:rsidR="00F23215">
        <w:t xml:space="preserve"> </w:t>
      </w:r>
      <w:r w:rsidRPr="00A40EF0">
        <w:t xml:space="preserve">ich úlohy v rámci implementácie komunikačných opatrení a informuje o tom </w:t>
      </w:r>
      <w:r w:rsidR="00AE166D">
        <w:t>ÚV SR</w:t>
      </w:r>
      <w:r w:rsidRPr="00A40EF0">
        <w:t>, monitorovací výbor a</w:t>
      </w:r>
      <w:r w:rsidR="00F23215">
        <w:t xml:space="preserve"> </w:t>
      </w:r>
      <w:r w:rsidRPr="00A40EF0">
        <w:t xml:space="preserve">Európsku komisiu. </w:t>
      </w:r>
      <w:r w:rsidR="00895CB4" w:rsidRPr="00895CB4">
        <w:t xml:space="preserve">RO je povinný predložiť každý RKP </w:t>
      </w:r>
      <w:r w:rsidR="00861728">
        <w:t xml:space="preserve">OIP ÚV </w:t>
      </w:r>
      <w:proofErr w:type="spellStart"/>
      <w:r w:rsidR="00861728">
        <w:t>SR</w:t>
      </w:r>
      <w:r w:rsidR="00895CB4" w:rsidRPr="00895CB4">
        <w:t>do</w:t>
      </w:r>
      <w:proofErr w:type="spellEnd"/>
      <w:r w:rsidR="00895CB4" w:rsidRPr="00895CB4">
        <w:t xml:space="preserve"> 7 pracovných dní od jeho schválenia.</w:t>
      </w:r>
      <w:r w:rsidR="00895CB4">
        <w:t xml:space="preserve"> </w:t>
      </w:r>
      <w:r w:rsidRPr="00A40EF0">
        <w:t>Osobami zodpovednými za informovanie a komunikáciu v rámci odboru/oddelenia pre informovanie a</w:t>
      </w:r>
      <w:r w:rsidR="00F23215">
        <w:t xml:space="preserve"> </w:t>
      </w:r>
      <w:r w:rsidRPr="00A40EF0">
        <w:t>komunikáciu sú:</w:t>
      </w:r>
    </w:p>
    <w:p w14:paraId="7C954776" w14:textId="77777777" w:rsidR="00A40EF0" w:rsidRPr="00A40EF0" w:rsidRDefault="00A40EF0" w:rsidP="00F01404">
      <w:pPr>
        <w:pStyle w:val="Bezriadkovania"/>
        <w:numPr>
          <w:ilvl w:val="0"/>
          <w:numId w:val="39"/>
        </w:numPr>
        <w:spacing w:before="120" w:after="120"/>
        <w:ind w:left="851" w:hanging="425"/>
        <w:jc w:val="both"/>
      </w:pPr>
      <w:r w:rsidRPr="00A40EF0">
        <w:t xml:space="preserve">Vedúci  odboru/oddelenia pre informovanie a komunikáciu </w:t>
      </w:r>
    </w:p>
    <w:p w14:paraId="05E38576" w14:textId="77777777" w:rsidR="00A40EF0" w:rsidRPr="00A40EF0" w:rsidRDefault="00A40EF0" w:rsidP="00F01404">
      <w:pPr>
        <w:pStyle w:val="Bezriadkovania"/>
        <w:spacing w:before="120" w:after="120"/>
        <w:ind w:left="851"/>
        <w:jc w:val="both"/>
      </w:pPr>
      <w:r w:rsidRPr="00A40EF0">
        <w:t>Tel.: +421/</w:t>
      </w:r>
    </w:p>
    <w:p w14:paraId="0483C2A2" w14:textId="77777777" w:rsidR="00A40EF0" w:rsidRPr="00A40EF0" w:rsidRDefault="00A40EF0" w:rsidP="00F01404">
      <w:pPr>
        <w:pStyle w:val="Bezriadkovania"/>
        <w:spacing w:before="120" w:after="120"/>
        <w:ind w:left="851"/>
        <w:jc w:val="both"/>
      </w:pPr>
      <w:r w:rsidRPr="00A40EF0">
        <w:t>Mobil: +421/</w:t>
      </w:r>
    </w:p>
    <w:p w14:paraId="4DCE6E42" w14:textId="77777777" w:rsidR="00A40EF0" w:rsidRPr="00A40EF0" w:rsidRDefault="00A40EF0" w:rsidP="00F01404">
      <w:pPr>
        <w:pStyle w:val="Bezriadkovania"/>
        <w:spacing w:before="120" w:after="120"/>
        <w:ind w:left="851"/>
        <w:jc w:val="both"/>
      </w:pPr>
      <w:r w:rsidRPr="00A40EF0">
        <w:t xml:space="preserve">E-mail: </w:t>
      </w:r>
    </w:p>
    <w:p w14:paraId="0368B6AB" w14:textId="77777777" w:rsidR="00A40EF0" w:rsidRPr="00A40EF0" w:rsidRDefault="00A40EF0" w:rsidP="00F01404">
      <w:pPr>
        <w:pStyle w:val="Bezriadkovania"/>
        <w:numPr>
          <w:ilvl w:val="0"/>
          <w:numId w:val="39"/>
        </w:numPr>
        <w:spacing w:before="120" w:after="120"/>
        <w:ind w:left="851" w:hanging="425"/>
        <w:jc w:val="both"/>
      </w:pPr>
      <w:r w:rsidRPr="00A40EF0">
        <w:t xml:space="preserve">manažér pre informovanie a komunikáciu </w:t>
      </w:r>
    </w:p>
    <w:p w14:paraId="633465AE" w14:textId="77777777" w:rsidR="00A40EF0" w:rsidRPr="00A40EF0" w:rsidRDefault="00A40EF0" w:rsidP="00F01404">
      <w:pPr>
        <w:pStyle w:val="Bezriadkovania"/>
        <w:spacing w:before="120" w:after="120"/>
        <w:ind w:left="851"/>
        <w:jc w:val="both"/>
      </w:pPr>
      <w:r w:rsidRPr="00A40EF0">
        <w:t>Tel.: +421/</w:t>
      </w:r>
    </w:p>
    <w:p w14:paraId="6C2DC0D0" w14:textId="77777777" w:rsidR="00A40EF0" w:rsidRPr="00A40EF0" w:rsidRDefault="00A40EF0" w:rsidP="00F01404">
      <w:pPr>
        <w:pStyle w:val="Bezriadkovania"/>
        <w:spacing w:before="120" w:after="120"/>
        <w:ind w:left="851"/>
        <w:jc w:val="both"/>
      </w:pPr>
      <w:r w:rsidRPr="00A40EF0">
        <w:t xml:space="preserve">E-mail: </w:t>
      </w:r>
    </w:p>
    <w:p w14:paraId="324AEE63" w14:textId="77777777" w:rsidR="00A40EF0" w:rsidRPr="00A40EF0" w:rsidRDefault="00A40EF0" w:rsidP="00F01404">
      <w:pPr>
        <w:pStyle w:val="Bezriadkovania"/>
        <w:numPr>
          <w:ilvl w:val="0"/>
          <w:numId w:val="39"/>
        </w:numPr>
        <w:spacing w:before="120" w:after="120"/>
        <w:ind w:left="851" w:hanging="425"/>
        <w:jc w:val="both"/>
      </w:pPr>
      <w:r w:rsidRPr="00A40EF0">
        <w:t xml:space="preserve">manažér pre informovanie a komunikáciu </w:t>
      </w:r>
    </w:p>
    <w:p w14:paraId="7FA82B7F" w14:textId="77777777" w:rsidR="00A40EF0" w:rsidRPr="00A40EF0" w:rsidRDefault="00A40EF0" w:rsidP="00F01404">
      <w:pPr>
        <w:pStyle w:val="Bezriadkovania"/>
        <w:spacing w:before="120" w:after="120"/>
        <w:ind w:left="851"/>
        <w:jc w:val="both"/>
      </w:pPr>
      <w:r w:rsidRPr="00A40EF0">
        <w:t>Tel.: +421/</w:t>
      </w:r>
    </w:p>
    <w:p w14:paraId="719997AD" w14:textId="77777777" w:rsidR="00A40EF0" w:rsidRPr="00A40EF0" w:rsidRDefault="00A40EF0" w:rsidP="00F01404">
      <w:pPr>
        <w:pStyle w:val="Bezriadkovania"/>
        <w:spacing w:before="120" w:after="120"/>
        <w:ind w:left="851"/>
        <w:jc w:val="both"/>
      </w:pPr>
      <w:r w:rsidRPr="00A40EF0">
        <w:t xml:space="preserve">E-mail: </w:t>
      </w:r>
    </w:p>
    <w:p w14:paraId="2C5CC175" w14:textId="77777777" w:rsidR="00A40EF0" w:rsidRPr="00A40EF0" w:rsidRDefault="00A40EF0" w:rsidP="00F01404">
      <w:pPr>
        <w:pStyle w:val="Bezriadkovania"/>
        <w:numPr>
          <w:ilvl w:val="0"/>
          <w:numId w:val="39"/>
        </w:numPr>
        <w:spacing w:before="120" w:after="120"/>
        <w:ind w:left="851" w:hanging="425"/>
        <w:jc w:val="both"/>
      </w:pPr>
      <w:r w:rsidRPr="00A40EF0">
        <w:t xml:space="preserve">manažér pre informovanie a komunikáciu </w:t>
      </w:r>
    </w:p>
    <w:p w14:paraId="7D7677D9" w14:textId="77777777" w:rsidR="00A40EF0" w:rsidRPr="00A40EF0" w:rsidRDefault="00A40EF0" w:rsidP="00F01404">
      <w:pPr>
        <w:pStyle w:val="Bezriadkovania"/>
        <w:spacing w:before="120" w:after="120"/>
        <w:ind w:left="851"/>
        <w:jc w:val="both"/>
      </w:pPr>
      <w:r w:rsidRPr="00A40EF0">
        <w:t>Tel.: +421/</w:t>
      </w:r>
    </w:p>
    <w:p w14:paraId="44E0B193" w14:textId="77777777" w:rsidR="00A40EF0" w:rsidRPr="00A40EF0" w:rsidRDefault="00A40EF0" w:rsidP="00F01404">
      <w:pPr>
        <w:pStyle w:val="Bezriadkovania"/>
        <w:spacing w:before="120" w:after="120"/>
        <w:ind w:left="851"/>
        <w:jc w:val="both"/>
      </w:pPr>
      <w:r w:rsidRPr="00A40EF0">
        <w:t xml:space="preserve">E-mail: </w:t>
      </w:r>
    </w:p>
    <w:p w14:paraId="7B09240C" w14:textId="77777777" w:rsidR="00A40EF0" w:rsidRPr="00A40EF0" w:rsidRDefault="00A40EF0" w:rsidP="00F01404">
      <w:pPr>
        <w:pStyle w:val="Odsekzoznamu"/>
        <w:numPr>
          <w:ilvl w:val="0"/>
          <w:numId w:val="33"/>
        </w:numPr>
        <w:spacing w:before="120" w:after="120"/>
        <w:ind w:left="426" w:hanging="426"/>
        <w:contextualSpacing w:val="0"/>
        <w:jc w:val="both"/>
      </w:pPr>
      <w:r w:rsidRPr="00A40EF0">
        <w:t>Manažéri pre informovanie a komunikáciu sú zodpovední za:</w:t>
      </w:r>
    </w:p>
    <w:p w14:paraId="28B8E3C9" w14:textId="77777777" w:rsidR="00A40EF0" w:rsidRPr="00A40EF0" w:rsidRDefault="00A40EF0" w:rsidP="00F01404">
      <w:pPr>
        <w:numPr>
          <w:ilvl w:val="0"/>
          <w:numId w:val="40"/>
        </w:numPr>
        <w:tabs>
          <w:tab w:val="clear" w:pos="720"/>
        </w:tabs>
        <w:spacing w:before="120" w:after="120"/>
        <w:ind w:left="851" w:hanging="425"/>
        <w:jc w:val="both"/>
      </w:pPr>
      <w:r w:rsidRPr="00A40EF0">
        <w:t>zabezpečenie efektívneho informovania o možnostiach a priebehu využitia finančných prostriedkov z EŠIF pomocou definovaných komunikačných nástrojov (aktivít),</w:t>
      </w:r>
    </w:p>
    <w:p w14:paraId="58076092" w14:textId="77777777" w:rsidR="00A40EF0" w:rsidRPr="00A40EF0" w:rsidRDefault="00A40EF0" w:rsidP="00F01404">
      <w:pPr>
        <w:numPr>
          <w:ilvl w:val="0"/>
          <w:numId w:val="40"/>
        </w:numPr>
        <w:tabs>
          <w:tab w:val="clear" w:pos="720"/>
        </w:tabs>
        <w:spacing w:before="120" w:after="120"/>
        <w:ind w:left="851" w:hanging="425"/>
        <w:jc w:val="both"/>
      </w:pPr>
      <w:r w:rsidRPr="00A40EF0">
        <w:t>zabezpečenie informovania a komunikácie OP v SR aj v zahraničí smerom k EK,</w:t>
      </w:r>
    </w:p>
    <w:p w14:paraId="2E10B6FA" w14:textId="3FD8DF32" w:rsidR="00A40EF0" w:rsidRPr="00A40EF0" w:rsidRDefault="00A40EF0" w:rsidP="00F01404">
      <w:pPr>
        <w:numPr>
          <w:ilvl w:val="0"/>
          <w:numId w:val="40"/>
        </w:numPr>
        <w:tabs>
          <w:tab w:val="clear" w:pos="720"/>
        </w:tabs>
        <w:spacing w:before="120" w:after="120"/>
        <w:ind w:left="851" w:hanging="425"/>
        <w:jc w:val="both"/>
      </w:pPr>
      <w:r w:rsidRPr="00A40EF0">
        <w:t>vypracovanie, koordináciu a</w:t>
      </w:r>
      <w:r w:rsidR="00F23215">
        <w:t xml:space="preserve"> </w:t>
      </w:r>
      <w:r w:rsidRPr="00A40EF0">
        <w:t>realizáciu komunikačnej stratégie ,</w:t>
      </w:r>
    </w:p>
    <w:p w14:paraId="52486AEA" w14:textId="7DF76065" w:rsidR="00A40EF0" w:rsidRPr="00A40EF0" w:rsidRDefault="00A40EF0" w:rsidP="00F01404">
      <w:pPr>
        <w:numPr>
          <w:ilvl w:val="0"/>
          <w:numId w:val="40"/>
        </w:numPr>
        <w:tabs>
          <w:tab w:val="clear" w:pos="720"/>
        </w:tabs>
        <w:spacing w:before="120" w:after="120"/>
        <w:ind w:left="851" w:hanging="425"/>
        <w:jc w:val="both"/>
      </w:pPr>
      <w:r w:rsidRPr="00A40EF0">
        <w:t>vypracovanie, koordináciu a</w:t>
      </w:r>
      <w:r w:rsidR="00F23215">
        <w:t xml:space="preserve"> </w:t>
      </w:r>
      <w:r w:rsidRPr="00A40EF0">
        <w:t>realizáciu ročného komunikačného plánu,</w:t>
      </w:r>
    </w:p>
    <w:p w14:paraId="3F3A6188" w14:textId="77777777" w:rsidR="00A40EF0" w:rsidRPr="00A40EF0" w:rsidRDefault="00A40EF0" w:rsidP="00F01404">
      <w:pPr>
        <w:numPr>
          <w:ilvl w:val="0"/>
          <w:numId w:val="40"/>
        </w:numPr>
        <w:tabs>
          <w:tab w:val="clear" w:pos="720"/>
        </w:tabs>
        <w:spacing w:before="120" w:after="120"/>
        <w:ind w:left="851" w:hanging="425"/>
        <w:jc w:val="both"/>
      </w:pPr>
      <w:r w:rsidRPr="00A40EF0">
        <w:t>monitorovanie informačných a komunikačných aktivít, prípravu podkladov do monitorovacích správ o aktivitách OP,</w:t>
      </w:r>
    </w:p>
    <w:p w14:paraId="3DBC8608" w14:textId="1639FDBA" w:rsidR="00A40EF0" w:rsidRPr="00A40EF0" w:rsidRDefault="00A40EF0" w:rsidP="00F01404">
      <w:pPr>
        <w:numPr>
          <w:ilvl w:val="0"/>
          <w:numId w:val="40"/>
        </w:numPr>
        <w:tabs>
          <w:tab w:val="clear" w:pos="720"/>
        </w:tabs>
        <w:spacing w:before="120" w:after="120"/>
        <w:ind w:left="851" w:hanging="425"/>
        <w:jc w:val="both"/>
      </w:pPr>
      <w:r w:rsidRPr="00A40EF0">
        <w:lastRenderedPageBreak/>
        <w:t>priebežné hodnotenie efektívnosti informačných a komunikačných opatrení, prípravu hodnotiacich správ, príp. uskutočňovanie prieskumov o</w:t>
      </w:r>
      <w:r w:rsidR="00F23215">
        <w:t xml:space="preserve"> </w:t>
      </w:r>
      <w:r w:rsidRPr="00A40EF0">
        <w:t>informovanosti verejnosti,</w:t>
      </w:r>
    </w:p>
    <w:p w14:paraId="046EC2C4" w14:textId="48328316" w:rsidR="00A40EF0" w:rsidRPr="00A40EF0" w:rsidRDefault="00A40EF0" w:rsidP="00F01404">
      <w:pPr>
        <w:numPr>
          <w:ilvl w:val="0"/>
          <w:numId w:val="40"/>
        </w:numPr>
        <w:tabs>
          <w:tab w:val="clear" w:pos="720"/>
        </w:tabs>
        <w:spacing w:before="120" w:after="120"/>
        <w:ind w:left="851" w:hanging="425"/>
        <w:jc w:val="both"/>
      </w:pPr>
      <w:r w:rsidRPr="00A40EF0">
        <w:t xml:space="preserve">sú členmi Pracovnej skupiny pre informovanie a komunikáciu pri </w:t>
      </w:r>
      <w:r w:rsidR="00AE166D">
        <w:t>ÚV SR</w:t>
      </w:r>
      <w:r w:rsidRPr="00A40EF0">
        <w:t xml:space="preserve"> ako zástupca RO, prípadne SO,</w:t>
      </w:r>
    </w:p>
    <w:p w14:paraId="28329539" w14:textId="77777777" w:rsidR="00A40EF0" w:rsidRPr="00A40EF0" w:rsidRDefault="00A40EF0" w:rsidP="00F01404">
      <w:pPr>
        <w:numPr>
          <w:ilvl w:val="0"/>
          <w:numId w:val="40"/>
        </w:numPr>
        <w:tabs>
          <w:tab w:val="clear" w:pos="720"/>
        </w:tabs>
        <w:spacing w:before="120" w:after="120"/>
        <w:ind w:left="851" w:hanging="425"/>
        <w:jc w:val="both"/>
      </w:pPr>
      <w:r>
        <w:t>s</w:t>
      </w:r>
      <w:r w:rsidRPr="00A40EF0">
        <w:t>polupr</w:t>
      </w:r>
      <w:r>
        <w:t>ácu</w:t>
      </w:r>
      <w:r w:rsidRPr="00A40EF0">
        <w:t xml:space="preserve"> v rámci svojich kompetencií na uvedených spoločných informačných nástrojoch, najmä na:</w:t>
      </w:r>
    </w:p>
    <w:p w14:paraId="37937224" w14:textId="54DBABD2" w:rsidR="00A40EF0" w:rsidRPr="00A40EF0" w:rsidRDefault="00A40EF0" w:rsidP="00F01404">
      <w:pPr>
        <w:numPr>
          <w:ilvl w:val="0"/>
          <w:numId w:val="41"/>
        </w:numPr>
        <w:tabs>
          <w:tab w:val="clear" w:pos="1080"/>
        </w:tabs>
        <w:spacing w:before="120" w:after="120"/>
        <w:ind w:left="1276" w:hanging="425"/>
        <w:jc w:val="both"/>
      </w:pPr>
      <w:r w:rsidRPr="00A40EF0">
        <w:t xml:space="preserve">príprave a aktualizácii informácií zverejňovaných na príslušnej webovom sídle RO a takisto na webovom sídle </w:t>
      </w:r>
      <w:r w:rsidR="00AE166D">
        <w:t>ÚV SR</w:t>
      </w:r>
      <w:r w:rsidRPr="00A40EF0">
        <w:t>,</w:t>
      </w:r>
    </w:p>
    <w:p w14:paraId="2E8E9F07" w14:textId="49C785C9" w:rsidR="00A40EF0" w:rsidRPr="00A40EF0" w:rsidRDefault="00A40EF0" w:rsidP="00F01404">
      <w:pPr>
        <w:numPr>
          <w:ilvl w:val="0"/>
          <w:numId w:val="41"/>
        </w:numPr>
        <w:tabs>
          <w:tab w:val="clear" w:pos="1080"/>
        </w:tabs>
        <w:spacing w:before="120" w:after="120"/>
        <w:ind w:left="1276" w:hanging="425"/>
        <w:jc w:val="both"/>
      </w:pPr>
      <w:r w:rsidRPr="00A40EF0">
        <w:t>príprave a</w:t>
      </w:r>
      <w:r w:rsidR="00F23215">
        <w:t xml:space="preserve"> </w:t>
      </w:r>
      <w:r w:rsidRPr="00A40EF0">
        <w:t>aktualizácii informácií zverejňovaných v časopise (</w:t>
      </w:r>
      <w:proofErr w:type="spellStart"/>
      <w:r w:rsidRPr="00A40EF0">
        <w:t>švtrťročníku</w:t>
      </w:r>
      <w:proofErr w:type="spellEnd"/>
      <w:r w:rsidRPr="00A40EF0">
        <w:t xml:space="preserve">) o EŠIF vydávanom </w:t>
      </w:r>
      <w:r w:rsidR="00AE166D">
        <w:t>ÚV SR</w:t>
      </w:r>
      <w:r w:rsidRPr="00A40EF0">
        <w:t xml:space="preserve"> a prípadných časopisoch, či </w:t>
      </w:r>
      <w:proofErr w:type="spellStart"/>
      <w:r w:rsidRPr="00A40EF0">
        <w:t>spravodajoch</w:t>
      </w:r>
      <w:proofErr w:type="spellEnd"/>
      <w:r w:rsidRPr="00A40EF0">
        <w:t xml:space="preserve"> príslušných RO,</w:t>
      </w:r>
    </w:p>
    <w:p w14:paraId="3077A21D" w14:textId="77777777" w:rsidR="00A40EF0" w:rsidRPr="00A40EF0" w:rsidRDefault="00A40EF0" w:rsidP="00F01404">
      <w:pPr>
        <w:numPr>
          <w:ilvl w:val="0"/>
          <w:numId w:val="41"/>
        </w:numPr>
        <w:tabs>
          <w:tab w:val="clear" w:pos="1080"/>
        </w:tabs>
        <w:spacing w:before="120" w:after="120"/>
        <w:ind w:left="1276" w:hanging="425"/>
        <w:jc w:val="both"/>
      </w:pPr>
      <w:r w:rsidRPr="00A40EF0">
        <w:t xml:space="preserve">príprave odpovedí na otázky a informácií o OP. </w:t>
      </w:r>
    </w:p>
    <w:p w14:paraId="789312D1" w14:textId="0691BE4F" w:rsidR="00A40EF0" w:rsidRPr="00A40EF0" w:rsidRDefault="00CB6D66" w:rsidP="00F01404">
      <w:pPr>
        <w:numPr>
          <w:ilvl w:val="0"/>
          <w:numId w:val="40"/>
        </w:numPr>
        <w:tabs>
          <w:tab w:val="clear" w:pos="720"/>
        </w:tabs>
        <w:spacing w:before="120" w:after="120"/>
        <w:ind w:left="851" w:hanging="425"/>
        <w:jc w:val="both"/>
      </w:pPr>
      <w:r>
        <w:t>v</w:t>
      </w:r>
      <w:r w:rsidR="00A40EF0" w:rsidRPr="00A40EF0">
        <w:t xml:space="preserve"> spolupráci s</w:t>
      </w:r>
      <w:r w:rsidR="00AE166D">
        <w:t> ÚV SR</w:t>
      </w:r>
      <w:r w:rsidR="00A40EF0" w:rsidRPr="00A40EF0">
        <w:t xml:space="preserve"> a ďalšími RO zabezpečujú vybudovanie funkčných komunikačných kanálov vo vzťahu k žiadateľom, prijímateľom ako aj verejnosti. </w:t>
      </w:r>
    </w:p>
    <w:p w14:paraId="3D45C56D" w14:textId="77777777" w:rsidR="00A40EF0" w:rsidRPr="00A40EF0" w:rsidRDefault="00A40EF0" w:rsidP="00F01404">
      <w:pPr>
        <w:pStyle w:val="Odsekzoznamu"/>
        <w:numPr>
          <w:ilvl w:val="0"/>
          <w:numId w:val="33"/>
        </w:numPr>
        <w:spacing w:before="120" w:after="120"/>
        <w:ind w:left="426" w:hanging="426"/>
        <w:contextualSpacing w:val="0"/>
        <w:jc w:val="both"/>
      </w:pPr>
      <w:r w:rsidRPr="00A40EF0">
        <w:t>Do aktivít informovania a komunikácie, ktoré si vyžadujú profesionálny prístup, môžu byť  zapojené aj  profesionálne zamerané subjekty vybrané v procese verejného obstarávania, ktoré sa podieľajú na príprave a realizácii informačných kampaní, plánovaní a nákupu mediálneho priestoru, na kreatívnych a grafických prácach, na elektronickej, tlačovej a inej produkcii, na organizovaní informačných podujatí a ďalších aktivít, vyžadujúcich profesionálne zabezpečenie v oblasti informovanosti a komunikácie.</w:t>
      </w:r>
    </w:p>
    <w:p w14:paraId="38B3B6D9" w14:textId="77777777" w:rsidR="00A40EF0" w:rsidRPr="00CB6D66" w:rsidRDefault="00A40EF0" w:rsidP="00F01404">
      <w:pPr>
        <w:pStyle w:val="Odsekzoznamu"/>
        <w:numPr>
          <w:ilvl w:val="0"/>
          <w:numId w:val="33"/>
        </w:numPr>
        <w:spacing w:before="120" w:after="120"/>
        <w:ind w:left="426" w:hanging="426"/>
        <w:contextualSpacing w:val="0"/>
        <w:jc w:val="both"/>
      </w:pPr>
      <w:r w:rsidRPr="00CB6D66">
        <w:t xml:space="preserve">Zabezpečenie dostatočnej pripravenosti administratívnych kapacít na programové obdobie 2014 – 2020 sa dosiahne zvýšením ich odbornosti prostredníctvom zavedenia nepretržitého vzdelávacieho systému pracovníkov, zodpovedných za oblasť informovanosti a komunikácie. </w:t>
      </w:r>
    </w:p>
    <w:p w14:paraId="617A6AE9" w14:textId="10DE51A5" w:rsidR="00A40EF0" w:rsidRPr="00CB6D66" w:rsidRDefault="00AE166D" w:rsidP="00F01404">
      <w:pPr>
        <w:pStyle w:val="Odsekzoznamu"/>
        <w:numPr>
          <w:ilvl w:val="0"/>
          <w:numId w:val="33"/>
        </w:numPr>
        <w:spacing w:before="120" w:after="120"/>
        <w:ind w:left="426" w:hanging="426"/>
        <w:contextualSpacing w:val="0"/>
        <w:jc w:val="both"/>
      </w:pPr>
      <w:r>
        <w:t>ÚV SR</w:t>
      </w:r>
      <w:r w:rsidR="00A40EF0" w:rsidRPr="00CB6D66">
        <w:t xml:space="preserve"> v spolupráci s OP zabezpečí podmienky pre rozvoj administratívnych kapacít formou </w:t>
      </w:r>
      <w:r>
        <w:t xml:space="preserve">špeciálnych </w:t>
      </w:r>
      <w:r w:rsidR="00A40EF0" w:rsidRPr="00CB6D66">
        <w:t>školení a iných vzdelávacích aktivít tak, aby sa (na základe ponuky vzdelávacích aktivít a konkrétnych potrieb) zúčastnil manažér pre informovanie a komunikáciu.</w:t>
      </w:r>
    </w:p>
    <w:p w14:paraId="306462CF" w14:textId="4CA1EB2D" w:rsidR="00A40EF0" w:rsidRPr="00A40EF0" w:rsidRDefault="00A40EF0" w:rsidP="00A264C6">
      <w:pPr>
        <w:pStyle w:val="Odsekzoznamu"/>
        <w:numPr>
          <w:ilvl w:val="0"/>
          <w:numId w:val="33"/>
        </w:numPr>
        <w:spacing w:before="120" w:after="120"/>
        <w:contextualSpacing w:val="0"/>
        <w:jc w:val="both"/>
      </w:pPr>
      <w:r w:rsidRPr="00A40EF0">
        <w:t>M</w:t>
      </w:r>
      <w:r w:rsidR="00A264C6" w:rsidRPr="00A264C6">
        <w:t>etódy vzdelávania administratívnych kapacít v zmysle Centrálneho plánu vzdelávania administratívnych kapacít EŠIF v programovom období 2014</w:t>
      </w:r>
      <w:r w:rsidR="00314454">
        <w:t xml:space="preserve"> </w:t>
      </w:r>
      <w:r w:rsidR="00A264C6" w:rsidRPr="00A264C6">
        <w:t>-</w:t>
      </w:r>
      <w:r w:rsidR="00314454">
        <w:t xml:space="preserve"> </w:t>
      </w:r>
      <w:r w:rsidR="00A264C6" w:rsidRPr="00A264C6">
        <w:t>2020.</w:t>
      </w:r>
      <w:r w:rsidRPr="00A40EF0">
        <w:t>:</w:t>
      </w:r>
    </w:p>
    <w:p w14:paraId="6615E8AA" w14:textId="06645939" w:rsidR="00A40EF0" w:rsidRPr="00A40EF0" w:rsidRDefault="00A40EF0" w:rsidP="00243F83">
      <w:pPr>
        <w:numPr>
          <w:ilvl w:val="0"/>
          <w:numId w:val="42"/>
        </w:numPr>
        <w:tabs>
          <w:tab w:val="clear" w:pos="720"/>
        </w:tabs>
        <w:spacing w:before="120" w:after="120"/>
        <w:ind w:left="851" w:hanging="425"/>
        <w:jc w:val="both"/>
      </w:pPr>
      <w:r w:rsidRPr="00A40EF0">
        <w:t xml:space="preserve">prezenčné vzdelávanie formou školení, prednášok, kurzov, seminárov, </w:t>
      </w:r>
      <w:proofErr w:type="spellStart"/>
      <w:r w:rsidRPr="00A40EF0">
        <w:t>workshopov</w:t>
      </w:r>
      <w:proofErr w:type="spellEnd"/>
      <w:r w:rsidRPr="00A40EF0">
        <w:t xml:space="preserve"> </w:t>
      </w:r>
      <w:r w:rsidR="00314454">
        <w:br/>
      </w:r>
      <w:r w:rsidRPr="00A40EF0">
        <w:t>a</w:t>
      </w:r>
      <w:r w:rsidR="00314454">
        <w:t xml:space="preserve"> </w:t>
      </w:r>
      <w:r w:rsidRPr="00A40EF0">
        <w:t>tréningov,</w:t>
      </w:r>
    </w:p>
    <w:p w14:paraId="718BBF69" w14:textId="3AEFA5BD" w:rsidR="00A40EF0" w:rsidRDefault="00A40EF0" w:rsidP="00A264C6">
      <w:pPr>
        <w:numPr>
          <w:ilvl w:val="0"/>
          <w:numId w:val="42"/>
        </w:numPr>
        <w:spacing w:before="120" w:after="120"/>
        <w:jc w:val="both"/>
      </w:pPr>
      <w:r w:rsidRPr="00A40EF0">
        <w:t> </w:t>
      </w:r>
      <w:r w:rsidR="00A264C6" w:rsidRPr="00A264C6">
        <w:t>odborné stáže a pracovné cesty zamestnancov zabezpečujúcich úlohy ÚV SR, RO OPTP a koordinátorov HP</w:t>
      </w:r>
      <w:r w:rsidRPr="00A40EF0">
        <w:t>.</w:t>
      </w:r>
    </w:p>
    <w:p w14:paraId="193B1070" w14:textId="77777777" w:rsidR="00A40EF0" w:rsidRDefault="00A40EF0" w:rsidP="00A40EF0">
      <w:pPr>
        <w:pStyle w:val="MPCKO1"/>
        <w:ind w:left="284" w:hanging="284"/>
      </w:pPr>
      <w:bookmarkStart w:id="16" w:name="_Toc469255077"/>
      <w:r>
        <w:t>8</w:t>
      </w:r>
      <w:r w:rsidRPr="00B37E57">
        <w:t xml:space="preserve"> </w:t>
      </w:r>
      <w:r>
        <w:t>Pojmy mediálnej komunikácie</w:t>
      </w:r>
      <w:bookmarkEnd w:id="16"/>
    </w:p>
    <w:p w14:paraId="09F264BE" w14:textId="77777777" w:rsidR="00CB6D66" w:rsidRPr="00CB6D66" w:rsidRDefault="00CB6D66" w:rsidP="00F01404">
      <w:pPr>
        <w:pStyle w:val="Odsekzoznamu"/>
        <w:numPr>
          <w:ilvl w:val="0"/>
          <w:numId w:val="34"/>
        </w:numPr>
        <w:spacing w:before="120" w:after="120"/>
        <w:contextualSpacing w:val="0"/>
        <w:jc w:val="both"/>
      </w:pPr>
      <w:r w:rsidRPr="00CB6D66">
        <w:t xml:space="preserve">Pri mediálnej komunikácii a pre jej efektívne naplánovanie treba poznať pojmy, ktoré sa v teórii a praxi používajú a porozumieť im. </w:t>
      </w:r>
    </w:p>
    <w:p w14:paraId="330F8E83" w14:textId="77777777" w:rsidR="00CB6D66" w:rsidRPr="00CB6D66" w:rsidRDefault="00CB6D66" w:rsidP="00F01404">
      <w:pPr>
        <w:pStyle w:val="MPCKO2"/>
      </w:pPr>
      <w:bookmarkStart w:id="17" w:name="_Toc469255078"/>
      <w:r>
        <w:t xml:space="preserve">8.1 </w:t>
      </w:r>
      <w:r w:rsidRPr="00CB6D66">
        <w:t>Základné mediálne parametre</w:t>
      </w:r>
      <w:bookmarkEnd w:id="17"/>
    </w:p>
    <w:p w14:paraId="76DB07FC" w14:textId="77777777" w:rsidR="00CB6D66" w:rsidRPr="00CB6D66" w:rsidRDefault="00CB6D66" w:rsidP="00F01404">
      <w:pPr>
        <w:pStyle w:val="Bezriadkovania"/>
        <w:numPr>
          <w:ilvl w:val="0"/>
          <w:numId w:val="43"/>
        </w:numPr>
        <w:spacing w:before="120" w:after="120"/>
        <w:ind w:left="426" w:hanging="426"/>
        <w:jc w:val="both"/>
        <w:rPr>
          <w:b/>
          <w:bCs/>
          <w:iCs/>
        </w:rPr>
      </w:pPr>
      <w:r w:rsidRPr="00CB6D66">
        <w:rPr>
          <w:b/>
          <w:bCs/>
          <w:iCs/>
        </w:rPr>
        <w:t xml:space="preserve">GRP – </w:t>
      </w:r>
      <w:proofErr w:type="spellStart"/>
      <w:r w:rsidRPr="00CB6D66">
        <w:rPr>
          <w:b/>
          <w:bCs/>
          <w:iCs/>
        </w:rPr>
        <w:t>Gross</w:t>
      </w:r>
      <w:proofErr w:type="spellEnd"/>
      <w:r w:rsidRPr="00CB6D66">
        <w:rPr>
          <w:b/>
          <w:bCs/>
          <w:iCs/>
        </w:rPr>
        <w:t xml:space="preserve"> Rating </w:t>
      </w:r>
      <w:proofErr w:type="spellStart"/>
      <w:r w:rsidRPr="00CB6D66">
        <w:rPr>
          <w:b/>
          <w:bCs/>
          <w:iCs/>
        </w:rPr>
        <w:t>Points</w:t>
      </w:r>
      <w:proofErr w:type="spellEnd"/>
      <w:r w:rsidRPr="00CB6D66">
        <w:rPr>
          <w:b/>
          <w:bCs/>
          <w:iCs/>
        </w:rPr>
        <w:t xml:space="preserve"> (hrubý zásah cieľovej skupiny) – RATING:</w:t>
      </w:r>
    </w:p>
    <w:p w14:paraId="4BCE4AED" w14:textId="77777777" w:rsidR="00CB6D66" w:rsidRPr="00CB6D66" w:rsidRDefault="00CB6D66" w:rsidP="00F01404">
      <w:pPr>
        <w:pStyle w:val="Bezriadkovania"/>
        <w:spacing w:before="120" w:after="120"/>
        <w:ind w:left="426"/>
        <w:jc w:val="both"/>
      </w:pPr>
      <w:r w:rsidRPr="00CB6D66">
        <w:lastRenderedPageBreak/>
        <w:t>Rating určuje počet oslovení jedného percenta populácie, pričom populácia v mediálnom chápaní sú ľudia vo veku 12 – 79 rokov (TV), resp. ľudia vo veku 14 – 79 rokov (</w:t>
      </w:r>
      <w:proofErr w:type="spellStart"/>
      <w:r w:rsidRPr="00CB6D66">
        <w:t>printy</w:t>
      </w:r>
      <w:proofErr w:type="spellEnd"/>
      <w:r w:rsidRPr="00CB6D66">
        <w:t>, rádiá):</w:t>
      </w:r>
    </w:p>
    <w:p w14:paraId="441D5404" w14:textId="77777777" w:rsidR="00CB6D66" w:rsidRPr="00CB6D66" w:rsidRDefault="00CB6D66" w:rsidP="00F01404">
      <w:pPr>
        <w:pStyle w:val="Bezriadkovania"/>
        <w:spacing w:before="120" w:after="120"/>
        <w:ind w:left="426"/>
        <w:jc w:val="both"/>
      </w:pPr>
      <w:r w:rsidRPr="00CB6D66">
        <w:t>1 GRP = 1 % populácie zasiahnuté 1x.</w:t>
      </w:r>
    </w:p>
    <w:p w14:paraId="342D0933" w14:textId="4A3895F3" w:rsidR="00CB6D66" w:rsidRPr="00CB6D66" w:rsidRDefault="00CB6D66" w:rsidP="00F01404">
      <w:pPr>
        <w:pStyle w:val="Bezriadkovania"/>
        <w:spacing w:before="120" w:after="120"/>
        <w:ind w:left="426"/>
        <w:jc w:val="both"/>
      </w:pPr>
      <w:r w:rsidRPr="00CB6D66">
        <w:t>Tento</w:t>
      </w:r>
      <w:r w:rsidRPr="00CB6D66">
        <w:rPr>
          <w:bCs/>
          <w:iCs/>
        </w:rPr>
        <w:t xml:space="preserve"> pojem </w:t>
      </w:r>
      <w:r w:rsidRPr="00CB6D66">
        <w:t>určuje pravidelnú sledovanosť (pokrytie) vybraného média cieľovou skupinou, teda v</w:t>
      </w:r>
      <w:r w:rsidR="00314454">
        <w:t xml:space="preserve"> </w:t>
      </w:r>
      <w:r w:rsidRPr="00CB6D66">
        <w:t>prípade TV je to sledovanosť, v</w:t>
      </w:r>
      <w:r w:rsidR="00314454">
        <w:t xml:space="preserve"> </w:t>
      </w:r>
      <w:r w:rsidRPr="00CB6D66">
        <w:t>prípade rádia počúvanosť a</w:t>
      </w:r>
      <w:r w:rsidR="00314454">
        <w:t xml:space="preserve"> v </w:t>
      </w:r>
      <w:r w:rsidRPr="00CB6D66">
        <w:t xml:space="preserve">prípade tlačových médií </w:t>
      </w:r>
      <w:proofErr w:type="spellStart"/>
      <w:r w:rsidRPr="00CB6D66">
        <w:t>čítanosť</w:t>
      </w:r>
      <w:proofErr w:type="spellEnd"/>
      <w:r w:rsidRPr="00CB6D66">
        <w:t xml:space="preserve">. Pri zohľadnení tohto kritéria sú najvhodnejšie médiá s čo najvyšším GRP. </w:t>
      </w:r>
    </w:p>
    <w:p w14:paraId="3EC6CB02" w14:textId="77777777" w:rsidR="00CB6D66" w:rsidRPr="00CB6D66" w:rsidRDefault="00CB6D66" w:rsidP="00F01404">
      <w:pPr>
        <w:pStyle w:val="Bezriadkovania"/>
        <w:spacing w:before="120" w:after="120"/>
        <w:ind w:left="426"/>
        <w:jc w:val="both"/>
      </w:pPr>
      <w:r w:rsidRPr="00CB6D66">
        <w:t xml:space="preserve">Takisto sa používa aj pojem hrubý zásah cieľovej skupiny  alebo </w:t>
      </w:r>
      <w:proofErr w:type="spellStart"/>
      <w:r w:rsidRPr="00CB6D66">
        <w:t>Target</w:t>
      </w:r>
      <w:proofErr w:type="spellEnd"/>
      <w:r w:rsidRPr="00CB6D66">
        <w:t xml:space="preserve"> Rating Point (TRP), kde </w:t>
      </w:r>
    </w:p>
    <w:p w14:paraId="6B66F1A0" w14:textId="77777777" w:rsidR="00CB6D66" w:rsidRPr="00CB6D66" w:rsidRDefault="00CB6D66" w:rsidP="00F01404">
      <w:pPr>
        <w:pStyle w:val="Bezriadkovania"/>
        <w:spacing w:before="120" w:after="120"/>
        <w:ind w:left="426"/>
        <w:jc w:val="both"/>
      </w:pPr>
      <w:r w:rsidRPr="00CB6D66">
        <w:t>1 TRP = 1 % cieľovej skupiny – TA (</w:t>
      </w:r>
      <w:proofErr w:type="spellStart"/>
      <w:r w:rsidRPr="00CB6D66">
        <w:t>Target</w:t>
      </w:r>
      <w:proofErr w:type="spellEnd"/>
      <w:r w:rsidRPr="00CB6D66">
        <w:t xml:space="preserve"> </w:t>
      </w:r>
      <w:proofErr w:type="spellStart"/>
      <w:r w:rsidRPr="00CB6D66">
        <w:t>Audience</w:t>
      </w:r>
      <w:proofErr w:type="spellEnd"/>
      <w:r w:rsidRPr="00CB6D66">
        <w:t>).</w:t>
      </w:r>
    </w:p>
    <w:p w14:paraId="456440F5" w14:textId="77777777" w:rsidR="00387AE6" w:rsidRPr="00CB6D66" w:rsidRDefault="00387AE6" w:rsidP="00F01404">
      <w:pPr>
        <w:pStyle w:val="Bezriadkovania"/>
        <w:spacing w:before="120" w:after="120"/>
        <w:ind w:left="426"/>
        <w:jc w:val="both"/>
      </w:pPr>
    </w:p>
    <w:p w14:paraId="17927132" w14:textId="77777777" w:rsidR="00CB6D66" w:rsidRPr="00CB6D66" w:rsidRDefault="00CB6D66" w:rsidP="00F01404">
      <w:pPr>
        <w:pStyle w:val="Bezriadkovania"/>
        <w:spacing w:before="120" w:after="120"/>
        <w:ind w:left="426"/>
        <w:jc w:val="both"/>
      </w:pPr>
      <w:r w:rsidRPr="00CB6D66">
        <w:t>V prípade televízie je takisto dôležité poznať rozdiel medzi GRP (ratingom) a </w:t>
      </w:r>
      <w:proofErr w:type="spellStart"/>
      <w:r w:rsidRPr="00CB6D66">
        <w:t>Share</w:t>
      </w:r>
      <w:proofErr w:type="spellEnd"/>
      <w:r w:rsidRPr="00CB6D66">
        <w:t xml:space="preserve"> (podielom na trhu). Na zobrazenie úspechu relácie v danom období a čase slúži ukazovateľ podielu na trhu – </w:t>
      </w:r>
      <w:proofErr w:type="spellStart"/>
      <w:r w:rsidRPr="00CB6D66">
        <w:t>Share</w:t>
      </w:r>
      <w:proofErr w:type="spellEnd"/>
      <w:r w:rsidRPr="00CB6D66">
        <w:t>.</w:t>
      </w:r>
    </w:p>
    <w:p w14:paraId="680D4FF2" w14:textId="77777777" w:rsidR="00CB6D66" w:rsidRPr="00CB6D66" w:rsidRDefault="00CB6D66" w:rsidP="00F01404">
      <w:pPr>
        <w:pStyle w:val="Bezriadkovania"/>
        <w:numPr>
          <w:ilvl w:val="0"/>
          <w:numId w:val="43"/>
        </w:numPr>
        <w:spacing w:before="120" w:after="120"/>
        <w:ind w:left="426" w:hanging="426"/>
        <w:jc w:val="both"/>
        <w:rPr>
          <w:b/>
          <w:bCs/>
          <w:iCs/>
        </w:rPr>
      </w:pPr>
      <w:proofErr w:type="spellStart"/>
      <w:r w:rsidRPr="00CB6D66">
        <w:rPr>
          <w:b/>
          <w:bCs/>
          <w:iCs/>
        </w:rPr>
        <w:t>Net</w:t>
      </w:r>
      <w:proofErr w:type="spellEnd"/>
      <w:r w:rsidRPr="00CB6D66">
        <w:rPr>
          <w:b/>
          <w:bCs/>
          <w:iCs/>
        </w:rPr>
        <w:t xml:space="preserve"> </w:t>
      </w:r>
      <w:proofErr w:type="spellStart"/>
      <w:r w:rsidRPr="00CB6D66">
        <w:rPr>
          <w:b/>
          <w:bCs/>
          <w:iCs/>
        </w:rPr>
        <w:t>Reach</w:t>
      </w:r>
      <w:proofErr w:type="spellEnd"/>
      <w:r w:rsidRPr="00CB6D66">
        <w:rPr>
          <w:b/>
          <w:bCs/>
          <w:iCs/>
        </w:rPr>
        <w:t xml:space="preserve"> (čistý zásah cieľovej skupiny):</w:t>
      </w:r>
    </w:p>
    <w:p w14:paraId="61C0ED60" w14:textId="77DD797E" w:rsidR="00CB6D66" w:rsidRPr="00CB6D66" w:rsidRDefault="00CB6D66" w:rsidP="00F01404">
      <w:pPr>
        <w:pStyle w:val="Bezriadkovania"/>
        <w:spacing w:before="120" w:after="120"/>
        <w:ind w:left="426"/>
        <w:jc w:val="both"/>
      </w:pPr>
      <w:r w:rsidRPr="00CB6D66">
        <w:t>Tento parameter určuje skutočne zasiahnuté percento cieľovej skupiny v</w:t>
      </w:r>
      <w:r w:rsidR="00314454">
        <w:t xml:space="preserve"> </w:t>
      </w:r>
      <w:r w:rsidRPr="00CB6D66">
        <w:t xml:space="preserve">kampani. Maximálna výška </w:t>
      </w:r>
      <w:proofErr w:type="spellStart"/>
      <w:r w:rsidRPr="00CB6D66">
        <w:t>Net</w:t>
      </w:r>
      <w:proofErr w:type="spellEnd"/>
      <w:r w:rsidRPr="00CB6D66">
        <w:t xml:space="preserve"> </w:t>
      </w:r>
      <w:proofErr w:type="spellStart"/>
      <w:r w:rsidRPr="00CB6D66">
        <w:t>Reachu</w:t>
      </w:r>
      <w:proofErr w:type="spellEnd"/>
      <w:r w:rsidRPr="00CB6D66">
        <w:t xml:space="preserve"> môže mať hodnotu 100 (t. j. 100 % zásah cieľovej skupiny), a to v prípade, že každý člen cieľovej skupiny sleduje aspoň jedno z médií v kampani.</w:t>
      </w:r>
    </w:p>
    <w:p w14:paraId="415F5C62" w14:textId="77777777" w:rsidR="00CB6D66" w:rsidRPr="00CB6D66" w:rsidRDefault="00CB6D66" w:rsidP="00F01404">
      <w:pPr>
        <w:pStyle w:val="Bezriadkovania"/>
        <w:spacing w:before="120" w:after="120"/>
        <w:ind w:left="426"/>
        <w:jc w:val="both"/>
      </w:pPr>
      <w:r w:rsidRPr="00CB6D66">
        <w:t xml:space="preserve">Výpočet </w:t>
      </w:r>
      <w:proofErr w:type="spellStart"/>
      <w:r w:rsidRPr="00CB6D66">
        <w:t>Net</w:t>
      </w:r>
      <w:proofErr w:type="spellEnd"/>
      <w:r w:rsidRPr="00CB6D66">
        <w:t xml:space="preserve"> </w:t>
      </w:r>
      <w:proofErr w:type="spellStart"/>
      <w:r w:rsidRPr="00CB6D66">
        <w:t>Reachu</w:t>
      </w:r>
      <w:proofErr w:type="spellEnd"/>
      <w:r w:rsidRPr="00CB6D66">
        <w:t xml:space="preserve"> nerobia mediálne agentúry takýmto klasickým „ručným“ výpočtom, pretože pri širšom spektre médií použitých v mediálnom pláne by bolo takéto počítanie náročné.</w:t>
      </w:r>
    </w:p>
    <w:p w14:paraId="0267F3A5" w14:textId="77777777" w:rsidR="00CB6D66" w:rsidRPr="00CB6D66" w:rsidRDefault="00CB6D66" w:rsidP="00F01404">
      <w:pPr>
        <w:pStyle w:val="Bezriadkovania"/>
        <w:numPr>
          <w:ilvl w:val="0"/>
          <w:numId w:val="43"/>
        </w:numPr>
        <w:spacing w:before="120" w:after="120"/>
        <w:ind w:left="426" w:hanging="426"/>
        <w:jc w:val="both"/>
        <w:rPr>
          <w:b/>
          <w:bCs/>
          <w:iCs/>
        </w:rPr>
      </w:pPr>
      <w:proofErr w:type="spellStart"/>
      <w:r w:rsidRPr="00CB6D66">
        <w:rPr>
          <w:b/>
          <w:bCs/>
          <w:iCs/>
        </w:rPr>
        <w:t>Frequency</w:t>
      </w:r>
      <w:proofErr w:type="spellEnd"/>
      <w:r w:rsidRPr="00CB6D66">
        <w:rPr>
          <w:b/>
          <w:bCs/>
          <w:iCs/>
        </w:rPr>
        <w:t xml:space="preserve"> </w:t>
      </w:r>
      <w:proofErr w:type="spellStart"/>
      <w:r w:rsidRPr="00CB6D66">
        <w:rPr>
          <w:b/>
          <w:bCs/>
          <w:iCs/>
        </w:rPr>
        <w:t>of</w:t>
      </w:r>
      <w:proofErr w:type="spellEnd"/>
      <w:r w:rsidRPr="00CB6D66">
        <w:rPr>
          <w:b/>
          <w:bCs/>
          <w:iCs/>
        </w:rPr>
        <w:t xml:space="preserve"> </w:t>
      </w:r>
      <w:proofErr w:type="spellStart"/>
      <w:r w:rsidRPr="00CB6D66">
        <w:rPr>
          <w:b/>
          <w:bCs/>
          <w:iCs/>
        </w:rPr>
        <w:t>Reach</w:t>
      </w:r>
      <w:proofErr w:type="spellEnd"/>
      <w:r w:rsidRPr="00CB6D66">
        <w:rPr>
          <w:b/>
          <w:bCs/>
          <w:iCs/>
        </w:rPr>
        <w:t xml:space="preserve"> (frekvencia zásahu):</w:t>
      </w:r>
    </w:p>
    <w:p w14:paraId="68FAC4D3" w14:textId="77777777" w:rsidR="00CB6D66" w:rsidRPr="00CB6D66" w:rsidRDefault="00CB6D66" w:rsidP="00F01404">
      <w:pPr>
        <w:pStyle w:val="Bezriadkovania"/>
        <w:spacing w:before="120" w:after="120"/>
        <w:ind w:left="426"/>
        <w:jc w:val="both"/>
      </w:pPr>
      <w:r w:rsidRPr="00CB6D66">
        <w:t xml:space="preserve">Tento parameter vyjadruje priemerný počet kontaktov našou reklamou skutočne zasiahnutej časti cieľovej skupiny. </w:t>
      </w:r>
    </w:p>
    <w:p w14:paraId="775DC238" w14:textId="77777777" w:rsidR="00CB6D66" w:rsidRPr="00CB6D66" w:rsidRDefault="00CB6D66" w:rsidP="00F01404">
      <w:pPr>
        <w:pStyle w:val="Bezriadkovania"/>
        <w:numPr>
          <w:ilvl w:val="0"/>
          <w:numId w:val="43"/>
        </w:numPr>
        <w:spacing w:before="120" w:after="120"/>
        <w:ind w:left="426" w:hanging="426"/>
        <w:jc w:val="both"/>
        <w:rPr>
          <w:b/>
          <w:bCs/>
          <w:iCs/>
        </w:rPr>
      </w:pPr>
      <w:proofErr w:type="spellStart"/>
      <w:r w:rsidRPr="00CB6D66">
        <w:rPr>
          <w:b/>
          <w:bCs/>
          <w:iCs/>
        </w:rPr>
        <w:t>Cost</w:t>
      </w:r>
      <w:proofErr w:type="spellEnd"/>
      <w:r w:rsidRPr="00CB6D66">
        <w:rPr>
          <w:b/>
          <w:bCs/>
          <w:iCs/>
        </w:rPr>
        <w:t xml:space="preserve"> per Point (náklady na zasiahnutie 1 percentuálneho bodu CS):</w:t>
      </w:r>
    </w:p>
    <w:p w14:paraId="62F0E0F1" w14:textId="77777777" w:rsidR="00CB6D66" w:rsidRPr="00CB6D66" w:rsidRDefault="00CB6D66" w:rsidP="00F01404">
      <w:pPr>
        <w:pStyle w:val="Bezriadkovania"/>
        <w:spacing w:before="120" w:after="120"/>
        <w:ind w:left="426"/>
        <w:jc w:val="both"/>
      </w:pPr>
      <w:r w:rsidRPr="00CB6D66">
        <w:t>Určuje teoretické náklady potrebné na oslovenie jedného percenta cieľovej skupiny. Pri zohľadnení tohto kritéria sú najvhodnejšie médiá s čo najnižším CPP, takže čím nižšie CPP, tým výhodnejší nákup.</w:t>
      </w:r>
    </w:p>
    <w:p w14:paraId="4DF26E78" w14:textId="77777777" w:rsidR="00CB6D66" w:rsidRPr="00CB6D66" w:rsidRDefault="00CB6D66" w:rsidP="00F01404">
      <w:pPr>
        <w:pStyle w:val="Bezriadkovania"/>
        <w:numPr>
          <w:ilvl w:val="0"/>
          <w:numId w:val="43"/>
        </w:numPr>
        <w:spacing w:before="120" w:after="120"/>
        <w:ind w:left="426" w:hanging="426"/>
        <w:jc w:val="both"/>
        <w:rPr>
          <w:b/>
          <w:bCs/>
          <w:iCs/>
        </w:rPr>
      </w:pPr>
      <w:proofErr w:type="spellStart"/>
      <w:r w:rsidRPr="00CB6D66">
        <w:rPr>
          <w:b/>
          <w:bCs/>
          <w:iCs/>
        </w:rPr>
        <w:t>Cost</w:t>
      </w:r>
      <w:proofErr w:type="spellEnd"/>
      <w:r w:rsidRPr="00CB6D66">
        <w:rPr>
          <w:b/>
          <w:bCs/>
          <w:iCs/>
        </w:rPr>
        <w:t xml:space="preserve"> per </w:t>
      </w:r>
      <w:proofErr w:type="spellStart"/>
      <w:r w:rsidRPr="00CB6D66">
        <w:rPr>
          <w:b/>
          <w:bCs/>
          <w:iCs/>
        </w:rPr>
        <w:t>Thousand</w:t>
      </w:r>
      <w:proofErr w:type="spellEnd"/>
      <w:r w:rsidRPr="00CB6D66">
        <w:rPr>
          <w:b/>
          <w:bCs/>
          <w:iCs/>
        </w:rPr>
        <w:t xml:space="preserve"> (náklady na tisíc zasiahnutí):</w:t>
      </w:r>
    </w:p>
    <w:p w14:paraId="6884C12A" w14:textId="77777777" w:rsidR="00CB6D66" w:rsidRPr="00CB6D66" w:rsidRDefault="00CB6D66" w:rsidP="00F01404">
      <w:pPr>
        <w:pStyle w:val="Bezriadkovania"/>
        <w:spacing w:before="120" w:after="120"/>
        <w:ind w:left="426"/>
        <w:jc w:val="both"/>
      </w:pPr>
      <w:r w:rsidRPr="00CB6D66">
        <w:t>Je veľmi podobným parametrom ako CPP (</w:t>
      </w:r>
      <w:proofErr w:type="spellStart"/>
      <w:r w:rsidRPr="00CB6D66">
        <w:t>Cost</w:t>
      </w:r>
      <w:proofErr w:type="spellEnd"/>
      <w:r w:rsidRPr="00CB6D66">
        <w:t xml:space="preserve"> per Point). Parameter </w:t>
      </w:r>
      <w:proofErr w:type="spellStart"/>
      <w:r w:rsidRPr="00CB6D66">
        <w:t>Cost</w:t>
      </w:r>
      <w:proofErr w:type="spellEnd"/>
      <w:r w:rsidRPr="00CB6D66">
        <w:t xml:space="preserve"> per </w:t>
      </w:r>
      <w:proofErr w:type="spellStart"/>
      <w:r w:rsidRPr="00CB6D66">
        <w:t>Thousand</w:t>
      </w:r>
      <w:proofErr w:type="spellEnd"/>
      <w:r w:rsidRPr="00CB6D66">
        <w:t xml:space="preserve"> určuje teoretické náklady potrebné na tisíc odovzdaní vo vybranom médiu. Aj pri tomto kritériu platí, že najvhodnejšie sú médiá s čo najnižším CPT.</w:t>
      </w:r>
    </w:p>
    <w:p w14:paraId="47F364B7" w14:textId="77777777" w:rsidR="00CB6D66" w:rsidRPr="00CB6D66" w:rsidRDefault="00CB6D66" w:rsidP="00F01404">
      <w:pPr>
        <w:pStyle w:val="Bezriadkovania"/>
        <w:numPr>
          <w:ilvl w:val="0"/>
          <w:numId w:val="43"/>
        </w:numPr>
        <w:spacing w:before="120" w:after="120"/>
        <w:ind w:left="426" w:hanging="426"/>
        <w:jc w:val="both"/>
        <w:rPr>
          <w:b/>
          <w:bCs/>
          <w:iCs/>
        </w:rPr>
      </w:pPr>
      <w:r w:rsidRPr="00CB6D66">
        <w:rPr>
          <w:b/>
          <w:bCs/>
          <w:iCs/>
        </w:rPr>
        <w:t xml:space="preserve">T. A. I. – </w:t>
      </w:r>
      <w:proofErr w:type="spellStart"/>
      <w:r w:rsidRPr="00CB6D66">
        <w:rPr>
          <w:b/>
          <w:bCs/>
          <w:iCs/>
        </w:rPr>
        <w:t>Affinity</w:t>
      </w:r>
      <w:proofErr w:type="spellEnd"/>
      <w:r w:rsidRPr="00CB6D66">
        <w:rPr>
          <w:b/>
          <w:bCs/>
          <w:iCs/>
        </w:rPr>
        <w:t xml:space="preserve"> index (index vhodnosti alebo index afinity):</w:t>
      </w:r>
    </w:p>
    <w:p w14:paraId="5F6B8F01" w14:textId="77777777" w:rsidR="00CB6D66" w:rsidRPr="00CB6D66" w:rsidRDefault="00CB6D66" w:rsidP="00F01404">
      <w:pPr>
        <w:pStyle w:val="Bezriadkovania"/>
        <w:spacing w:before="120" w:after="120"/>
        <w:ind w:left="426"/>
        <w:jc w:val="both"/>
      </w:pPr>
      <w:r w:rsidRPr="00CB6D66">
        <w:t>Index afinity hodnotí stupeň vhodnosti alebo špecializácie média práve pre našu cieľovú skupinu, najčastejšie sa vypočítava ako pomer medzi hrubým zásahom našej cieľovej skupiny a hrubým zásahom cieľovej skupiny „Všetci“.</w:t>
      </w:r>
    </w:p>
    <w:p w14:paraId="3C5A00FD" w14:textId="77777777" w:rsidR="00CB6D66" w:rsidRPr="00CB6D66" w:rsidRDefault="00CB6D66" w:rsidP="00F01404">
      <w:pPr>
        <w:pStyle w:val="Bezriadkovania"/>
        <w:spacing w:before="120" w:after="120"/>
        <w:ind w:left="426"/>
        <w:jc w:val="both"/>
      </w:pPr>
      <w:r w:rsidRPr="00CB6D66">
        <w:t>Príklad:</w:t>
      </w:r>
    </w:p>
    <w:p w14:paraId="63E4CBC4" w14:textId="77777777" w:rsidR="00CB6D66" w:rsidRPr="00CB6D66" w:rsidRDefault="00CB6D66" w:rsidP="00F01404">
      <w:pPr>
        <w:pStyle w:val="Bezriadkovania"/>
        <w:spacing w:before="120" w:after="120"/>
        <w:ind w:left="426"/>
        <w:jc w:val="both"/>
      </w:pPr>
      <w:r w:rsidRPr="00CB6D66">
        <w:t xml:space="preserve">Máme rozhodnúť, ktoré médium z hľadiska špecializácie je pre nášho klienta, keď chce osloviť vysokoškolsky vzdelaných ľudí, vhodnejšie. </w:t>
      </w:r>
    </w:p>
    <w:p w14:paraId="5B6A0095" w14:textId="77777777" w:rsidR="00CB6D66" w:rsidRPr="00CB6D66" w:rsidRDefault="00CB6D66" w:rsidP="00F01404">
      <w:pPr>
        <w:pStyle w:val="Bezriadkovania"/>
        <w:spacing w:before="120" w:after="120"/>
        <w:ind w:left="426"/>
        <w:jc w:val="both"/>
      </w:pPr>
      <w:r w:rsidRPr="00CB6D66">
        <w:lastRenderedPageBreak/>
        <w:t>Médium A číta 30 % populácie a 20 % ľudí s vysokoškolským vzdelaním.</w:t>
      </w:r>
    </w:p>
    <w:p w14:paraId="0CA540EE" w14:textId="77777777" w:rsidR="00CB6D66" w:rsidRPr="00CB6D66" w:rsidRDefault="00CB6D66" w:rsidP="00F01404">
      <w:pPr>
        <w:pStyle w:val="Bezriadkovania"/>
        <w:spacing w:before="120" w:after="120"/>
        <w:ind w:left="426"/>
        <w:jc w:val="both"/>
      </w:pPr>
      <w:r w:rsidRPr="00CB6D66">
        <w:t>Médium B číta 12 % populácie a 15 % ľudí s vysokoškolským vzdelaním.</w:t>
      </w:r>
    </w:p>
    <w:p w14:paraId="3AB8940C" w14:textId="77777777" w:rsidR="00CB6D66" w:rsidRPr="00CB6D66" w:rsidRDefault="00CB6D66" w:rsidP="00F01404">
      <w:pPr>
        <w:pStyle w:val="Bezriadkovania"/>
        <w:spacing w:before="120" w:after="120"/>
        <w:ind w:left="426"/>
        <w:jc w:val="both"/>
      </w:pPr>
      <w:r w:rsidRPr="00CB6D66">
        <w:t>Afinita médium A = 20/30 = 0,67</w:t>
      </w:r>
    </w:p>
    <w:p w14:paraId="561462EE" w14:textId="77777777" w:rsidR="00CB6D66" w:rsidRPr="00CB6D66" w:rsidRDefault="00CB6D66" w:rsidP="00F01404">
      <w:pPr>
        <w:pStyle w:val="Bezriadkovania"/>
        <w:spacing w:before="120" w:after="120"/>
        <w:ind w:left="426"/>
        <w:jc w:val="both"/>
      </w:pPr>
      <w:r w:rsidRPr="00CB6D66">
        <w:t>Afinita médium B = 15/12 = 1,25</w:t>
      </w:r>
    </w:p>
    <w:p w14:paraId="672424BE" w14:textId="77777777" w:rsidR="00CB6D66" w:rsidRPr="00CB6D66" w:rsidRDefault="00CB6D66" w:rsidP="00F01404">
      <w:pPr>
        <w:pStyle w:val="Bezriadkovania"/>
        <w:spacing w:before="120" w:after="120"/>
        <w:ind w:left="426"/>
        <w:jc w:val="both"/>
      </w:pPr>
    </w:p>
    <w:p w14:paraId="70A27685" w14:textId="77777777" w:rsidR="00CB6D66" w:rsidRPr="00CB6D66" w:rsidRDefault="00CB6D66" w:rsidP="00F01404">
      <w:pPr>
        <w:pStyle w:val="Bezriadkovania"/>
        <w:spacing w:before="120" w:after="120"/>
        <w:ind w:left="426"/>
        <w:jc w:val="both"/>
      </w:pPr>
      <w:r w:rsidRPr="00CB6D66">
        <w:t>Z hľadiska vhodnosti alebo špecifikácie je odporúčané médium B, lebo napriek nižšiemu hrubému zásahu je pravdepodobne bližšie k našej cieľovej skupine, t. j. táto ho číta, sleduje, počúva viac ako populácia. Vo všeobecnosti sa za vhodné médiá považujú médiá s afinitou rovnou alebo väčšou ako jedna (alebo 100).</w:t>
      </w:r>
    </w:p>
    <w:p w14:paraId="23A9C2EE" w14:textId="77777777" w:rsidR="00CB6D66" w:rsidRPr="00CB6D66" w:rsidRDefault="00CB6D66" w:rsidP="00F01404">
      <w:pPr>
        <w:pStyle w:val="Bezriadkovania"/>
        <w:numPr>
          <w:ilvl w:val="0"/>
          <w:numId w:val="43"/>
        </w:numPr>
        <w:spacing w:before="120" w:after="120"/>
        <w:ind w:left="426" w:hanging="426"/>
        <w:jc w:val="both"/>
        <w:rPr>
          <w:b/>
          <w:bCs/>
          <w:iCs/>
        </w:rPr>
      </w:pPr>
      <w:proofErr w:type="spellStart"/>
      <w:r w:rsidRPr="00CB6D66">
        <w:rPr>
          <w:b/>
          <w:bCs/>
          <w:iCs/>
        </w:rPr>
        <w:t>Average</w:t>
      </w:r>
      <w:proofErr w:type="spellEnd"/>
      <w:r w:rsidRPr="00CB6D66">
        <w:rPr>
          <w:b/>
          <w:bCs/>
          <w:iCs/>
        </w:rPr>
        <w:t xml:space="preserve"> </w:t>
      </w:r>
      <w:proofErr w:type="spellStart"/>
      <w:r w:rsidRPr="00CB6D66">
        <w:rPr>
          <w:b/>
          <w:bCs/>
          <w:iCs/>
        </w:rPr>
        <w:t>Frequency</w:t>
      </w:r>
      <w:proofErr w:type="spellEnd"/>
      <w:r w:rsidRPr="00CB6D66">
        <w:rPr>
          <w:b/>
          <w:bCs/>
          <w:iCs/>
        </w:rPr>
        <w:t xml:space="preserve"> (Priemerná frekvencia) </w:t>
      </w:r>
    </w:p>
    <w:p w14:paraId="42A7EC9E" w14:textId="77777777" w:rsidR="00CB6D66" w:rsidRPr="00CB6D66" w:rsidRDefault="00CB6D66" w:rsidP="00F01404">
      <w:pPr>
        <w:pStyle w:val="Bezriadkovania"/>
        <w:spacing w:before="120" w:after="120"/>
        <w:ind w:left="426"/>
        <w:jc w:val="both"/>
      </w:pPr>
      <w:proofErr w:type="spellStart"/>
      <w:r w:rsidRPr="00CB6D66">
        <w:t>Average</w:t>
      </w:r>
      <w:proofErr w:type="spellEnd"/>
      <w:r w:rsidRPr="00CB6D66">
        <w:t xml:space="preserve"> </w:t>
      </w:r>
      <w:proofErr w:type="spellStart"/>
      <w:r w:rsidRPr="00CB6D66">
        <w:t>Frequency</w:t>
      </w:r>
      <w:proofErr w:type="spellEnd"/>
      <w:r w:rsidRPr="00CB6D66">
        <w:t xml:space="preserve">  je číslo, ktoré vyjadruje koľkokrát bol človek vystavený pôsobeniu reklamného odkazu</w:t>
      </w:r>
    </w:p>
    <w:p w14:paraId="3F2D402A" w14:textId="77777777" w:rsidR="00CB6D66" w:rsidRPr="00CB6D66" w:rsidRDefault="00CB6D66" w:rsidP="00F01404">
      <w:pPr>
        <w:pStyle w:val="Bezriadkovania"/>
        <w:numPr>
          <w:ilvl w:val="0"/>
          <w:numId w:val="43"/>
        </w:numPr>
        <w:spacing w:before="120" w:after="120"/>
        <w:ind w:left="426" w:hanging="426"/>
        <w:jc w:val="both"/>
        <w:rPr>
          <w:b/>
          <w:bCs/>
          <w:iCs/>
        </w:rPr>
      </w:pPr>
      <w:proofErr w:type="spellStart"/>
      <w:r w:rsidRPr="00CB6D66">
        <w:rPr>
          <w:b/>
          <w:bCs/>
          <w:iCs/>
        </w:rPr>
        <w:t>Effective</w:t>
      </w:r>
      <w:proofErr w:type="spellEnd"/>
      <w:r w:rsidRPr="00CB6D66">
        <w:rPr>
          <w:b/>
          <w:bCs/>
          <w:iCs/>
        </w:rPr>
        <w:t xml:space="preserve"> </w:t>
      </w:r>
      <w:proofErr w:type="spellStart"/>
      <w:r w:rsidRPr="00CB6D66">
        <w:rPr>
          <w:b/>
          <w:bCs/>
          <w:iCs/>
        </w:rPr>
        <w:t>Frequency</w:t>
      </w:r>
      <w:proofErr w:type="spellEnd"/>
      <w:r w:rsidRPr="00CB6D66">
        <w:rPr>
          <w:b/>
          <w:bCs/>
          <w:iCs/>
        </w:rPr>
        <w:t xml:space="preserve"> (Efektívna frekvencia) </w:t>
      </w:r>
    </w:p>
    <w:p w14:paraId="46037222" w14:textId="77777777" w:rsidR="00CB6D66" w:rsidRPr="00CB6D66" w:rsidRDefault="00CB6D66" w:rsidP="00F01404">
      <w:pPr>
        <w:pStyle w:val="Bezriadkovania"/>
        <w:spacing w:before="120" w:after="120"/>
        <w:ind w:left="426"/>
        <w:jc w:val="both"/>
      </w:pPr>
      <w:proofErr w:type="spellStart"/>
      <w:r w:rsidRPr="00CB6D66">
        <w:t>Effective</w:t>
      </w:r>
      <w:proofErr w:type="spellEnd"/>
      <w:r w:rsidRPr="00CB6D66">
        <w:t xml:space="preserve"> </w:t>
      </w:r>
      <w:proofErr w:type="spellStart"/>
      <w:r w:rsidRPr="00CB6D66">
        <w:t>Frequency</w:t>
      </w:r>
      <w:proofErr w:type="spellEnd"/>
      <w:r w:rsidRPr="00CB6D66">
        <w:t xml:space="preserve"> predstavuje minimálny počet </w:t>
      </w:r>
      <w:proofErr w:type="spellStart"/>
      <w:r w:rsidRPr="00CB6D66">
        <w:t>zhliadnutí</w:t>
      </w:r>
      <w:proofErr w:type="spellEnd"/>
      <w:r w:rsidRPr="00CB6D66">
        <w:t xml:space="preserve"> reklamy potrebných na to, aby si ju človek zapamätal.</w:t>
      </w:r>
    </w:p>
    <w:p w14:paraId="0D3E6B41" w14:textId="77777777" w:rsidR="00CB6D66" w:rsidRPr="00CB6D66" w:rsidRDefault="00CB6D66" w:rsidP="00F01404">
      <w:pPr>
        <w:pStyle w:val="Bezriadkovania"/>
        <w:numPr>
          <w:ilvl w:val="0"/>
          <w:numId w:val="43"/>
        </w:numPr>
        <w:spacing w:before="120" w:after="120"/>
        <w:ind w:left="426" w:hanging="426"/>
        <w:jc w:val="both"/>
        <w:rPr>
          <w:b/>
          <w:bCs/>
          <w:iCs/>
        </w:rPr>
      </w:pPr>
      <w:proofErr w:type="spellStart"/>
      <w:r w:rsidRPr="00CB6D66">
        <w:rPr>
          <w:b/>
          <w:bCs/>
          <w:iCs/>
        </w:rPr>
        <w:t>Impressions</w:t>
      </w:r>
      <w:proofErr w:type="spellEnd"/>
      <w:r w:rsidRPr="00CB6D66">
        <w:rPr>
          <w:b/>
          <w:bCs/>
          <w:iCs/>
        </w:rPr>
        <w:t>/Impresie</w:t>
      </w:r>
    </w:p>
    <w:p w14:paraId="2EA55B7B" w14:textId="77777777" w:rsidR="00CB6D66" w:rsidRPr="00CB6D66" w:rsidRDefault="00CB6D66" w:rsidP="00F01404">
      <w:pPr>
        <w:pStyle w:val="Bezriadkovania"/>
        <w:spacing w:before="120" w:after="120"/>
        <w:ind w:left="426"/>
        <w:jc w:val="both"/>
      </w:pPr>
      <w:r w:rsidRPr="00CB6D66">
        <w:t xml:space="preserve">• Počet </w:t>
      </w:r>
      <w:proofErr w:type="spellStart"/>
      <w:r w:rsidRPr="00CB6D66">
        <w:t>zhliadnutí</w:t>
      </w:r>
      <w:proofErr w:type="spellEnd"/>
      <w:r w:rsidRPr="00CB6D66">
        <w:t xml:space="preserve"> reklamy</w:t>
      </w:r>
    </w:p>
    <w:p w14:paraId="18B3405F" w14:textId="77777777" w:rsidR="00CB6D66" w:rsidRPr="00CB6D66" w:rsidRDefault="00CB6D66" w:rsidP="00F01404">
      <w:pPr>
        <w:pStyle w:val="Bezriadkovania"/>
        <w:spacing w:before="120" w:after="120"/>
        <w:ind w:left="426"/>
        <w:jc w:val="both"/>
      </w:pPr>
      <w:r w:rsidRPr="00CB6D66">
        <w:t xml:space="preserve">• Ekvivalent </w:t>
      </w:r>
      <w:proofErr w:type="spellStart"/>
      <w:r w:rsidRPr="00CB6D66">
        <w:t>GRPs</w:t>
      </w:r>
      <w:proofErr w:type="spellEnd"/>
      <w:r w:rsidRPr="00CB6D66">
        <w:t>, ale v absolútnych hodnotách (používa sa napr. pri internete)</w:t>
      </w:r>
    </w:p>
    <w:p w14:paraId="2FB94951" w14:textId="77777777" w:rsidR="00CB6D66" w:rsidRPr="00CB6D66" w:rsidRDefault="00CB6D66" w:rsidP="00F01404">
      <w:pPr>
        <w:pStyle w:val="Bezriadkovania"/>
        <w:spacing w:before="120" w:after="120"/>
        <w:ind w:left="426"/>
        <w:jc w:val="both"/>
      </w:pPr>
      <w:r w:rsidRPr="00CB6D66">
        <w:t>• (</w:t>
      </w:r>
      <w:proofErr w:type="spellStart"/>
      <w:r w:rsidRPr="00CB6D66">
        <w:t>GRPs</w:t>
      </w:r>
      <w:proofErr w:type="spellEnd"/>
      <w:r w:rsidRPr="00CB6D66">
        <w:t xml:space="preserve"> / 100) X </w:t>
      </w:r>
      <w:proofErr w:type="spellStart"/>
      <w:r w:rsidRPr="00CB6D66">
        <w:t>Target</w:t>
      </w:r>
      <w:proofErr w:type="spellEnd"/>
      <w:r w:rsidRPr="00CB6D66">
        <w:t xml:space="preserve"> Pop. = </w:t>
      </w:r>
      <w:proofErr w:type="spellStart"/>
      <w:r w:rsidRPr="00CB6D66">
        <w:t>Impressions</w:t>
      </w:r>
      <w:proofErr w:type="spellEnd"/>
    </w:p>
    <w:p w14:paraId="723E62DE" w14:textId="77777777" w:rsidR="00CB6D66" w:rsidRPr="00CB6D66" w:rsidRDefault="00CB6D66" w:rsidP="00F01404">
      <w:pPr>
        <w:pStyle w:val="Bezriadkovania"/>
        <w:spacing w:before="120" w:after="120"/>
        <w:ind w:left="426"/>
        <w:jc w:val="both"/>
      </w:pPr>
      <w:r w:rsidRPr="00CB6D66">
        <w:t xml:space="preserve">• Cieľová skupina má 2,000 ľudí, vtedy kampaň o sile 500 </w:t>
      </w:r>
      <w:proofErr w:type="spellStart"/>
      <w:r w:rsidRPr="00CB6D66">
        <w:t>GRPs</w:t>
      </w:r>
      <w:proofErr w:type="spellEnd"/>
      <w:r w:rsidRPr="00CB6D66">
        <w:t xml:space="preserve"> reprezentuje</w:t>
      </w:r>
    </w:p>
    <w:p w14:paraId="5E63D290" w14:textId="77777777" w:rsidR="00CB6D66" w:rsidRPr="00CB6D66" w:rsidRDefault="00CB6D66" w:rsidP="00F01404">
      <w:pPr>
        <w:pStyle w:val="Bezriadkovania"/>
        <w:spacing w:before="120" w:after="120"/>
        <w:ind w:left="426"/>
        <w:jc w:val="both"/>
      </w:pPr>
      <w:r w:rsidRPr="00CB6D66">
        <w:t>500/100(%)*2,000 = 10,000 videní (impresií)</w:t>
      </w:r>
    </w:p>
    <w:p w14:paraId="3691B827" w14:textId="77777777" w:rsidR="00CB6D66" w:rsidRPr="00CB6D66" w:rsidRDefault="00CB6D66" w:rsidP="00F01404">
      <w:pPr>
        <w:pStyle w:val="Bezriadkovania"/>
        <w:numPr>
          <w:ilvl w:val="0"/>
          <w:numId w:val="43"/>
        </w:numPr>
        <w:spacing w:before="120" w:after="120"/>
        <w:ind w:left="426" w:hanging="426"/>
        <w:jc w:val="both"/>
        <w:rPr>
          <w:b/>
          <w:bCs/>
          <w:iCs/>
        </w:rPr>
      </w:pPr>
      <w:r w:rsidRPr="00CB6D66">
        <w:rPr>
          <w:b/>
          <w:bCs/>
          <w:iCs/>
        </w:rPr>
        <w:t xml:space="preserve">SOS – </w:t>
      </w:r>
      <w:proofErr w:type="spellStart"/>
      <w:r w:rsidRPr="00CB6D66">
        <w:rPr>
          <w:b/>
          <w:bCs/>
          <w:iCs/>
        </w:rPr>
        <w:t>Share</w:t>
      </w:r>
      <w:proofErr w:type="spellEnd"/>
      <w:r w:rsidRPr="00CB6D66">
        <w:rPr>
          <w:b/>
          <w:bCs/>
          <w:iCs/>
        </w:rPr>
        <w:t xml:space="preserve"> </w:t>
      </w:r>
      <w:proofErr w:type="spellStart"/>
      <w:r w:rsidRPr="00CB6D66">
        <w:rPr>
          <w:b/>
          <w:bCs/>
          <w:iCs/>
        </w:rPr>
        <w:t>of</w:t>
      </w:r>
      <w:proofErr w:type="spellEnd"/>
      <w:r w:rsidRPr="00CB6D66">
        <w:rPr>
          <w:b/>
          <w:bCs/>
          <w:iCs/>
        </w:rPr>
        <w:t xml:space="preserve"> </w:t>
      </w:r>
      <w:proofErr w:type="spellStart"/>
      <w:r w:rsidRPr="00CB6D66">
        <w:rPr>
          <w:b/>
          <w:bCs/>
          <w:iCs/>
        </w:rPr>
        <w:t>Spending</w:t>
      </w:r>
      <w:proofErr w:type="spellEnd"/>
    </w:p>
    <w:p w14:paraId="0F5281D8" w14:textId="77777777" w:rsidR="00CB6D66" w:rsidRPr="00CB6D66" w:rsidRDefault="00CB6D66" w:rsidP="00F01404">
      <w:pPr>
        <w:pStyle w:val="Bezriadkovania"/>
        <w:spacing w:before="120" w:after="120"/>
        <w:ind w:left="426"/>
        <w:jc w:val="both"/>
      </w:pPr>
      <w:r w:rsidRPr="00CB6D66">
        <w:t>Podiel konkrétneho média v kampani na celkovej investícii v</w:t>
      </w:r>
      <w:r>
        <w:t> </w:t>
      </w:r>
      <w:r w:rsidRPr="00CB6D66">
        <w:t>rámci</w:t>
      </w:r>
      <w:r>
        <w:t xml:space="preserve"> </w:t>
      </w:r>
      <w:r w:rsidRPr="00CB6D66">
        <w:t>mediálnej kampane</w:t>
      </w:r>
      <w:r>
        <w:t>.</w:t>
      </w:r>
    </w:p>
    <w:p w14:paraId="6B4BEE7E" w14:textId="77777777" w:rsidR="00CB6D66" w:rsidRPr="00CB6D66" w:rsidRDefault="00CB6D66" w:rsidP="00F01404">
      <w:pPr>
        <w:pStyle w:val="Bezriadkovania"/>
        <w:spacing w:before="120" w:after="120"/>
        <w:ind w:left="426"/>
        <w:jc w:val="both"/>
      </w:pPr>
      <w:r w:rsidRPr="00CB6D66">
        <w:t>Ak napr. SOS SME v kampani je 50%, znamená to, že polovicu</w:t>
      </w:r>
      <w:r>
        <w:t xml:space="preserve"> </w:t>
      </w:r>
      <w:r w:rsidRPr="00CB6D66">
        <w:t>mediálneho rozpočtu sme investovali do tohto média.</w:t>
      </w:r>
    </w:p>
    <w:p w14:paraId="5B094C5C" w14:textId="77777777" w:rsidR="00CB6D66" w:rsidRPr="00CB6D66" w:rsidRDefault="00CB6D66" w:rsidP="00F01404">
      <w:pPr>
        <w:pStyle w:val="Bezriadkovania"/>
        <w:numPr>
          <w:ilvl w:val="0"/>
          <w:numId w:val="43"/>
        </w:numPr>
        <w:spacing w:before="120" w:after="120"/>
        <w:ind w:left="426" w:hanging="426"/>
        <w:jc w:val="both"/>
        <w:rPr>
          <w:b/>
          <w:bCs/>
          <w:iCs/>
        </w:rPr>
      </w:pPr>
      <w:r w:rsidRPr="00CB6D66">
        <w:rPr>
          <w:b/>
          <w:bCs/>
          <w:iCs/>
        </w:rPr>
        <w:t xml:space="preserve">SOV – </w:t>
      </w:r>
      <w:proofErr w:type="spellStart"/>
      <w:r w:rsidRPr="00CB6D66">
        <w:rPr>
          <w:b/>
          <w:bCs/>
          <w:iCs/>
        </w:rPr>
        <w:t>Share</w:t>
      </w:r>
      <w:proofErr w:type="spellEnd"/>
      <w:r w:rsidRPr="00CB6D66">
        <w:rPr>
          <w:b/>
          <w:bCs/>
          <w:iCs/>
        </w:rPr>
        <w:t xml:space="preserve"> </w:t>
      </w:r>
      <w:proofErr w:type="spellStart"/>
      <w:r w:rsidRPr="00CB6D66">
        <w:rPr>
          <w:b/>
          <w:bCs/>
          <w:iCs/>
        </w:rPr>
        <w:t>of</w:t>
      </w:r>
      <w:proofErr w:type="spellEnd"/>
      <w:r w:rsidRPr="00CB6D66">
        <w:rPr>
          <w:b/>
          <w:bCs/>
          <w:iCs/>
        </w:rPr>
        <w:t xml:space="preserve"> </w:t>
      </w:r>
      <w:proofErr w:type="spellStart"/>
      <w:r w:rsidRPr="00CB6D66">
        <w:rPr>
          <w:b/>
          <w:bCs/>
          <w:iCs/>
        </w:rPr>
        <w:t>Voice</w:t>
      </w:r>
      <w:proofErr w:type="spellEnd"/>
    </w:p>
    <w:p w14:paraId="0EC3578A" w14:textId="068ADE66" w:rsidR="00CB6D66" w:rsidRPr="00CB6D66" w:rsidRDefault="00CB6D66" w:rsidP="00F01404">
      <w:pPr>
        <w:pStyle w:val="Bezriadkovania"/>
        <w:spacing w:before="120" w:after="120"/>
        <w:ind w:left="426"/>
        <w:jc w:val="both"/>
      </w:pPr>
      <w:r w:rsidRPr="00CB6D66">
        <w:t>Podiel konkrétneho média v kampani vyjadrený v</w:t>
      </w:r>
      <w:r w:rsidR="00314454">
        <w:t xml:space="preserve"> </w:t>
      </w:r>
      <w:proofErr w:type="spellStart"/>
      <w:r w:rsidRPr="00CB6D66">
        <w:t>GRPs</w:t>
      </w:r>
      <w:proofErr w:type="spellEnd"/>
      <w:r w:rsidRPr="00CB6D66">
        <w:t>.</w:t>
      </w:r>
    </w:p>
    <w:p w14:paraId="7702151B" w14:textId="77777777" w:rsidR="00CB6D66" w:rsidRPr="00CB6D66" w:rsidRDefault="00CB6D66" w:rsidP="00F01404">
      <w:pPr>
        <w:pStyle w:val="MPCKO2"/>
        <w:ind w:left="426" w:hanging="426"/>
      </w:pPr>
      <w:bookmarkStart w:id="18" w:name="_Toc469255079"/>
      <w:r>
        <w:t xml:space="preserve">8.2 </w:t>
      </w:r>
      <w:r w:rsidRPr="00CB6D66">
        <w:t xml:space="preserve">Základné pojmy – audienčné jednotky, ktoré je možné získať spracovaním výsledkov </w:t>
      </w:r>
      <w:proofErr w:type="spellStart"/>
      <w:r w:rsidRPr="00CB6D66">
        <w:t>peoplemetrového</w:t>
      </w:r>
      <w:proofErr w:type="spellEnd"/>
      <w:r w:rsidRPr="00CB6D66">
        <w:t xml:space="preserve"> mer</w:t>
      </w:r>
      <w:r w:rsidR="005A544B">
        <w:t>a</w:t>
      </w:r>
      <w:r w:rsidRPr="00CB6D66">
        <w:t xml:space="preserve">nia pomocou softwarového nástroja  </w:t>
      </w:r>
      <w:proofErr w:type="spellStart"/>
      <w:r w:rsidRPr="00CB6D66">
        <w:t>InfoSys</w:t>
      </w:r>
      <w:proofErr w:type="spellEnd"/>
      <w:r w:rsidRPr="00C95807">
        <w:rPr>
          <w:vertAlign w:val="superscript"/>
        </w:rPr>
        <w:footnoteReference w:id="1"/>
      </w:r>
      <w:bookmarkEnd w:id="18"/>
    </w:p>
    <w:p w14:paraId="25F0B40E" w14:textId="77777777" w:rsidR="00CB6D66" w:rsidRPr="00CB6D66" w:rsidRDefault="00CB6D66" w:rsidP="00F01404">
      <w:pPr>
        <w:pStyle w:val="Bezriadkovania"/>
        <w:numPr>
          <w:ilvl w:val="0"/>
          <w:numId w:val="44"/>
        </w:numPr>
        <w:spacing w:before="120" w:after="120"/>
        <w:ind w:left="426" w:hanging="426"/>
        <w:jc w:val="both"/>
        <w:rPr>
          <w:b/>
          <w:bCs/>
        </w:rPr>
      </w:pPr>
      <w:r w:rsidRPr="00CB6D66">
        <w:rPr>
          <w:b/>
          <w:bCs/>
        </w:rPr>
        <w:t>ATS (</w:t>
      </w:r>
      <w:proofErr w:type="spellStart"/>
      <w:r w:rsidRPr="00CB6D66">
        <w:rPr>
          <w:b/>
          <w:bCs/>
        </w:rPr>
        <w:t>average</w:t>
      </w:r>
      <w:proofErr w:type="spellEnd"/>
      <w:r w:rsidRPr="00CB6D66">
        <w:rPr>
          <w:b/>
          <w:bCs/>
        </w:rPr>
        <w:t xml:space="preserve"> </w:t>
      </w:r>
      <w:proofErr w:type="spellStart"/>
      <w:r w:rsidRPr="00CB6D66">
        <w:rPr>
          <w:b/>
          <w:bCs/>
        </w:rPr>
        <w:t>time</w:t>
      </w:r>
      <w:proofErr w:type="spellEnd"/>
      <w:r w:rsidRPr="00CB6D66">
        <w:rPr>
          <w:b/>
          <w:bCs/>
        </w:rPr>
        <w:t xml:space="preserve"> </w:t>
      </w:r>
      <w:proofErr w:type="spellStart"/>
      <w:r w:rsidRPr="00CB6D66">
        <w:rPr>
          <w:b/>
          <w:bCs/>
        </w:rPr>
        <w:t>spent</w:t>
      </w:r>
      <w:proofErr w:type="spellEnd"/>
      <w:r w:rsidRPr="00CB6D66">
        <w:rPr>
          <w:b/>
          <w:bCs/>
        </w:rPr>
        <w:t>)</w:t>
      </w:r>
    </w:p>
    <w:p w14:paraId="1E3851AF" w14:textId="77777777" w:rsidR="00CB6D66" w:rsidRPr="00CB6D66" w:rsidRDefault="00CB6D66" w:rsidP="00F01404">
      <w:pPr>
        <w:pStyle w:val="Bezriadkovania"/>
        <w:spacing w:before="120" w:after="120"/>
        <w:ind w:left="426"/>
        <w:jc w:val="both"/>
      </w:pPr>
      <w:r w:rsidRPr="00CB6D66">
        <w:t xml:space="preserve">Priemerná doba živého sledovania všetkých respondentov z cieľovej skupiny v danom časovom úseku na danej stanici. Udáva sa v sekundách. Počíta sa ako vážený priemer časov </w:t>
      </w:r>
      <w:proofErr w:type="spellStart"/>
      <w:r w:rsidRPr="00CB6D66">
        <w:t>odsledovaných</w:t>
      </w:r>
      <w:proofErr w:type="spellEnd"/>
      <w:r w:rsidRPr="00CB6D66">
        <w:t xml:space="preserve"> </w:t>
      </w:r>
      <w:proofErr w:type="spellStart"/>
      <w:r w:rsidRPr="00CB6D66">
        <w:t>respondentami</w:t>
      </w:r>
      <w:proofErr w:type="spellEnd"/>
      <w:r w:rsidRPr="00CB6D66">
        <w:t xml:space="preserve"> z cieľovej skupiny. v danom časovom úseku navýšený o sledovanosť hostí.</w:t>
      </w:r>
    </w:p>
    <w:p w14:paraId="71A25CD2" w14:textId="77777777" w:rsidR="00CB6D66" w:rsidRPr="00CB6D66" w:rsidRDefault="00CB6D66" w:rsidP="00F01404">
      <w:pPr>
        <w:pStyle w:val="Bezriadkovania"/>
        <w:numPr>
          <w:ilvl w:val="0"/>
          <w:numId w:val="44"/>
        </w:numPr>
        <w:spacing w:before="120" w:after="120"/>
        <w:ind w:left="426" w:hanging="426"/>
        <w:jc w:val="both"/>
        <w:rPr>
          <w:b/>
          <w:bCs/>
        </w:rPr>
      </w:pPr>
      <w:proofErr w:type="spellStart"/>
      <w:r w:rsidRPr="00CB6D66">
        <w:rPr>
          <w:b/>
          <w:bCs/>
        </w:rPr>
        <w:t>AvHrs</w:t>
      </w:r>
      <w:proofErr w:type="spellEnd"/>
      <w:r w:rsidRPr="00CB6D66">
        <w:rPr>
          <w:b/>
          <w:bCs/>
        </w:rPr>
        <w:t>(</w:t>
      </w:r>
      <w:proofErr w:type="spellStart"/>
      <w:r w:rsidRPr="00CB6D66">
        <w:rPr>
          <w:b/>
          <w:bCs/>
        </w:rPr>
        <w:t>View</w:t>
      </w:r>
      <w:proofErr w:type="spellEnd"/>
      <w:r w:rsidRPr="00CB6D66">
        <w:rPr>
          <w:b/>
          <w:bCs/>
        </w:rPr>
        <w:t>)</w:t>
      </w:r>
    </w:p>
    <w:p w14:paraId="7CCFD19B" w14:textId="77777777" w:rsidR="00CB6D66" w:rsidRPr="00CB6D66" w:rsidRDefault="00CB6D66" w:rsidP="00F01404">
      <w:pPr>
        <w:pStyle w:val="Bezriadkovania"/>
        <w:spacing w:before="120" w:after="120"/>
        <w:ind w:left="426"/>
        <w:jc w:val="both"/>
      </w:pPr>
      <w:proofErr w:type="spellStart"/>
      <w:r w:rsidRPr="00CB6D66">
        <w:lastRenderedPageBreak/>
        <w:t>Average</w:t>
      </w:r>
      <w:proofErr w:type="spellEnd"/>
      <w:r w:rsidRPr="00CB6D66">
        <w:t xml:space="preserve"> </w:t>
      </w:r>
      <w:proofErr w:type="spellStart"/>
      <w:r w:rsidRPr="00CB6D66">
        <w:t>Hours</w:t>
      </w:r>
      <w:proofErr w:type="spellEnd"/>
      <w:r w:rsidRPr="00CB6D66">
        <w:t xml:space="preserve"> </w:t>
      </w:r>
      <w:proofErr w:type="spellStart"/>
      <w:r w:rsidRPr="00CB6D66">
        <w:t>Viewers</w:t>
      </w:r>
      <w:proofErr w:type="spellEnd"/>
      <w:r w:rsidRPr="00CB6D66">
        <w:t xml:space="preserve">. Udáva sa v hodinách Denný priemer </w:t>
      </w:r>
      <w:proofErr w:type="spellStart"/>
      <w:r w:rsidRPr="00CB6D66">
        <w:t>odsledovaných</w:t>
      </w:r>
      <w:proofErr w:type="spellEnd"/>
      <w:r w:rsidRPr="00CB6D66">
        <w:t xml:space="preserve"> hodín na diváka, ktorí splnili podmienku </w:t>
      </w:r>
      <w:proofErr w:type="spellStart"/>
      <w:r w:rsidRPr="00CB6D66">
        <w:t>Reach</w:t>
      </w:r>
      <w:proofErr w:type="spellEnd"/>
      <w:r w:rsidRPr="00CB6D66">
        <w:t xml:space="preserve">, t.j. </w:t>
      </w:r>
      <w:proofErr w:type="spellStart"/>
      <w:r w:rsidRPr="00CB6D66">
        <w:t>odsledovali</w:t>
      </w:r>
      <w:proofErr w:type="spellEnd"/>
      <w:r w:rsidRPr="00CB6D66">
        <w:t xml:space="preserve"> zvolený časový úsek aspoň istú </w:t>
      </w:r>
      <w:proofErr w:type="spellStart"/>
      <w:r w:rsidRPr="00CB6D66">
        <w:t>predom</w:t>
      </w:r>
      <w:proofErr w:type="spellEnd"/>
      <w:r w:rsidRPr="00CB6D66">
        <w:t xml:space="preserve"> stanovenú minimálnu dobu.</w:t>
      </w:r>
    </w:p>
    <w:p w14:paraId="4BA9281C" w14:textId="77777777" w:rsidR="00CB6D66" w:rsidRPr="00CB6D66" w:rsidRDefault="00CB6D66" w:rsidP="00F01404">
      <w:pPr>
        <w:pStyle w:val="Bezriadkovania"/>
        <w:numPr>
          <w:ilvl w:val="0"/>
          <w:numId w:val="44"/>
        </w:numPr>
        <w:spacing w:before="120" w:after="120"/>
        <w:ind w:left="426" w:hanging="426"/>
        <w:jc w:val="both"/>
        <w:rPr>
          <w:b/>
          <w:bCs/>
        </w:rPr>
      </w:pPr>
      <w:proofErr w:type="spellStart"/>
      <w:r w:rsidRPr="00CB6D66">
        <w:rPr>
          <w:b/>
          <w:bCs/>
        </w:rPr>
        <w:t>AvLoyalty</w:t>
      </w:r>
      <w:proofErr w:type="spellEnd"/>
      <w:r w:rsidRPr="00CB6D66">
        <w:rPr>
          <w:b/>
          <w:bCs/>
        </w:rPr>
        <w:t xml:space="preserve"> - Priemerná vernosť (</w:t>
      </w:r>
      <w:proofErr w:type="spellStart"/>
      <w:r w:rsidRPr="00CB6D66">
        <w:rPr>
          <w:b/>
          <w:bCs/>
        </w:rPr>
        <w:t>loajalita</w:t>
      </w:r>
      <w:proofErr w:type="spellEnd"/>
      <w:r w:rsidRPr="00CB6D66">
        <w:rPr>
          <w:b/>
          <w:bCs/>
        </w:rPr>
        <w:t>)</w:t>
      </w:r>
    </w:p>
    <w:p w14:paraId="33749D4E" w14:textId="77777777" w:rsidR="00CB6D66" w:rsidRPr="00CB6D66" w:rsidRDefault="00CB6D66" w:rsidP="00F01404">
      <w:pPr>
        <w:pStyle w:val="Bezriadkovania"/>
        <w:spacing w:before="120" w:after="120"/>
        <w:ind w:left="426"/>
        <w:jc w:val="both"/>
      </w:pPr>
      <w:r w:rsidRPr="00CB6D66">
        <w:t xml:space="preserve">Priemerná sledovanosť v percentách, delená denným priemerom akumulovanej sledovanosti v percentách (delená </w:t>
      </w:r>
      <w:proofErr w:type="spellStart"/>
      <w:r w:rsidRPr="00CB6D66">
        <w:t>Reach-om</w:t>
      </w:r>
      <w:proofErr w:type="spellEnd"/>
      <w:r w:rsidRPr="00CB6D66">
        <w:t xml:space="preserve">). </w:t>
      </w:r>
      <w:proofErr w:type="spellStart"/>
      <w:r w:rsidRPr="00CB6D66">
        <w:t>AvMins</w:t>
      </w:r>
      <w:proofErr w:type="spellEnd"/>
      <w:r w:rsidRPr="00CB6D66">
        <w:t xml:space="preserve"> (Min) Denný priemer </w:t>
      </w:r>
      <w:proofErr w:type="spellStart"/>
      <w:r w:rsidRPr="00CB6D66">
        <w:t>odsledovaných</w:t>
      </w:r>
      <w:proofErr w:type="spellEnd"/>
      <w:r w:rsidRPr="00CB6D66">
        <w:t xml:space="preserve"> minút na diváka. Udáva sa v minútach.</w:t>
      </w:r>
    </w:p>
    <w:p w14:paraId="1BC378BA" w14:textId="77777777" w:rsidR="00CB6D66" w:rsidRPr="00CB6D66" w:rsidRDefault="00CB6D66" w:rsidP="00F01404">
      <w:pPr>
        <w:pStyle w:val="Bezriadkovania"/>
        <w:numPr>
          <w:ilvl w:val="0"/>
          <w:numId w:val="44"/>
        </w:numPr>
        <w:spacing w:before="120" w:after="120"/>
        <w:ind w:left="426" w:hanging="426"/>
        <w:jc w:val="both"/>
        <w:rPr>
          <w:b/>
          <w:bCs/>
        </w:rPr>
      </w:pPr>
      <w:proofErr w:type="spellStart"/>
      <w:r w:rsidRPr="00CB6D66">
        <w:rPr>
          <w:b/>
          <w:bCs/>
        </w:rPr>
        <w:t>AvMins</w:t>
      </w:r>
      <w:proofErr w:type="spellEnd"/>
      <w:r w:rsidRPr="00CB6D66">
        <w:rPr>
          <w:b/>
          <w:bCs/>
        </w:rPr>
        <w:t>(</w:t>
      </w:r>
      <w:proofErr w:type="spellStart"/>
      <w:r w:rsidRPr="00CB6D66">
        <w:rPr>
          <w:b/>
          <w:bCs/>
        </w:rPr>
        <w:t>View</w:t>
      </w:r>
      <w:proofErr w:type="spellEnd"/>
      <w:r w:rsidRPr="00CB6D66">
        <w:rPr>
          <w:b/>
          <w:bCs/>
        </w:rPr>
        <w:t xml:space="preserve">) - </w:t>
      </w:r>
      <w:proofErr w:type="spellStart"/>
      <w:r w:rsidRPr="00CB6D66">
        <w:rPr>
          <w:b/>
          <w:bCs/>
        </w:rPr>
        <w:t>Average</w:t>
      </w:r>
      <w:proofErr w:type="spellEnd"/>
      <w:r w:rsidRPr="00CB6D66">
        <w:rPr>
          <w:b/>
          <w:bCs/>
        </w:rPr>
        <w:t xml:space="preserve"> </w:t>
      </w:r>
      <w:proofErr w:type="spellStart"/>
      <w:r w:rsidRPr="00CB6D66">
        <w:rPr>
          <w:b/>
          <w:bCs/>
        </w:rPr>
        <w:t>Minutes</w:t>
      </w:r>
      <w:proofErr w:type="spellEnd"/>
      <w:r w:rsidRPr="00CB6D66">
        <w:rPr>
          <w:b/>
          <w:bCs/>
        </w:rPr>
        <w:t xml:space="preserve"> </w:t>
      </w:r>
      <w:proofErr w:type="spellStart"/>
      <w:r w:rsidRPr="00CB6D66">
        <w:rPr>
          <w:b/>
          <w:bCs/>
        </w:rPr>
        <w:t>Viewers</w:t>
      </w:r>
      <w:proofErr w:type="spellEnd"/>
      <w:r w:rsidRPr="00CB6D66">
        <w:rPr>
          <w:b/>
          <w:bCs/>
        </w:rPr>
        <w:t>. Udáva sa v minútach</w:t>
      </w:r>
    </w:p>
    <w:p w14:paraId="34FB44AC" w14:textId="77777777" w:rsidR="00CB6D66" w:rsidRPr="00CB6D66" w:rsidRDefault="00CB6D66" w:rsidP="00F01404">
      <w:pPr>
        <w:pStyle w:val="Bezriadkovania"/>
        <w:spacing w:before="120" w:after="120"/>
        <w:ind w:left="426"/>
        <w:jc w:val="both"/>
      </w:pPr>
      <w:r w:rsidRPr="00CB6D66">
        <w:t xml:space="preserve">Denný priemer </w:t>
      </w:r>
      <w:proofErr w:type="spellStart"/>
      <w:r w:rsidRPr="00CB6D66">
        <w:t>odsledovaných</w:t>
      </w:r>
      <w:proofErr w:type="spellEnd"/>
      <w:r w:rsidRPr="00CB6D66">
        <w:t xml:space="preserve"> minút na diváka, ktorí splnili podmienku </w:t>
      </w:r>
      <w:proofErr w:type="spellStart"/>
      <w:r w:rsidRPr="00CB6D66">
        <w:t>Reach</w:t>
      </w:r>
      <w:proofErr w:type="spellEnd"/>
      <w:r w:rsidRPr="00CB6D66">
        <w:t xml:space="preserve">, t.j. </w:t>
      </w:r>
      <w:proofErr w:type="spellStart"/>
      <w:r w:rsidRPr="00CB6D66">
        <w:t>odsledovali</w:t>
      </w:r>
      <w:proofErr w:type="spellEnd"/>
      <w:r w:rsidRPr="00CB6D66">
        <w:t xml:space="preserve"> zvolený časový úsek aspoň istú </w:t>
      </w:r>
      <w:proofErr w:type="spellStart"/>
      <w:r w:rsidRPr="00CB6D66">
        <w:t>predom</w:t>
      </w:r>
      <w:proofErr w:type="spellEnd"/>
      <w:r w:rsidRPr="00CB6D66">
        <w:t xml:space="preserve"> stanovenú minimálnu dobu. ATS (</w:t>
      </w:r>
      <w:proofErr w:type="spellStart"/>
      <w:r w:rsidRPr="00CB6D66">
        <w:t>average</w:t>
      </w:r>
      <w:proofErr w:type="spellEnd"/>
      <w:r w:rsidRPr="00CB6D66">
        <w:t xml:space="preserve"> </w:t>
      </w:r>
      <w:proofErr w:type="spellStart"/>
      <w:r w:rsidRPr="00CB6D66">
        <w:t>time</w:t>
      </w:r>
      <w:proofErr w:type="spellEnd"/>
      <w:r w:rsidRPr="00CB6D66">
        <w:t xml:space="preserve"> </w:t>
      </w:r>
      <w:proofErr w:type="spellStart"/>
      <w:r w:rsidRPr="00CB6D66">
        <w:t>spent</w:t>
      </w:r>
      <w:proofErr w:type="spellEnd"/>
      <w:r w:rsidRPr="00CB6D66">
        <w:t>)</w:t>
      </w:r>
    </w:p>
    <w:p w14:paraId="268650CE" w14:textId="77777777" w:rsidR="00CB6D66" w:rsidRPr="00CB6D66" w:rsidRDefault="00CB6D66" w:rsidP="00F01404">
      <w:pPr>
        <w:pStyle w:val="Bezriadkovania"/>
        <w:numPr>
          <w:ilvl w:val="0"/>
          <w:numId w:val="44"/>
        </w:numPr>
        <w:spacing w:before="120" w:after="120"/>
        <w:ind w:left="426" w:hanging="426"/>
        <w:jc w:val="both"/>
        <w:rPr>
          <w:b/>
          <w:bCs/>
        </w:rPr>
      </w:pPr>
      <w:proofErr w:type="spellStart"/>
      <w:r w:rsidRPr="00CB6D66">
        <w:rPr>
          <w:b/>
          <w:bCs/>
        </w:rPr>
        <w:t>AvRch</w:t>
      </w:r>
      <w:proofErr w:type="spellEnd"/>
      <w:r w:rsidRPr="00CB6D66">
        <w:rPr>
          <w:b/>
          <w:bCs/>
        </w:rPr>
        <w:t xml:space="preserve">% - </w:t>
      </w:r>
      <w:proofErr w:type="spellStart"/>
      <w:r w:rsidRPr="00CB6D66">
        <w:rPr>
          <w:b/>
          <w:bCs/>
        </w:rPr>
        <w:t>AvRch</w:t>
      </w:r>
      <w:proofErr w:type="spellEnd"/>
      <w:r w:rsidRPr="00CB6D66">
        <w:rPr>
          <w:b/>
          <w:bCs/>
        </w:rPr>
        <w:t>%: Priemerný dosah v percentách</w:t>
      </w:r>
    </w:p>
    <w:p w14:paraId="09D6ABE8" w14:textId="77777777" w:rsidR="00CB6D66" w:rsidRPr="00CB6D66" w:rsidRDefault="00CB6D66" w:rsidP="00F01404">
      <w:pPr>
        <w:pStyle w:val="Bezriadkovania"/>
        <w:spacing w:before="120" w:after="120"/>
        <w:ind w:left="426"/>
        <w:jc w:val="both"/>
      </w:pPr>
      <w:r w:rsidRPr="00CB6D66">
        <w:t>Priemer počtu denných kontaktov, delený univerzom špecifikovanej cieľovej skupiny, vyjadrený v percentách. Podmienka kontaktu môže byť definovaná užívateľom. Implicitná podmienka je ”Sledovať aspoň jednu minútu v rámci sledovaného dňa ".</w:t>
      </w:r>
    </w:p>
    <w:p w14:paraId="0B8D982F" w14:textId="77777777" w:rsidR="00CB6D66" w:rsidRPr="00CB6D66" w:rsidRDefault="00CB6D66" w:rsidP="00F01404">
      <w:pPr>
        <w:pStyle w:val="Bezriadkovania"/>
        <w:numPr>
          <w:ilvl w:val="0"/>
          <w:numId w:val="44"/>
        </w:numPr>
        <w:spacing w:before="120" w:after="120"/>
        <w:ind w:left="426" w:hanging="426"/>
        <w:jc w:val="both"/>
        <w:rPr>
          <w:b/>
          <w:bCs/>
        </w:rPr>
      </w:pPr>
      <w:r w:rsidRPr="00CB6D66">
        <w:rPr>
          <w:b/>
          <w:bCs/>
        </w:rPr>
        <w:t xml:space="preserve">AvRch(000) - </w:t>
      </w:r>
      <w:proofErr w:type="spellStart"/>
      <w:r w:rsidRPr="00CB6D66">
        <w:rPr>
          <w:b/>
          <w:bCs/>
        </w:rPr>
        <w:t>AvRch</w:t>
      </w:r>
      <w:proofErr w:type="spellEnd"/>
      <w:r w:rsidRPr="00CB6D66">
        <w:rPr>
          <w:b/>
          <w:bCs/>
        </w:rPr>
        <w:t xml:space="preserve"> (000): Priemerný dosah v tisícoch</w:t>
      </w:r>
    </w:p>
    <w:p w14:paraId="5213FFB1" w14:textId="77777777" w:rsidR="00CB6D66" w:rsidRPr="00CB6D66" w:rsidRDefault="00CB6D66" w:rsidP="00F01404">
      <w:pPr>
        <w:pStyle w:val="Bezriadkovania"/>
        <w:spacing w:before="120" w:after="120"/>
        <w:ind w:left="426"/>
        <w:jc w:val="both"/>
      </w:pPr>
      <w:r w:rsidRPr="00CB6D66">
        <w:t>Priemer denného počtu kontaktov vyjadrený v tisícoch. Podmienka kontaktu môže byť definovaná užívateľom. Implicitná podmienka je ”Sledovať aspoň jednu minútu v rámci sledovaného dňa".</w:t>
      </w:r>
    </w:p>
    <w:p w14:paraId="6445011D" w14:textId="77777777" w:rsidR="00CB6D66" w:rsidRPr="00CB6D66" w:rsidRDefault="00CB6D66" w:rsidP="00F01404">
      <w:pPr>
        <w:pStyle w:val="Bezriadkovania"/>
        <w:numPr>
          <w:ilvl w:val="0"/>
          <w:numId w:val="44"/>
        </w:numPr>
        <w:spacing w:before="120" w:after="120"/>
        <w:ind w:left="426" w:hanging="426"/>
        <w:jc w:val="both"/>
        <w:rPr>
          <w:b/>
          <w:bCs/>
        </w:rPr>
      </w:pPr>
      <w:proofErr w:type="spellStart"/>
      <w:r w:rsidRPr="00CB6D66">
        <w:rPr>
          <w:b/>
          <w:bCs/>
        </w:rPr>
        <w:t>DurMin</w:t>
      </w:r>
      <w:proofErr w:type="spellEnd"/>
      <w:r w:rsidRPr="00CB6D66">
        <w:rPr>
          <w:b/>
          <w:bCs/>
        </w:rPr>
        <w:t xml:space="preserve"> - </w:t>
      </w:r>
      <w:proofErr w:type="spellStart"/>
      <w:r w:rsidRPr="00CB6D66">
        <w:rPr>
          <w:b/>
          <w:bCs/>
        </w:rPr>
        <w:t>Duration</w:t>
      </w:r>
      <w:proofErr w:type="spellEnd"/>
      <w:r w:rsidRPr="00CB6D66">
        <w:rPr>
          <w:b/>
          <w:bCs/>
        </w:rPr>
        <w:t xml:space="preserve"> in </w:t>
      </w:r>
      <w:proofErr w:type="spellStart"/>
      <w:r w:rsidRPr="00CB6D66">
        <w:rPr>
          <w:b/>
          <w:bCs/>
        </w:rPr>
        <w:t>minutes</w:t>
      </w:r>
      <w:proofErr w:type="spellEnd"/>
      <w:r w:rsidRPr="00CB6D66">
        <w:rPr>
          <w:b/>
          <w:bCs/>
        </w:rPr>
        <w:t>. Trvanie v minútach.</w:t>
      </w:r>
    </w:p>
    <w:p w14:paraId="4648B13E" w14:textId="77777777" w:rsidR="00CB6D66" w:rsidRPr="00CB6D66" w:rsidRDefault="00CB6D66" w:rsidP="00F01404">
      <w:pPr>
        <w:pStyle w:val="Bezriadkovania"/>
        <w:spacing w:before="120" w:after="120"/>
        <w:ind w:left="426"/>
        <w:jc w:val="both"/>
      </w:pPr>
      <w:r w:rsidRPr="00CB6D66">
        <w:t>Je trvanie udalosti alebo skupiny udalostí, merané v minútach.</w:t>
      </w:r>
    </w:p>
    <w:p w14:paraId="6DC46D17" w14:textId="77777777" w:rsidR="00CB6D66" w:rsidRPr="00CB6D66" w:rsidRDefault="00CB6D66" w:rsidP="00F01404">
      <w:pPr>
        <w:pStyle w:val="Bezriadkovania"/>
        <w:numPr>
          <w:ilvl w:val="0"/>
          <w:numId w:val="44"/>
        </w:numPr>
        <w:spacing w:before="120" w:after="120"/>
        <w:ind w:left="426" w:hanging="426"/>
        <w:jc w:val="both"/>
        <w:rPr>
          <w:b/>
          <w:bCs/>
        </w:rPr>
      </w:pPr>
      <w:proofErr w:type="spellStart"/>
      <w:r w:rsidRPr="00CB6D66">
        <w:rPr>
          <w:b/>
          <w:bCs/>
        </w:rPr>
        <w:t>DurSec</w:t>
      </w:r>
      <w:proofErr w:type="spellEnd"/>
      <w:r w:rsidRPr="00CB6D66">
        <w:rPr>
          <w:b/>
          <w:bCs/>
        </w:rPr>
        <w:t xml:space="preserve"> - </w:t>
      </w:r>
      <w:proofErr w:type="spellStart"/>
      <w:r w:rsidRPr="00CB6D66">
        <w:rPr>
          <w:b/>
          <w:bCs/>
        </w:rPr>
        <w:t>Duration</w:t>
      </w:r>
      <w:proofErr w:type="spellEnd"/>
      <w:r w:rsidRPr="00CB6D66">
        <w:rPr>
          <w:b/>
          <w:bCs/>
        </w:rPr>
        <w:t xml:space="preserve"> in </w:t>
      </w:r>
      <w:proofErr w:type="spellStart"/>
      <w:r w:rsidRPr="00CB6D66">
        <w:rPr>
          <w:b/>
          <w:bCs/>
        </w:rPr>
        <w:t>Seconds</w:t>
      </w:r>
      <w:proofErr w:type="spellEnd"/>
      <w:r w:rsidRPr="00CB6D66">
        <w:rPr>
          <w:b/>
          <w:bCs/>
        </w:rPr>
        <w:t>. Trvanie v sekundách.</w:t>
      </w:r>
    </w:p>
    <w:p w14:paraId="2399F5D5" w14:textId="77777777" w:rsidR="00CB6D66" w:rsidRPr="00CB6D66" w:rsidRDefault="00CB6D66" w:rsidP="00F01404">
      <w:pPr>
        <w:pStyle w:val="Bezriadkovania"/>
        <w:spacing w:before="120" w:after="120"/>
        <w:ind w:left="426"/>
        <w:jc w:val="both"/>
      </w:pPr>
      <w:r w:rsidRPr="00CB6D66">
        <w:t>Je trvanie udalosti alebo skupiny udalostí, merané v sekundách.</w:t>
      </w:r>
    </w:p>
    <w:p w14:paraId="6478A433" w14:textId="77777777" w:rsidR="00CB6D66" w:rsidRPr="00CB6D66" w:rsidRDefault="00CB6D66" w:rsidP="00F01404">
      <w:pPr>
        <w:pStyle w:val="Bezriadkovania"/>
        <w:numPr>
          <w:ilvl w:val="0"/>
          <w:numId w:val="44"/>
        </w:numPr>
        <w:spacing w:before="120" w:after="120"/>
        <w:ind w:left="426" w:hanging="426"/>
        <w:jc w:val="both"/>
        <w:rPr>
          <w:b/>
          <w:bCs/>
        </w:rPr>
      </w:pPr>
      <w:proofErr w:type="spellStart"/>
      <w:r w:rsidRPr="00CB6D66">
        <w:rPr>
          <w:b/>
          <w:bCs/>
        </w:rPr>
        <w:t>LeadIn</w:t>
      </w:r>
      <w:proofErr w:type="spellEnd"/>
      <w:r w:rsidRPr="00CB6D66">
        <w:rPr>
          <w:b/>
          <w:bCs/>
        </w:rPr>
        <w:t>%</w:t>
      </w:r>
    </w:p>
    <w:p w14:paraId="03401EBC" w14:textId="77777777" w:rsidR="00CB6D66" w:rsidRPr="00CB6D66" w:rsidRDefault="00CB6D66" w:rsidP="00F01404">
      <w:pPr>
        <w:pStyle w:val="Bezriadkovania"/>
        <w:spacing w:before="120" w:after="120"/>
        <w:ind w:left="426"/>
        <w:jc w:val="both"/>
      </w:pPr>
      <w:r w:rsidRPr="00CB6D66">
        <w:t xml:space="preserve">Podiel divákov, ktorí sledovali danú reláciu a zároveň aj predošlú reláciu (v oboch reláciách splnili definovanú podmienku </w:t>
      </w:r>
      <w:proofErr w:type="spellStart"/>
      <w:r w:rsidRPr="00CB6D66">
        <w:t>Reach</w:t>
      </w:r>
      <w:proofErr w:type="spellEnd"/>
      <w:r w:rsidRPr="00CB6D66">
        <w:t>). Udáva sa v %. % sa vzťahujú k predchádzajúcej relácii.</w:t>
      </w:r>
    </w:p>
    <w:p w14:paraId="4DE7BC7B" w14:textId="77777777" w:rsidR="00CB6D66" w:rsidRPr="00CB6D66" w:rsidRDefault="00CB6D66" w:rsidP="00F01404">
      <w:pPr>
        <w:pStyle w:val="Bezriadkovania"/>
        <w:numPr>
          <w:ilvl w:val="0"/>
          <w:numId w:val="44"/>
        </w:numPr>
        <w:spacing w:before="120" w:after="120"/>
        <w:ind w:left="426" w:hanging="426"/>
        <w:jc w:val="both"/>
        <w:rPr>
          <w:b/>
          <w:bCs/>
        </w:rPr>
      </w:pPr>
      <w:proofErr w:type="spellStart"/>
      <w:r w:rsidRPr="00CB6D66">
        <w:rPr>
          <w:b/>
          <w:bCs/>
        </w:rPr>
        <w:t>LeadOut</w:t>
      </w:r>
      <w:proofErr w:type="spellEnd"/>
      <w:r w:rsidRPr="00CB6D66">
        <w:rPr>
          <w:b/>
          <w:bCs/>
        </w:rPr>
        <w:t>%</w:t>
      </w:r>
    </w:p>
    <w:p w14:paraId="4E369EA4" w14:textId="5BFB5DEF" w:rsidR="00CB6D66" w:rsidRPr="00CB6D66" w:rsidRDefault="00CB6D66" w:rsidP="00F01404">
      <w:pPr>
        <w:pStyle w:val="Bezriadkovania"/>
        <w:spacing w:before="120" w:after="120"/>
        <w:ind w:left="426"/>
        <w:jc w:val="both"/>
      </w:pPr>
      <w:r w:rsidRPr="00CB6D66">
        <w:t xml:space="preserve">Podiel divákov, ktorí sledovali danú reláciu a zároveň aj nasledujúcu reláciu (v oboch reláciách splnili definovanú podmienku </w:t>
      </w:r>
      <w:proofErr w:type="spellStart"/>
      <w:r w:rsidRPr="00CB6D66">
        <w:t>Reach</w:t>
      </w:r>
      <w:proofErr w:type="spellEnd"/>
      <w:r w:rsidRPr="00CB6D66">
        <w:t>).</w:t>
      </w:r>
      <w:r w:rsidR="00387AE6">
        <w:t xml:space="preserve"> </w:t>
      </w:r>
      <w:r w:rsidRPr="00CB6D66">
        <w:t>Udáva sa v %. % sa vzťahujú k nasledujúcej relácii.</w:t>
      </w:r>
    </w:p>
    <w:p w14:paraId="2070CFE6" w14:textId="77777777" w:rsidR="00CB6D66" w:rsidRPr="00CB6D66" w:rsidRDefault="00CB6D66" w:rsidP="00F01404">
      <w:pPr>
        <w:pStyle w:val="Bezriadkovania"/>
        <w:numPr>
          <w:ilvl w:val="0"/>
          <w:numId w:val="44"/>
        </w:numPr>
        <w:spacing w:before="120" w:after="120"/>
        <w:ind w:left="426" w:hanging="426"/>
        <w:jc w:val="both"/>
        <w:rPr>
          <w:b/>
          <w:bCs/>
        </w:rPr>
      </w:pPr>
      <w:proofErr w:type="spellStart"/>
      <w:r w:rsidRPr="00CB6D66">
        <w:rPr>
          <w:b/>
          <w:bCs/>
        </w:rPr>
        <w:t>Loyalty</w:t>
      </w:r>
      <w:proofErr w:type="spellEnd"/>
      <w:r w:rsidRPr="00CB6D66">
        <w:rPr>
          <w:b/>
          <w:bCs/>
        </w:rPr>
        <w:t xml:space="preserve"> - Lojalita. Udáva sa v %.</w:t>
      </w:r>
    </w:p>
    <w:p w14:paraId="22E467A0" w14:textId="77777777" w:rsidR="00CB6D66" w:rsidRPr="00CB6D66" w:rsidRDefault="00CB6D66" w:rsidP="00F01404">
      <w:pPr>
        <w:pStyle w:val="Bezriadkovania"/>
        <w:spacing w:before="120" w:after="120"/>
        <w:ind w:left="426"/>
        <w:jc w:val="both"/>
      </w:pPr>
      <w:r w:rsidRPr="00CB6D66">
        <w:t>Podiel sledovanosti v % (</w:t>
      </w:r>
      <w:proofErr w:type="spellStart"/>
      <w:r w:rsidRPr="00CB6D66">
        <w:t>Rtg</w:t>
      </w:r>
      <w:proofErr w:type="spellEnd"/>
      <w:r w:rsidRPr="00CB6D66">
        <w:t>%), delený dosahom časového úseku v % (</w:t>
      </w:r>
      <w:proofErr w:type="spellStart"/>
      <w:r w:rsidRPr="00CB6D66">
        <w:t>Reach</w:t>
      </w:r>
      <w:proofErr w:type="spellEnd"/>
      <w:r w:rsidRPr="00CB6D66">
        <w:t>%), pričom podmienka dosahu musí byť nastavená na 1 minútu.</w:t>
      </w:r>
    </w:p>
    <w:p w14:paraId="2F681A07" w14:textId="77777777" w:rsidR="00CB6D66" w:rsidRPr="00CB6D66" w:rsidRDefault="00CB6D66" w:rsidP="00F01404">
      <w:pPr>
        <w:pStyle w:val="Bezriadkovania"/>
        <w:numPr>
          <w:ilvl w:val="0"/>
          <w:numId w:val="44"/>
        </w:numPr>
        <w:spacing w:before="120" w:after="120"/>
        <w:ind w:left="426" w:hanging="426"/>
        <w:jc w:val="both"/>
        <w:rPr>
          <w:b/>
          <w:bCs/>
        </w:rPr>
      </w:pPr>
      <w:proofErr w:type="spellStart"/>
      <w:r w:rsidRPr="00CB6D66">
        <w:rPr>
          <w:b/>
          <w:bCs/>
        </w:rPr>
        <w:t>Rch</w:t>
      </w:r>
      <w:proofErr w:type="spellEnd"/>
      <w:r w:rsidRPr="00CB6D66">
        <w:rPr>
          <w:b/>
          <w:bCs/>
        </w:rPr>
        <w:t>% - Dosah, zásah v percentách</w:t>
      </w:r>
    </w:p>
    <w:p w14:paraId="47BB3B29" w14:textId="77777777" w:rsidR="00CB6D66" w:rsidRPr="00CB6D66" w:rsidRDefault="00CB6D66" w:rsidP="00F01404">
      <w:pPr>
        <w:pStyle w:val="Bezriadkovania"/>
        <w:spacing w:before="120" w:after="120"/>
        <w:ind w:left="426"/>
        <w:jc w:val="both"/>
      </w:pPr>
      <w:proofErr w:type="spellStart"/>
      <w:r w:rsidRPr="00CB6D66">
        <w:t>Reach</w:t>
      </w:r>
      <w:proofErr w:type="spellEnd"/>
      <w:r w:rsidRPr="00CB6D66">
        <w:t xml:space="preserve"> je počet divákov cieľovej skupiny v populácii, ktorí sledovali (kontaktovali) danú stanicu alebo časový úsek aspoň istú vopred stanovenú dobu. Udáva sa v percentách. Podmienka kontaktu môže byť definovaná v rámci aplikácie. Minimálna doba pre započítanie do </w:t>
      </w:r>
      <w:proofErr w:type="spellStart"/>
      <w:r w:rsidRPr="00CB6D66">
        <w:t>Reach</w:t>
      </w:r>
      <w:proofErr w:type="spellEnd"/>
      <w:r w:rsidRPr="00CB6D66">
        <w:t xml:space="preserve"> môže byť stanovená buď absolútne (napr. 3min.) alebo ako pomerná časť z dĺžky časového úseku (napr. 30 % relácie).</w:t>
      </w:r>
    </w:p>
    <w:p w14:paraId="74D96BB5" w14:textId="77777777" w:rsidR="00CB6D66" w:rsidRPr="00CB6D66" w:rsidRDefault="00CB6D66" w:rsidP="00F01404">
      <w:pPr>
        <w:pStyle w:val="Bezriadkovania"/>
        <w:numPr>
          <w:ilvl w:val="0"/>
          <w:numId w:val="44"/>
        </w:numPr>
        <w:spacing w:before="120" w:after="120"/>
        <w:ind w:left="426" w:hanging="426"/>
        <w:jc w:val="both"/>
        <w:rPr>
          <w:b/>
          <w:bCs/>
        </w:rPr>
      </w:pPr>
      <w:r w:rsidRPr="00CB6D66">
        <w:rPr>
          <w:b/>
          <w:bCs/>
        </w:rPr>
        <w:lastRenderedPageBreak/>
        <w:t>Rch(000) - Dosah, zásah v tisícoch</w:t>
      </w:r>
    </w:p>
    <w:p w14:paraId="5405FA76" w14:textId="77777777" w:rsidR="00CB6D66" w:rsidRPr="00CB6D66" w:rsidRDefault="00CB6D66" w:rsidP="00F01404">
      <w:pPr>
        <w:pStyle w:val="Bezriadkovania"/>
        <w:spacing w:before="120" w:after="120"/>
        <w:ind w:left="426"/>
        <w:jc w:val="both"/>
      </w:pPr>
      <w:proofErr w:type="spellStart"/>
      <w:r w:rsidRPr="00CB6D66">
        <w:t>Reach</w:t>
      </w:r>
      <w:proofErr w:type="spellEnd"/>
      <w:r w:rsidRPr="00CB6D66">
        <w:t xml:space="preserve"> je počet divákov cieľovej skupiny v populácii, ktorí sledovali (kontaktovali) danú stanicu alebo časový úsek aspoň istú vopred stanovenú dobu. Udáva sa v tisícoch. Podmienka kontaktu môže byť definovaná v rámci aplikácie. Minimálna doba pre započítanie do </w:t>
      </w:r>
      <w:proofErr w:type="spellStart"/>
      <w:r w:rsidRPr="00CB6D66">
        <w:t>Reach</w:t>
      </w:r>
      <w:proofErr w:type="spellEnd"/>
      <w:r w:rsidRPr="00CB6D66">
        <w:t xml:space="preserve"> môže byť stanovená buď absolútne (napr. 3min.) alebo ako pomerná časť z dĺžky časového úseku (napr. 30 % relácie).</w:t>
      </w:r>
    </w:p>
    <w:p w14:paraId="04665684" w14:textId="77777777" w:rsidR="00CB6D66" w:rsidRPr="00CB6D66" w:rsidRDefault="00CB6D66" w:rsidP="00F01404">
      <w:pPr>
        <w:pStyle w:val="Bezriadkovania"/>
        <w:numPr>
          <w:ilvl w:val="0"/>
          <w:numId w:val="44"/>
        </w:numPr>
        <w:spacing w:before="120" w:after="120"/>
        <w:ind w:left="426" w:hanging="426"/>
        <w:jc w:val="both"/>
        <w:rPr>
          <w:b/>
          <w:bCs/>
        </w:rPr>
      </w:pPr>
      <w:proofErr w:type="spellStart"/>
      <w:r w:rsidRPr="00CB6D66">
        <w:rPr>
          <w:b/>
          <w:bCs/>
        </w:rPr>
        <w:t>Rtg</w:t>
      </w:r>
      <w:proofErr w:type="spellEnd"/>
      <w:r w:rsidRPr="00CB6D66">
        <w:rPr>
          <w:b/>
          <w:bCs/>
        </w:rPr>
        <w:t>% - Rating/Sledovanosť v %.</w:t>
      </w:r>
    </w:p>
    <w:p w14:paraId="6511AAAB" w14:textId="77777777" w:rsidR="00CB6D66" w:rsidRDefault="00CB6D66" w:rsidP="00F01404">
      <w:pPr>
        <w:pStyle w:val="Bezriadkovania"/>
        <w:spacing w:before="120" w:after="120"/>
        <w:ind w:left="426"/>
        <w:jc w:val="both"/>
      </w:pPr>
      <w:r w:rsidRPr="00CB6D66">
        <w:t>Podiel divákov z populácie (zo všetkých obyvateľov Slovenska), ktorí sledovali zvolenú oblasť (časový úsek, reláciu, spot, kanál, atď.).</w:t>
      </w:r>
    </w:p>
    <w:p w14:paraId="71CD3C1B" w14:textId="77777777" w:rsidR="00CB6D66" w:rsidRPr="00CB6D66" w:rsidRDefault="00CB6D66" w:rsidP="00F01404">
      <w:pPr>
        <w:pStyle w:val="Bezriadkovania"/>
        <w:numPr>
          <w:ilvl w:val="0"/>
          <w:numId w:val="44"/>
        </w:numPr>
        <w:spacing w:before="120" w:after="120"/>
        <w:ind w:left="426" w:hanging="426"/>
        <w:jc w:val="both"/>
        <w:rPr>
          <w:b/>
          <w:bCs/>
        </w:rPr>
      </w:pPr>
      <w:r w:rsidRPr="00CB6D66">
        <w:rPr>
          <w:b/>
          <w:bCs/>
        </w:rPr>
        <w:t>Rtg(000) - Rating / Sledovanosť v tisícoch.</w:t>
      </w:r>
    </w:p>
    <w:p w14:paraId="6987DDC7" w14:textId="77777777" w:rsidR="00CB6D66" w:rsidRPr="00CB6D66" w:rsidRDefault="00CB6D66" w:rsidP="00F01404">
      <w:pPr>
        <w:pStyle w:val="Bezriadkovania"/>
        <w:spacing w:before="120" w:after="120"/>
        <w:ind w:left="426"/>
        <w:jc w:val="both"/>
      </w:pPr>
      <w:r w:rsidRPr="00CB6D66">
        <w:t>Počet divákov z populácie v tisícoch (zo všetkých obyvateľov Slovenska), ktorí sledovali zvolenú oblasť (časový úsek, reláciu, spot, kanál, atď.).</w:t>
      </w:r>
    </w:p>
    <w:p w14:paraId="1C5412CE" w14:textId="77777777" w:rsidR="00CB6D66" w:rsidRPr="00CB6D66" w:rsidRDefault="00CB6D66" w:rsidP="00F01404">
      <w:pPr>
        <w:pStyle w:val="Bezriadkovania"/>
        <w:numPr>
          <w:ilvl w:val="0"/>
          <w:numId w:val="44"/>
        </w:numPr>
        <w:spacing w:before="120" w:after="120"/>
        <w:ind w:left="426" w:hanging="426"/>
        <w:jc w:val="both"/>
        <w:rPr>
          <w:b/>
          <w:bCs/>
        </w:rPr>
      </w:pPr>
      <w:proofErr w:type="spellStart"/>
      <w:r w:rsidRPr="00CB6D66">
        <w:rPr>
          <w:b/>
          <w:bCs/>
        </w:rPr>
        <w:t>Shr</w:t>
      </w:r>
      <w:proofErr w:type="spellEnd"/>
      <w:r w:rsidRPr="00CB6D66">
        <w:rPr>
          <w:b/>
          <w:bCs/>
        </w:rPr>
        <w:t xml:space="preserve">% - </w:t>
      </w:r>
      <w:proofErr w:type="spellStart"/>
      <w:r w:rsidRPr="00CB6D66">
        <w:rPr>
          <w:b/>
          <w:bCs/>
        </w:rPr>
        <w:t>Share</w:t>
      </w:r>
      <w:proofErr w:type="spellEnd"/>
      <w:r w:rsidRPr="00CB6D66">
        <w:rPr>
          <w:b/>
          <w:bCs/>
        </w:rPr>
        <w:t xml:space="preserve"> stanice (podiel stanice)</w:t>
      </w:r>
    </w:p>
    <w:p w14:paraId="606237CF" w14:textId="554F6E1E" w:rsidR="00CB6D66" w:rsidRPr="00CB6D66" w:rsidRDefault="00CB6D66" w:rsidP="00F01404">
      <w:pPr>
        <w:pStyle w:val="Bezriadkovania"/>
        <w:spacing w:before="120" w:after="120"/>
        <w:ind w:left="426"/>
        <w:jc w:val="both"/>
      </w:pPr>
      <w:proofErr w:type="spellStart"/>
      <w:r w:rsidRPr="00CB6D66">
        <w:t>Share</w:t>
      </w:r>
      <w:proofErr w:type="spellEnd"/>
      <w:r w:rsidRPr="00CB6D66">
        <w:t xml:space="preserve"> stanice je podiel počtu divákov sledujúcich túto stanicu z celkového počtu divákov, ktorí sledujú televíziu na všetkých sledovaných staniciach v danom čase. Udáva sa v %. </w:t>
      </w:r>
      <w:r w:rsidR="00B533DF" w:rsidRPr="00CB6D66">
        <w:t>Môžeme</w:t>
      </w:r>
      <w:r w:rsidRPr="00CB6D66">
        <w:t xml:space="preserve"> to definovať aj ako podiel priemernej sledovanosti určitej stanice na celkovej priemernej sledovanosti všetkých staníc v percentách, pre danú cieľovú skupinu a daný časový úsek. (Celková sledovanosť – TTV - je 100%.)</w:t>
      </w:r>
    </w:p>
    <w:p w14:paraId="3303EB46" w14:textId="77777777" w:rsidR="00CB6D66" w:rsidRPr="00CB6D66" w:rsidRDefault="00CB6D66" w:rsidP="00F01404">
      <w:pPr>
        <w:pStyle w:val="Bezriadkovania"/>
        <w:numPr>
          <w:ilvl w:val="0"/>
          <w:numId w:val="44"/>
        </w:numPr>
        <w:spacing w:before="120" w:after="120"/>
        <w:ind w:left="426" w:hanging="426"/>
        <w:jc w:val="both"/>
        <w:rPr>
          <w:b/>
          <w:bCs/>
        </w:rPr>
      </w:pPr>
      <w:proofErr w:type="spellStart"/>
      <w:r w:rsidRPr="00CB6D66">
        <w:rPr>
          <w:b/>
          <w:bCs/>
        </w:rPr>
        <w:t>TgAfin</w:t>
      </w:r>
      <w:proofErr w:type="spellEnd"/>
      <w:r w:rsidRPr="00CB6D66">
        <w:rPr>
          <w:b/>
          <w:bCs/>
        </w:rPr>
        <w:t xml:space="preserve">% - </w:t>
      </w:r>
      <w:proofErr w:type="spellStart"/>
      <w:r w:rsidRPr="00CB6D66">
        <w:rPr>
          <w:b/>
          <w:bCs/>
        </w:rPr>
        <w:t>TgAfin</w:t>
      </w:r>
      <w:proofErr w:type="spellEnd"/>
      <w:r w:rsidRPr="00CB6D66">
        <w:rPr>
          <w:b/>
          <w:bCs/>
        </w:rPr>
        <w:t>%: Afinita cieľovej skupiny (index)</w:t>
      </w:r>
    </w:p>
    <w:p w14:paraId="3865A58F" w14:textId="77777777" w:rsidR="00CB6D66" w:rsidRPr="00CB6D66" w:rsidRDefault="00CB6D66" w:rsidP="00F01404">
      <w:pPr>
        <w:pStyle w:val="Bezriadkovania"/>
        <w:spacing w:before="120" w:after="120"/>
        <w:ind w:left="426"/>
        <w:jc w:val="both"/>
      </w:pPr>
      <w:r w:rsidRPr="00CB6D66">
        <w:t>Podiel Ratingov v % zvolenej (afinitnej) a referenčnej cieľovej skupiny. Udáva sa v %. Referenčná cieľová skupina môže byť zvolená užívateľom.</w:t>
      </w:r>
    </w:p>
    <w:p w14:paraId="2E8D4394" w14:textId="77777777" w:rsidR="00CB6D66" w:rsidRPr="00CB6D66" w:rsidRDefault="00CB6D66" w:rsidP="00F01404">
      <w:pPr>
        <w:pStyle w:val="Bezriadkovania"/>
        <w:numPr>
          <w:ilvl w:val="0"/>
          <w:numId w:val="44"/>
        </w:numPr>
        <w:spacing w:before="120" w:after="120"/>
        <w:ind w:left="426" w:hanging="426"/>
        <w:jc w:val="both"/>
        <w:rPr>
          <w:b/>
          <w:bCs/>
        </w:rPr>
      </w:pPr>
      <w:proofErr w:type="spellStart"/>
      <w:r w:rsidRPr="00CB6D66">
        <w:rPr>
          <w:b/>
          <w:bCs/>
        </w:rPr>
        <w:t>TgSat</w:t>
      </w:r>
      <w:proofErr w:type="spellEnd"/>
      <w:r w:rsidRPr="00CB6D66">
        <w:rPr>
          <w:b/>
          <w:bCs/>
        </w:rPr>
        <w:t xml:space="preserve">% - </w:t>
      </w:r>
      <w:proofErr w:type="spellStart"/>
      <w:r w:rsidRPr="00CB6D66">
        <w:rPr>
          <w:b/>
          <w:bCs/>
        </w:rPr>
        <w:t>TgSat</w:t>
      </w:r>
      <w:proofErr w:type="spellEnd"/>
      <w:r w:rsidRPr="00CB6D66">
        <w:rPr>
          <w:b/>
          <w:bCs/>
        </w:rPr>
        <w:t>%: Nasýtenie cieľovej skupiny (profil)</w:t>
      </w:r>
    </w:p>
    <w:p w14:paraId="7C665C6E" w14:textId="77777777" w:rsidR="00CB6D66" w:rsidRPr="00CB6D66" w:rsidRDefault="00CB6D66" w:rsidP="00F01404">
      <w:pPr>
        <w:pStyle w:val="Bezriadkovania"/>
        <w:spacing w:before="120" w:after="120"/>
        <w:ind w:left="426"/>
        <w:jc w:val="both"/>
      </w:pPr>
      <w:r w:rsidRPr="00CB6D66">
        <w:t>Percento konzumácie televízie cieľovou skupinou s ohľadom na referenčnú cieľovú skupinu. Tento parameter vyjadruje vzťah medzi Priemernou sledovanosťou v tisícoch pre špecifickú cieľovú skupinu a Priemernou sledovanosťou v tisícoch v rámci referenčnej cieľovej skupiny (napr. ”celkového počtu ľudí”) – s ohľadom na rovnaké časové obdobie a rovnaký kanál.</w:t>
      </w:r>
    </w:p>
    <w:p w14:paraId="7DF4D5BA" w14:textId="77777777" w:rsidR="00CB6D66" w:rsidRPr="00CB6D66" w:rsidRDefault="00CB6D66" w:rsidP="00F01404">
      <w:pPr>
        <w:pStyle w:val="Bezriadkovania"/>
        <w:numPr>
          <w:ilvl w:val="0"/>
          <w:numId w:val="44"/>
        </w:numPr>
        <w:spacing w:before="120" w:after="120"/>
        <w:ind w:left="426" w:hanging="426"/>
        <w:jc w:val="both"/>
        <w:rPr>
          <w:b/>
          <w:bCs/>
        </w:rPr>
      </w:pPr>
      <w:proofErr w:type="spellStart"/>
      <w:r w:rsidRPr="00CB6D66">
        <w:rPr>
          <w:b/>
          <w:bCs/>
        </w:rPr>
        <w:t>TMins</w:t>
      </w:r>
      <w:proofErr w:type="spellEnd"/>
      <w:r w:rsidRPr="00CB6D66">
        <w:rPr>
          <w:b/>
          <w:bCs/>
        </w:rPr>
        <w:t xml:space="preserve"> - </w:t>
      </w:r>
      <w:proofErr w:type="spellStart"/>
      <w:r w:rsidRPr="00CB6D66">
        <w:rPr>
          <w:b/>
          <w:bCs/>
        </w:rPr>
        <w:t>Tmin</w:t>
      </w:r>
      <w:proofErr w:type="spellEnd"/>
      <w:r w:rsidRPr="00CB6D66">
        <w:rPr>
          <w:b/>
          <w:bCs/>
        </w:rPr>
        <w:t>: Celkové minúty</w:t>
      </w:r>
    </w:p>
    <w:p w14:paraId="34B844D2" w14:textId="77777777" w:rsidR="00CB6D66" w:rsidRPr="00CB6D66" w:rsidRDefault="00CB6D66" w:rsidP="00F01404">
      <w:pPr>
        <w:pStyle w:val="Bezriadkovania"/>
        <w:spacing w:before="120" w:after="120"/>
        <w:ind w:left="426"/>
        <w:jc w:val="both"/>
      </w:pPr>
      <w:r w:rsidRPr="00CB6D66">
        <w:t>Celkový počet minút venovaných sledovaniu televízie (bez denného priemeru). Poznámka: Táto jednotka je k dispozícii len pre časový modul.</w:t>
      </w:r>
    </w:p>
    <w:p w14:paraId="1C34F6B2" w14:textId="77777777" w:rsidR="00CB6D66" w:rsidRPr="00CB6D66" w:rsidRDefault="00CB6D66" w:rsidP="00F01404">
      <w:pPr>
        <w:pStyle w:val="Bezriadkovania"/>
        <w:numPr>
          <w:ilvl w:val="0"/>
          <w:numId w:val="44"/>
        </w:numPr>
        <w:spacing w:before="120" w:after="120"/>
        <w:ind w:left="426" w:hanging="426"/>
        <w:jc w:val="both"/>
        <w:rPr>
          <w:b/>
          <w:bCs/>
        </w:rPr>
      </w:pPr>
      <w:proofErr w:type="spellStart"/>
      <w:r w:rsidRPr="00CB6D66">
        <w:rPr>
          <w:b/>
          <w:bCs/>
        </w:rPr>
        <w:t>TMins</w:t>
      </w:r>
      <w:proofErr w:type="spellEnd"/>
      <w:r w:rsidRPr="00CB6D66">
        <w:rPr>
          <w:b/>
          <w:bCs/>
        </w:rPr>
        <w:t>(</w:t>
      </w:r>
      <w:proofErr w:type="spellStart"/>
      <w:r w:rsidRPr="00CB6D66">
        <w:rPr>
          <w:b/>
          <w:bCs/>
        </w:rPr>
        <w:t>View</w:t>
      </w:r>
      <w:proofErr w:type="spellEnd"/>
      <w:r w:rsidRPr="00CB6D66">
        <w:rPr>
          <w:b/>
          <w:bCs/>
        </w:rPr>
        <w:t xml:space="preserve">) - </w:t>
      </w:r>
      <w:proofErr w:type="spellStart"/>
      <w:r w:rsidRPr="00CB6D66">
        <w:rPr>
          <w:b/>
          <w:bCs/>
        </w:rPr>
        <w:t>Total</w:t>
      </w:r>
      <w:proofErr w:type="spellEnd"/>
      <w:r w:rsidRPr="00CB6D66">
        <w:rPr>
          <w:b/>
          <w:bCs/>
        </w:rPr>
        <w:t xml:space="preserve"> </w:t>
      </w:r>
      <w:proofErr w:type="spellStart"/>
      <w:r w:rsidRPr="00CB6D66">
        <w:rPr>
          <w:b/>
          <w:bCs/>
        </w:rPr>
        <w:t>Minutes</w:t>
      </w:r>
      <w:proofErr w:type="spellEnd"/>
      <w:r w:rsidRPr="00CB6D66">
        <w:rPr>
          <w:b/>
          <w:bCs/>
        </w:rPr>
        <w:t xml:space="preserve"> </w:t>
      </w:r>
      <w:proofErr w:type="spellStart"/>
      <w:r w:rsidRPr="00CB6D66">
        <w:rPr>
          <w:b/>
          <w:bCs/>
        </w:rPr>
        <w:t>Viewers</w:t>
      </w:r>
      <w:proofErr w:type="spellEnd"/>
      <w:r w:rsidRPr="00CB6D66">
        <w:rPr>
          <w:b/>
          <w:bCs/>
        </w:rPr>
        <w:t>.</w:t>
      </w:r>
    </w:p>
    <w:p w14:paraId="36E8CC4D" w14:textId="63405BFF" w:rsidR="00564089" w:rsidRPr="00CB6D66" w:rsidRDefault="00CB6D66" w:rsidP="00F01404">
      <w:pPr>
        <w:pStyle w:val="Bezriadkovania"/>
        <w:spacing w:before="120" w:after="120"/>
        <w:ind w:left="426"/>
        <w:jc w:val="both"/>
      </w:pPr>
      <w:r w:rsidRPr="00CB6D66">
        <w:t xml:space="preserve">Celkový počet </w:t>
      </w:r>
      <w:proofErr w:type="spellStart"/>
      <w:r w:rsidRPr="00CB6D66">
        <w:t>odsledovaných</w:t>
      </w:r>
      <w:proofErr w:type="spellEnd"/>
      <w:r w:rsidRPr="00CB6D66">
        <w:t xml:space="preserve"> minút na diváka (bez denného priemeru), ktorí splnili podmienku </w:t>
      </w:r>
      <w:proofErr w:type="spellStart"/>
      <w:r w:rsidRPr="00CB6D66">
        <w:t>Reach</w:t>
      </w:r>
      <w:proofErr w:type="spellEnd"/>
      <w:r w:rsidRPr="00CB6D66">
        <w:t>. Udáva sa v</w:t>
      </w:r>
      <w:r w:rsidR="00B533DF">
        <w:t xml:space="preserve"> </w:t>
      </w:r>
      <w:r w:rsidRPr="00CB6D66">
        <w:t>minútach.</w:t>
      </w:r>
    </w:p>
    <w:sectPr w:rsidR="00564089" w:rsidRPr="00CB6D66" w:rsidSect="00404252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417" w:right="1417" w:bottom="1417" w:left="1417" w:header="426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B84DB48" w14:textId="77777777" w:rsidR="00217A54" w:rsidRDefault="00217A54" w:rsidP="00B948E0">
      <w:r>
        <w:separator/>
      </w:r>
    </w:p>
  </w:endnote>
  <w:endnote w:type="continuationSeparator" w:id="0">
    <w:p w14:paraId="6E640B11" w14:textId="77777777" w:rsidR="00217A54" w:rsidRDefault="00217A54" w:rsidP="00B948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Helvetica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UAlbertina">
    <w:altName w:val="Times New Roman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DA17C3" w14:textId="77777777" w:rsidR="00F365DE" w:rsidRDefault="00F365DE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00EC241" w14:textId="77777777" w:rsidR="00314454" w:rsidRPr="005A5209" w:rsidRDefault="00314454" w:rsidP="005A5209">
    <w:pPr>
      <w:tabs>
        <w:tab w:val="center" w:pos="4536"/>
        <w:tab w:val="right" w:pos="9072"/>
      </w:tabs>
      <w:jc w:val="right"/>
    </w:pPr>
    <w:r w:rsidRPr="005A5209">
      <w:rPr>
        <w:noProof/>
      </w:rPr>
      <mc:AlternateContent>
        <mc:Choice Requires="wps">
          <w:drawing>
            <wp:anchor distT="0" distB="0" distL="114300" distR="114300" simplePos="0" relativeHeight="251674624" behindDoc="0" locked="0" layoutInCell="1" allowOverlap="1" wp14:anchorId="32EEECD9" wp14:editId="13011F3F">
              <wp:simplePos x="0" y="0"/>
              <wp:positionH relativeFrom="column">
                <wp:posOffset>-4445</wp:posOffset>
              </wp:positionH>
              <wp:positionV relativeFrom="paragraph">
                <wp:posOffset>151130</wp:posOffset>
              </wp:positionV>
              <wp:extent cx="5762625" cy="9525"/>
              <wp:effectExtent l="57150" t="38100" r="47625" b="85725"/>
              <wp:wrapNone/>
              <wp:docPr id="4" name="Rovná spojnica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rgbClr val="4F81BD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</wp:anchor>
          </w:drawing>
        </mc:Choice>
        <mc:Fallback xmlns:w16se="http://schemas.microsoft.com/office/word/2015/wordml/symex" xmlns:w15="http://schemas.microsoft.com/office/word/2012/wordml" xmlns:cx="http://schemas.microsoft.com/office/drawing/2014/chartex">
          <w:pict>
            <v:line w14:anchorId="2663C099" id="Rovná spojnica 4" o:spid="_x0000_s1026" style="position:absolute;flip:y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" strokecolor="#4f81bd" strokeweight="3pt">
              <v:shadow on="t" color="black" opacity="22937f" origin=",.5" offset="0,.63889mm"/>
            </v:line>
          </w:pict>
        </mc:Fallback>
      </mc:AlternateContent>
    </w:r>
    <w:r w:rsidRPr="005A5209">
      <w:t xml:space="preserve"> </w:t>
    </w:r>
  </w:p>
  <w:p w14:paraId="113EFE20" w14:textId="4DF76A6E" w:rsidR="00314454" w:rsidRPr="005A5209" w:rsidRDefault="00314454" w:rsidP="005A5209">
    <w:pPr>
      <w:tabs>
        <w:tab w:val="center" w:pos="4536"/>
        <w:tab w:val="right" w:pos="9072"/>
      </w:tabs>
      <w:jc w:val="right"/>
    </w:pPr>
    <w:r w:rsidRPr="005A5209">
      <w:t xml:space="preserve">Strana </w:t>
    </w:r>
    <w:sdt>
      <w:sdtPr>
        <w:id w:val="320479949"/>
        <w:docPartObj>
          <w:docPartGallery w:val="Page Numbers (Bottom of Page)"/>
          <w:docPartUnique/>
        </w:docPartObj>
      </w:sdtPr>
      <w:sdtEndPr/>
      <w:sdtContent>
        <w:r w:rsidRPr="005A5209">
          <w:fldChar w:fldCharType="begin"/>
        </w:r>
        <w:r w:rsidRPr="005A5209">
          <w:instrText>PAGE   \* MERGEFORMAT</w:instrText>
        </w:r>
        <w:r w:rsidRPr="005A5209">
          <w:fldChar w:fldCharType="separate"/>
        </w:r>
        <w:r w:rsidR="00F365DE">
          <w:rPr>
            <w:noProof/>
          </w:rPr>
          <w:t>1</w:t>
        </w:r>
        <w:r w:rsidRPr="005A5209">
          <w:fldChar w:fldCharType="end"/>
        </w:r>
      </w:sdtContent>
    </w:sdt>
  </w:p>
  <w:p w14:paraId="38A7C22E" w14:textId="77777777" w:rsidR="00314454" w:rsidRPr="005A5209" w:rsidRDefault="00314454" w:rsidP="005A5209">
    <w:pPr>
      <w:tabs>
        <w:tab w:val="center" w:pos="4536"/>
        <w:tab w:val="right" w:pos="9072"/>
      </w:tabs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0F98BA7" w14:textId="77777777" w:rsidR="00314454" w:rsidRPr="00CF60E2" w:rsidRDefault="00314454" w:rsidP="003F324D">
    <w:pPr>
      <w:tabs>
        <w:tab w:val="center" w:pos="4536"/>
        <w:tab w:val="right" w:pos="9072"/>
      </w:tabs>
      <w:jc w:val="right"/>
    </w:pPr>
    <w:r w:rsidRPr="00CF60E2">
      <w:rPr>
        <w:noProof/>
      </w:rPr>
      <w:drawing>
        <wp:anchor distT="0" distB="0" distL="114300" distR="114300" simplePos="0" relativeHeight="251666432" behindDoc="1" locked="0" layoutInCell="1" allowOverlap="1" wp14:anchorId="75C99AA0" wp14:editId="523DE788">
          <wp:simplePos x="0" y="0"/>
          <wp:positionH relativeFrom="column">
            <wp:posOffset>71755</wp:posOffset>
          </wp:positionH>
          <wp:positionV relativeFrom="paragraph">
            <wp:posOffset>53340</wp:posOffset>
          </wp:positionV>
          <wp:extent cx="704850" cy="513080"/>
          <wp:effectExtent l="0" t="0" r="0" b="1270"/>
          <wp:wrapTight wrapText="bothSides">
            <wp:wrapPolygon edited="0">
              <wp:start x="0" y="0"/>
              <wp:lineTo x="0" y="20851"/>
              <wp:lineTo x="21016" y="20851"/>
              <wp:lineTo x="21016" y="0"/>
              <wp:lineTo x="0" y="0"/>
            </wp:wrapPolygon>
          </wp:wrapTight>
          <wp:docPr id="8" name="Obrázo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13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CF60E2">
      <w:t xml:space="preserve">Strana </w:t>
    </w:r>
    <w:sdt>
      <w:sdtPr>
        <w:id w:val="-1886790313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sdtContent>
    </w:sdt>
  </w:p>
  <w:p w14:paraId="106F56BE" w14:textId="77777777" w:rsidR="00314454" w:rsidRDefault="00314454" w:rsidP="003F324D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CFCB890" w14:textId="77777777" w:rsidR="00217A54" w:rsidRDefault="00217A54" w:rsidP="00B948E0">
      <w:r>
        <w:separator/>
      </w:r>
    </w:p>
  </w:footnote>
  <w:footnote w:type="continuationSeparator" w:id="0">
    <w:p w14:paraId="61AB9226" w14:textId="77777777" w:rsidR="00217A54" w:rsidRDefault="00217A54" w:rsidP="00B948E0">
      <w:r>
        <w:continuationSeparator/>
      </w:r>
    </w:p>
  </w:footnote>
  <w:footnote w:id="1">
    <w:p w14:paraId="2BE82C8A" w14:textId="77777777" w:rsidR="00314454" w:rsidRPr="005A544B" w:rsidRDefault="00314454" w:rsidP="00CB6D66">
      <w:pPr>
        <w:pStyle w:val="Textpoznmkypodiarou"/>
      </w:pPr>
      <w:r w:rsidRPr="005A544B">
        <w:rPr>
          <w:rStyle w:val="Odkaznapoznmkupodiarou"/>
        </w:rPr>
        <w:footnoteRef/>
      </w:r>
      <w:r w:rsidRPr="005A544B">
        <w:t xml:space="preserve"> </w:t>
      </w:r>
      <w:r w:rsidRPr="00C95807">
        <w:t>Zdroj: PMT / TNS  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1C4E92E" w14:textId="77777777" w:rsidR="00314454" w:rsidRDefault="00217A54">
    <w:pPr>
      <w:pStyle w:val="Hlavika"/>
    </w:pPr>
    <w:r>
      <w:rPr>
        <w:noProof/>
      </w:rPr>
      <w:pict w14:anchorId="793D016A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5759799" o:spid="_x0000_s2050" type="#_x0000_t136" style="position:absolute;margin-left:0;margin-top:0;width:426.35pt;height:213.15pt;rotation:315;z-index:-251645952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VZOR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00705FF" w14:textId="77777777" w:rsidR="00314454" w:rsidRDefault="00217A54" w:rsidP="00CF60E2">
    <w:pPr>
      <w:tabs>
        <w:tab w:val="center" w:pos="4536"/>
        <w:tab w:val="right" w:pos="9072"/>
      </w:tabs>
    </w:pPr>
    <w:r>
      <w:rPr>
        <w:noProof/>
      </w:rPr>
      <w:pict w14:anchorId="346C27A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5759800" o:spid="_x0000_s2051" type="#_x0000_t136" style="position:absolute;margin-left:0;margin-top:0;width:426.35pt;height:213.15pt;rotation:315;z-index:-251643904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VZOR"/>
          <w10:wrap anchorx="margin" anchory="margin"/>
        </v:shape>
      </w:pict>
    </w:r>
    <w:r w:rsidR="00314454">
      <w:t>Príloha č. 1 k MP ÚV SR č. 16 – Komunikačná stratégia</w:t>
    </w:r>
  </w:p>
  <w:p w14:paraId="587DF82E" w14:textId="77777777" w:rsidR="00314454" w:rsidRPr="00CF60E2" w:rsidRDefault="00314454" w:rsidP="00CF60E2">
    <w:pPr>
      <w:tabs>
        <w:tab w:val="center" w:pos="4536"/>
        <w:tab w:val="right" w:pos="9072"/>
      </w:tabs>
    </w:pPr>
    <w:r w:rsidRPr="00CF60E2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43A4474" wp14:editId="3A60E99D">
              <wp:simplePos x="0" y="0"/>
              <wp:positionH relativeFrom="column">
                <wp:posOffset>-4445</wp:posOffset>
              </wp:positionH>
              <wp:positionV relativeFrom="paragraph">
                <wp:posOffset>135255</wp:posOffset>
              </wp:positionV>
              <wp:extent cx="5762625" cy="9525"/>
              <wp:effectExtent l="57150" t="38100" r="47625" b="85725"/>
              <wp:wrapNone/>
              <wp:docPr id="3" name="Rovná spojnica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rgbClr val="4F81BD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</wp:anchor>
          </w:drawing>
        </mc:Choice>
        <mc:Fallback xmlns:w16se="http://schemas.microsoft.com/office/word/2015/wordml/symex" xmlns:w15="http://schemas.microsoft.com/office/word/2012/wordml" xmlns:cx="http://schemas.microsoft.com/office/drawing/2014/chartex">
          <w:pict>
            <v:line w14:anchorId="0493D147" id="Rovná spojnica 3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0.65pt" to="453.4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" strokecolor="#4f81bd" strokeweight="3pt">
              <v:shadow on="t" color="black" opacity="22937f" origin=",.5" offset="0,.63889mm"/>
            </v:line>
          </w:pict>
        </mc:Fallback>
      </mc:AlternateContent>
    </w:r>
  </w:p>
  <w:sdt>
    <w:sdtPr>
      <w:rPr>
        <w:szCs w:val="20"/>
      </w:rPr>
      <w:id w:val="2070840989"/>
      <w:date w:fullDate="2017-05-09T00:00:00Z">
        <w:dateFormat w:val="dd.MM.yyyy"/>
        <w:lid w:val="sk-SK"/>
        <w:storeMappedDataAs w:val="dateTime"/>
        <w:calendar w:val="gregorian"/>
      </w:date>
    </w:sdtPr>
    <w:sdtEndPr/>
    <w:sdtContent>
      <w:p w14:paraId="73A6CFF4" w14:textId="4971D5A3" w:rsidR="00314454" w:rsidRPr="00CF60E2" w:rsidRDefault="00F365DE" w:rsidP="00CF60E2">
        <w:pPr>
          <w:tabs>
            <w:tab w:val="center" w:pos="4536"/>
            <w:tab w:val="right" w:pos="9072"/>
          </w:tabs>
          <w:jc w:val="right"/>
        </w:pPr>
        <w:r>
          <w:rPr>
            <w:szCs w:val="20"/>
          </w:rPr>
          <w:t>09.05.2017</w:t>
        </w:r>
      </w:p>
    </w:sdtContent>
  </w:sdt>
  <w:p w14:paraId="6184BC46" w14:textId="77777777" w:rsidR="00314454" w:rsidRDefault="00314454">
    <w:pPr>
      <w:pStyle w:val="Hlavik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1BE5E8D" w14:textId="77777777" w:rsidR="00314454" w:rsidRDefault="00217A54" w:rsidP="003F324D">
    <w:pPr>
      <w:tabs>
        <w:tab w:val="center" w:pos="4536"/>
        <w:tab w:val="right" w:pos="9072"/>
      </w:tabs>
    </w:pPr>
    <w:r>
      <w:rPr>
        <w:noProof/>
      </w:rPr>
      <w:pict w14:anchorId="2D186245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5759798" o:spid="_x0000_s2049" type="#_x0000_t136" style="position:absolute;margin-left:0;margin-top:0;width:426.35pt;height:213.15pt;rotation:315;z-index:-251648000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VZOR"/>
          <w10:wrap anchorx="margin" anchory="margin"/>
        </v:shape>
      </w:pict>
    </w:r>
    <w:r w:rsidR="00314454">
      <w:t>Príloha č. 4 MP CKO č. X – Manuál pre informovanie a komunikáciu</w:t>
    </w:r>
  </w:p>
  <w:p w14:paraId="2F3E2D34" w14:textId="77777777" w:rsidR="00314454" w:rsidRPr="003F324D" w:rsidRDefault="00314454" w:rsidP="003F324D">
    <w:pPr>
      <w:tabs>
        <w:tab w:val="center" w:pos="4536"/>
        <w:tab w:val="right" w:pos="9072"/>
      </w:tabs>
    </w:pPr>
    <w:r w:rsidRPr="003F324D"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1B7EB541" wp14:editId="66FC3D54">
              <wp:simplePos x="0" y="0"/>
              <wp:positionH relativeFrom="column">
                <wp:posOffset>-4445</wp:posOffset>
              </wp:positionH>
              <wp:positionV relativeFrom="paragraph">
                <wp:posOffset>135255</wp:posOffset>
              </wp:positionV>
              <wp:extent cx="5762625" cy="9525"/>
              <wp:effectExtent l="57150" t="38100" r="47625" b="85725"/>
              <wp:wrapNone/>
              <wp:docPr id="7" name="Rovná spojnica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rgbClr val="4F81BD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="http://schemas.microsoft.com/office/drawing/2014/chartex">
          <w:pict>
            <v:line w14:anchorId="25FE8FB6" id="Rovná spojnica 7" o:spid="_x0000_s1026" style="position:absolute;flip:y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0.65pt" to="453.4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" strokecolor="#4f81bd" strokeweight="3pt">
              <v:shadow on="t" color="black" opacity="22937f" origin=",.5" offset="0,.63889mm"/>
              <o:lock v:ext="edit" shapetype="f"/>
            </v:line>
          </w:pict>
        </mc:Fallback>
      </mc:AlternateContent>
    </w:r>
  </w:p>
  <w:sdt>
    <w:sdtPr>
      <w:rPr>
        <w:szCs w:val="20"/>
      </w:rPr>
      <w:id w:val="-1271233656"/>
      <w:showingPlcHdr/>
      <w:date>
        <w:dateFormat w:val="dd.MM.yyyy"/>
        <w:lid w:val="sk-SK"/>
        <w:storeMappedDataAs w:val="dateTime"/>
        <w:calendar w:val="gregorian"/>
      </w:date>
    </w:sdtPr>
    <w:sdtEndPr/>
    <w:sdtContent>
      <w:p w14:paraId="7F58DF9B" w14:textId="06377D8C" w:rsidR="00314454" w:rsidRPr="003F324D" w:rsidRDefault="00314454" w:rsidP="003F324D">
        <w:pPr>
          <w:tabs>
            <w:tab w:val="center" w:pos="4536"/>
            <w:tab w:val="right" w:pos="9072"/>
          </w:tabs>
          <w:jc w:val="right"/>
        </w:pPr>
        <w:r w:rsidRPr="003F324D">
          <w:rPr>
            <w:rFonts w:eastAsiaTheme="minorHAnsi"/>
            <w:color w:val="808080"/>
          </w:rPr>
          <w:t>Kliknutím zadáte dátum.</w: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B3044F"/>
    <w:multiLevelType w:val="hybridMultilevel"/>
    <w:tmpl w:val="1770A716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6C8555D"/>
    <w:multiLevelType w:val="hybridMultilevel"/>
    <w:tmpl w:val="25965396"/>
    <w:lvl w:ilvl="0" w:tplc="041B0019">
      <w:start w:val="1"/>
      <w:numFmt w:val="low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2B556A"/>
    <w:multiLevelType w:val="hybridMultilevel"/>
    <w:tmpl w:val="11009A82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96B7547"/>
    <w:multiLevelType w:val="hybridMultilevel"/>
    <w:tmpl w:val="9AECFAB0"/>
    <w:lvl w:ilvl="0" w:tplc="041B000F">
      <w:start w:val="1"/>
      <w:numFmt w:val="decimal"/>
      <w:lvlText w:val="%1."/>
      <w:lvlJc w:val="left"/>
      <w:pPr>
        <w:ind w:left="502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9CA3754"/>
    <w:multiLevelType w:val="hybridMultilevel"/>
    <w:tmpl w:val="9AECFAB0"/>
    <w:lvl w:ilvl="0" w:tplc="041B000F">
      <w:start w:val="1"/>
      <w:numFmt w:val="decimal"/>
      <w:lvlText w:val="%1."/>
      <w:lvlJc w:val="left"/>
      <w:pPr>
        <w:ind w:left="502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C9E2DFF"/>
    <w:multiLevelType w:val="hybridMultilevel"/>
    <w:tmpl w:val="AABC798E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CF65BCD"/>
    <w:multiLevelType w:val="hybridMultilevel"/>
    <w:tmpl w:val="3D3C723A"/>
    <w:lvl w:ilvl="0" w:tplc="C5C8157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Palatino Linotype" w:hAnsi="Palatino Linotype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1593994"/>
    <w:multiLevelType w:val="hybridMultilevel"/>
    <w:tmpl w:val="63FC349E"/>
    <w:lvl w:ilvl="0" w:tplc="041B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D95661E2">
      <w:start w:val="5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Helvetica" w:eastAsia="Times New Roman" w:hAnsi="Helvetica" w:cs="Times New Roman" w:hint="default"/>
      </w:rPr>
    </w:lvl>
    <w:lvl w:ilvl="2" w:tplc="041B001B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B000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Arial" w:hint="default"/>
      </w:rPr>
    </w:lvl>
    <w:lvl w:ilvl="5" w:tplc="041B001B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Arial" w:hint="default"/>
      </w:rPr>
    </w:lvl>
    <w:lvl w:ilvl="8" w:tplc="041B001B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1325388C"/>
    <w:multiLevelType w:val="hybridMultilevel"/>
    <w:tmpl w:val="4D867676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  <w:color w:val="auto"/>
      </w:rPr>
    </w:lvl>
    <w:lvl w:ilvl="1" w:tplc="326CC4F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  <w:i w:val="0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69F0E51"/>
    <w:multiLevelType w:val="hybridMultilevel"/>
    <w:tmpl w:val="E318B48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6E0405B"/>
    <w:multiLevelType w:val="hybridMultilevel"/>
    <w:tmpl w:val="5D0E4DA4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17FF5539"/>
    <w:multiLevelType w:val="hybridMultilevel"/>
    <w:tmpl w:val="6EE02870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18256CBE"/>
    <w:multiLevelType w:val="hybridMultilevel"/>
    <w:tmpl w:val="B7BAF294"/>
    <w:lvl w:ilvl="0" w:tplc="C5C8157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Palatino Linotype" w:hAnsi="Palatino Linotype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18286A18"/>
    <w:multiLevelType w:val="hybridMultilevel"/>
    <w:tmpl w:val="BA0632B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90920D6"/>
    <w:multiLevelType w:val="hybridMultilevel"/>
    <w:tmpl w:val="D6C28C70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1A7B14C7"/>
    <w:multiLevelType w:val="hybridMultilevel"/>
    <w:tmpl w:val="46FC7D02"/>
    <w:lvl w:ilvl="0" w:tplc="30F0F38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F87EA37A">
      <w:start w:val="1"/>
      <w:numFmt w:val="lowerLetter"/>
      <w:lvlText w:val="%2)"/>
      <w:lvlJc w:val="left"/>
      <w:pPr>
        <w:ind w:left="1440" w:hanging="360"/>
      </w:pPr>
      <w:rPr>
        <w:rFonts w:hint="default"/>
        <w:b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C63302A"/>
    <w:multiLevelType w:val="hybridMultilevel"/>
    <w:tmpl w:val="CF1298F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1F5948CD"/>
    <w:multiLevelType w:val="hybridMultilevel"/>
    <w:tmpl w:val="56D0D3E6"/>
    <w:lvl w:ilvl="0" w:tplc="041B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22E26077"/>
    <w:multiLevelType w:val="hybridMultilevel"/>
    <w:tmpl w:val="C7F0E8D6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4F7584B"/>
    <w:multiLevelType w:val="hybridMultilevel"/>
    <w:tmpl w:val="FDF2EB8C"/>
    <w:lvl w:ilvl="0" w:tplc="041B0011">
      <w:start w:val="1"/>
      <w:numFmt w:val="decimal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B661E30"/>
    <w:multiLevelType w:val="hybridMultilevel"/>
    <w:tmpl w:val="8FD42D48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2EC33BA2"/>
    <w:multiLevelType w:val="multilevel"/>
    <w:tmpl w:val="A9049A5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>
    <w:nsid w:val="334D42AB"/>
    <w:multiLevelType w:val="hybridMultilevel"/>
    <w:tmpl w:val="46FC7D02"/>
    <w:lvl w:ilvl="0" w:tplc="30F0F38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F87EA37A">
      <w:start w:val="1"/>
      <w:numFmt w:val="lowerLetter"/>
      <w:lvlText w:val="%2)"/>
      <w:lvlJc w:val="left"/>
      <w:pPr>
        <w:ind w:left="1440" w:hanging="360"/>
      </w:pPr>
      <w:rPr>
        <w:rFonts w:hint="default"/>
        <w:b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49B54F4"/>
    <w:multiLevelType w:val="hybridMultilevel"/>
    <w:tmpl w:val="46FC7D02"/>
    <w:lvl w:ilvl="0" w:tplc="30F0F38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F87EA37A">
      <w:start w:val="1"/>
      <w:numFmt w:val="lowerLetter"/>
      <w:lvlText w:val="%2)"/>
      <w:lvlJc w:val="left"/>
      <w:pPr>
        <w:ind w:left="1440" w:hanging="360"/>
      </w:pPr>
      <w:rPr>
        <w:rFonts w:hint="default"/>
        <w:b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67563AE"/>
    <w:multiLevelType w:val="multilevel"/>
    <w:tmpl w:val="3A1EDB1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tl2"/>
      <w:lvlText w:val="%1.%2."/>
      <w:lvlJc w:val="left"/>
      <w:pPr>
        <w:ind w:left="858" w:hanging="432"/>
      </w:pPr>
      <w:rPr>
        <w:color w:val="00B0F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>
    <w:nsid w:val="36FD3D8F"/>
    <w:multiLevelType w:val="hybridMultilevel"/>
    <w:tmpl w:val="BC385F5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39826FDF"/>
    <w:multiLevelType w:val="hybridMultilevel"/>
    <w:tmpl w:val="6DC83294"/>
    <w:lvl w:ilvl="0" w:tplc="08A2A328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Arial" w:hint="default"/>
      </w:rPr>
    </w:lvl>
    <w:lvl w:ilvl="1" w:tplc="D95661E2">
      <w:start w:val="5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Helvetica" w:eastAsia="Times New Roman" w:hAnsi="Helvetica" w:cs="Times New Roman" w:hint="default"/>
      </w:rPr>
    </w:lvl>
    <w:lvl w:ilvl="2" w:tplc="041B001B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B000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Arial" w:hint="default"/>
      </w:rPr>
    </w:lvl>
    <w:lvl w:ilvl="5" w:tplc="041B001B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Arial" w:hint="default"/>
      </w:rPr>
    </w:lvl>
    <w:lvl w:ilvl="8" w:tplc="041B001B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>
    <w:nsid w:val="3D4956BE"/>
    <w:multiLevelType w:val="hybridMultilevel"/>
    <w:tmpl w:val="22AA276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02A5A32"/>
    <w:multiLevelType w:val="hybridMultilevel"/>
    <w:tmpl w:val="EE5E214A"/>
    <w:lvl w:ilvl="0" w:tplc="041B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>
    <w:nsid w:val="45D377D9"/>
    <w:multiLevelType w:val="hybridMultilevel"/>
    <w:tmpl w:val="45622AD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76E16D5"/>
    <w:multiLevelType w:val="hybridMultilevel"/>
    <w:tmpl w:val="B60ED88E"/>
    <w:lvl w:ilvl="0" w:tplc="041B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4C2A19D4"/>
    <w:multiLevelType w:val="hybridMultilevel"/>
    <w:tmpl w:val="643A9C0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A61CECA4">
      <w:start w:val="1"/>
      <w:numFmt w:val="lowerLetter"/>
      <w:lvlText w:val="%2)"/>
      <w:lvlJc w:val="left"/>
      <w:pPr>
        <w:ind w:left="1440" w:hanging="360"/>
      </w:pPr>
      <w:rPr>
        <w:b w:val="0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FF35265"/>
    <w:multiLevelType w:val="hybridMultilevel"/>
    <w:tmpl w:val="56A2037E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4FFE7FD6"/>
    <w:multiLevelType w:val="hybridMultilevel"/>
    <w:tmpl w:val="0BDEA4F4"/>
    <w:lvl w:ilvl="0" w:tplc="B67E8880">
      <w:start w:val="7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1706D22"/>
    <w:multiLevelType w:val="hybridMultilevel"/>
    <w:tmpl w:val="FEA2147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5D46FDB"/>
    <w:multiLevelType w:val="hybridMultilevel"/>
    <w:tmpl w:val="16A62AE2"/>
    <w:lvl w:ilvl="0" w:tplc="3AA68606">
      <w:numFmt w:val="bullet"/>
      <w:lvlText w:val="-"/>
      <w:lvlJc w:val="left"/>
      <w:pPr>
        <w:ind w:left="1080" w:hanging="360"/>
      </w:pPr>
      <w:rPr>
        <w:rFonts w:ascii="Calibri" w:eastAsia="Cambria" w:hAnsi="Calibri" w:cs="Times New Roman" w:hint="default"/>
      </w:rPr>
    </w:lvl>
    <w:lvl w:ilvl="1" w:tplc="041B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">
    <w:nsid w:val="59AD014A"/>
    <w:multiLevelType w:val="hybridMultilevel"/>
    <w:tmpl w:val="3E20DF28"/>
    <w:lvl w:ilvl="0" w:tplc="C5C81572">
      <w:start w:val="1"/>
      <w:numFmt w:val="bullet"/>
      <w:lvlText w:val="-"/>
      <w:lvlJc w:val="left"/>
      <w:pPr>
        <w:ind w:left="720" w:hanging="360"/>
      </w:pPr>
      <w:rPr>
        <w:rFonts w:ascii="Palatino Linotype" w:hAnsi="Palatino Linotype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5CBB34AF"/>
    <w:multiLevelType w:val="hybridMultilevel"/>
    <w:tmpl w:val="B60ED88E"/>
    <w:lvl w:ilvl="0" w:tplc="041B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5D0C706F"/>
    <w:multiLevelType w:val="hybridMultilevel"/>
    <w:tmpl w:val="570AB0E8"/>
    <w:lvl w:ilvl="0" w:tplc="041B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">
    <w:nsid w:val="5E2C02DA"/>
    <w:multiLevelType w:val="hybridMultilevel"/>
    <w:tmpl w:val="3B0EE5B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09339D5"/>
    <w:multiLevelType w:val="hybridMultilevel"/>
    <w:tmpl w:val="B9F2E92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0FB3BAA"/>
    <w:multiLevelType w:val="hybridMultilevel"/>
    <w:tmpl w:val="4B3EEAE4"/>
    <w:lvl w:ilvl="0" w:tplc="041B0017">
      <w:start w:val="1"/>
      <w:numFmt w:val="lowerLetter"/>
      <w:lvlText w:val="%1)"/>
      <w:lvlJc w:val="left"/>
      <w:pPr>
        <w:ind w:left="1260" w:hanging="360"/>
      </w:pPr>
    </w:lvl>
    <w:lvl w:ilvl="1" w:tplc="041B0019">
      <w:start w:val="1"/>
      <w:numFmt w:val="lowerLetter"/>
      <w:lvlText w:val="%2."/>
      <w:lvlJc w:val="left"/>
      <w:pPr>
        <w:ind w:left="1980" w:hanging="360"/>
      </w:pPr>
    </w:lvl>
    <w:lvl w:ilvl="2" w:tplc="041B001B" w:tentative="1">
      <w:start w:val="1"/>
      <w:numFmt w:val="lowerRoman"/>
      <w:lvlText w:val="%3."/>
      <w:lvlJc w:val="right"/>
      <w:pPr>
        <w:ind w:left="2700" w:hanging="180"/>
      </w:pPr>
    </w:lvl>
    <w:lvl w:ilvl="3" w:tplc="041B000F" w:tentative="1">
      <w:start w:val="1"/>
      <w:numFmt w:val="decimal"/>
      <w:lvlText w:val="%4."/>
      <w:lvlJc w:val="left"/>
      <w:pPr>
        <w:ind w:left="3420" w:hanging="360"/>
      </w:pPr>
    </w:lvl>
    <w:lvl w:ilvl="4" w:tplc="041B0019" w:tentative="1">
      <w:start w:val="1"/>
      <w:numFmt w:val="lowerLetter"/>
      <w:lvlText w:val="%5."/>
      <w:lvlJc w:val="left"/>
      <w:pPr>
        <w:ind w:left="4140" w:hanging="360"/>
      </w:pPr>
    </w:lvl>
    <w:lvl w:ilvl="5" w:tplc="041B001B" w:tentative="1">
      <w:start w:val="1"/>
      <w:numFmt w:val="lowerRoman"/>
      <w:lvlText w:val="%6."/>
      <w:lvlJc w:val="right"/>
      <w:pPr>
        <w:ind w:left="4860" w:hanging="180"/>
      </w:pPr>
    </w:lvl>
    <w:lvl w:ilvl="6" w:tplc="041B000F" w:tentative="1">
      <w:start w:val="1"/>
      <w:numFmt w:val="decimal"/>
      <w:lvlText w:val="%7."/>
      <w:lvlJc w:val="left"/>
      <w:pPr>
        <w:ind w:left="5580" w:hanging="360"/>
      </w:pPr>
    </w:lvl>
    <w:lvl w:ilvl="7" w:tplc="041B0019" w:tentative="1">
      <w:start w:val="1"/>
      <w:numFmt w:val="lowerLetter"/>
      <w:lvlText w:val="%8."/>
      <w:lvlJc w:val="left"/>
      <w:pPr>
        <w:ind w:left="6300" w:hanging="360"/>
      </w:pPr>
    </w:lvl>
    <w:lvl w:ilvl="8" w:tplc="041B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2">
    <w:nsid w:val="62983B1B"/>
    <w:multiLevelType w:val="hybridMultilevel"/>
    <w:tmpl w:val="7362F0F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64B41D3B"/>
    <w:multiLevelType w:val="hybridMultilevel"/>
    <w:tmpl w:val="42A2B51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68E158AF"/>
    <w:multiLevelType w:val="hybridMultilevel"/>
    <w:tmpl w:val="E79E3E0E"/>
    <w:lvl w:ilvl="0" w:tplc="041B0017">
      <w:start w:val="1"/>
      <w:numFmt w:val="lowerLetter"/>
      <w:lvlText w:val="%1)"/>
      <w:lvlJc w:val="left"/>
      <w:pPr>
        <w:ind w:left="1260" w:hanging="360"/>
      </w:pPr>
    </w:lvl>
    <w:lvl w:ilvl="1" w:tplc="041B0017">
      <w:start w:val="1"/>
      <w:numFmt w:val="lowerLetter"/>
      <w:lvlText w:val="%2)"/>
      <w:lvlJc w:val="left"/>
      <w:pPr>
        <w:ind w:left="1980" w:hanging="360"/>
      </w:pPr>
    </w:lvl>
    <w:lvl w:ilvl="2" w:tplc="041B001B" w:tentative="1">
      <w:start w:val="1"/>
      <w:numFmt w:val="lowerRoman"/>
      <w:lvlText w:val="%3."/>
      <w:lvlJc w:val="right"/>
      <w:pPr>
        <w:ind w:left="2700" w:hanging="180"/>
      </w:pPr>
    </w:lvl>
    <w:lvl w:ilvl="3" w:tplc="041B000F" w:tentative="1">
      <w:start w:val="1"/>
      <w:numFmt w:val="decimal"/>
      <w:lvlText w:val="%4."/>
      <w:lvlJc w:val="left"/>
      <w:pPr>
        <w:ind w:left="3420" w:hanging="360"/>
      </w:pPr>
    </w:lvl>
    <w:lvl w:ilvl="4" w:tplc="041B0019" w:tentative="1">
      <w:start w:val="1"/>
      <w:numFmt w:val="lowerLetter"/>
      <w:lvlText w:val="%5."/>
      <w:lvlJc w:val="left"/>
      <w:pPr>
        <w:ind w:left="4140" w:hanging="360"/>
      </w:pPr>
    </w:lvl>
    <w:lvl w:ilvl="5" w:tplc="041B001B" w:tentative="1">
      <w:start w:val="1"/>
      <w:numFmt w:val="lowerRoman"/>
      <w:lvlText w:val="%6."/>
      <w:lvlJc w:val="right"/>
      <w:pPr>
        <w:ind w:left="4860" w:hanging="180"/>
      </w:pPr>
    </w:lvl>
    <w:lvl w:ilvl="6" w:tplc="041B000F" w:tentative="1">
      <w:start w:val="1"/>
      <w:numFmt w:val="decimal"/>
      <w:lvlText w:val="%7."/>
      <w:lvlJc w:val="left"/>
      <w:pPr>
        <w:ind w:left="5580" w:hanging="360"/>
      </w:pPr>
    </w:lvl>
    <w:lvl w:ilvl="7" w:tplc="041B0019" w:tentative="1">
      <w:start w:val="1"/>
      <w:numFmt w:val="lowerLetter"/>
      <w:lvlText w:val="%8."/>
      <w:lvlJc w:val="left"/>
      <w:pPr>
        <w:ind w:left="6300" w:hanging="360"/>
      </w:pPr>
    </w:lvl>
    <w:lvl w:ilvl="8" w:tplc="041B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5">
    <w:nsid w:val="6AA341AB"/>
    <w:multiLevelType w:val="hybridMultilevel"/>
    <w:tmpl w:val="A50EAC80"/>
    <w:lvl w:ilvl="0" w:tplc="5C0ED8D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F82646A"/>
    <w:multiLevelType w:val="hybridMultilevel"/>
    <w:tmpl w:val="A2D659E0"/>
    <w:lvl w:ilvl="0" w:tplc="43407CBC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46"/>
  </w:num>
  <w:num w:numId="3">
    <w:abstractNumId w:val="24"/>
  </w:num>
  <w:num w:numId="4">
    <w:abstractNumId w:val="1"/>
  </w:num>
  <w:num w:numId="5">
    <w:abstractNumId w:val="9"/>
  </w:num>
  <w:num w:numId="6">
    <w:abstractNumId w:val="42"/>
  </w:num>
  <w:num w:numId="7">
    <w:abstractNumId w:val="5"/>
  </w:num>
  <w:num w:numId="8">
    <w:abstractNumId w:val="10"/>
  </w:num>
  <w:num w:numId="9">
    <w:abstractNumId w:val="0"/>
  </w:num>
  <w:num w:numId="10">
    <w:abstractNumId w:val="20"/>
  </w:num>
  <w:num w:numId="11">
    <w:abstractNumId w:val="16"/>
  </w:num>
  <w:num w:numId="12">
    <w:abstractNumId w:val="13"/>
  </w:num>
  <w:num w:numId="13">
    <w:abstractNumId w:val="8"/>
  </w:num>
  <w:num w:numId="14">
    <w:abstractNumId w:val="39"/>
  </w:num>
  <w:num w:numId="15">
    <w:abstractNumId w:val="40"/>
  </w:num>
  <w:num w:numId="16">
    <w:abstractNumId w:val="27"/>
  </w:num>
  <w:num w:numId="17">
    <w:abstractNumId w:val="4"/>
  </w:num>
  <w:num w:numId="18">
    <w:abstractNumId w:val="12"/>
  </w:num>
  <w:num w:numId="19">
    <w:abstractNumId w:val="6"/>
  </w:num>
  <w:num w:numId="20">
    <w:abstractNumId w:val="35"/>
  </w:num>
  <w:num w:numId="21">
    <w:abstractNumId w:val="22"/>
  </w:num>
  <w:num w:numId="22">
    <w:abstractNumId w:val="28"/>
  </w:num>
  <w:num w:numId="23">
    <w:abstractNumId w:val="38"/>
  </w:num>
  <w:num w:numId="24">
    <w:abstractNumId w:val="17"/>
  </w:num>
  <w:num w:numId="25">
    <w:abstractNumId w:val="41"/>
  </w:num>
  <w:num w:numId="26">
    <w:abstractNumId w:val="44"/>
  </w:num>
  <w:num w:numId="27">
    <w:abstractNumId w:val="19"/>
  </w:num>
  <w:num w:numId="28">
    <w:abstractNumId w:val="45"/>
  </w:num>
  <w:num w:numId="29">
    <w:abstractNumId w:val="34"/>
  </w:num>
  <w:num w:numId="30">
    <w:abstractNumId w:val="31"/>
  </w:num>
  <w:num w:numId="31">
    <w:abstractNumId w:val="37"/>
  </w:num>
  <w:num w:numId="32">
    <w:abstractNumId w:val="30"/>
  </w:num>
  <w:num w:numId="33">
    <w:abstractNumId w:val="23"/>
  </w:num>
  <w:num w:numId="34">
    <w:abstractNumId w:val="15"/>
  </w:num>
  <w:num w:numId="35">
    <w:abstractNumId w:val="14"/>
  </w:num>
  <w:num w:numId="36">
    <w:abstractNumId w:val="36"/>
  </w:num>
  <w:num w:numId="37">
    <w:abstractNumId w:val="26"/>
  </w:num>
  <w:num w:numId="38">
    <w:abstractNumId w:val="25"/>
  </w:num>
  <w:num w:numId="39">
    <w:abstractNumId w:val="29"/>
  </w:num>
  <w:num w:numId="40">
    <w:abstractNumId w:val="2"/>
  </w:num>
  <w:num w:numId="41">
    <w:abstractNumId w:val="7"/>
  </w:num>
  <w:num w:numId="42">
    <w:abstractNumId w:val="11"/>
  </w:num>
  <w:num w:numId="43">
    <w:abstractNumId w:val="3"/>
  </w:num>
  <w:num w:numId="44">
    <w:abstractNumId w:val="43"/>
  </w:num>
  <w:num w:numId="45">
    <w:abstractNumId w:val="33"/>
  </w:num>
  <w:num w:numId="46">
    <w:abstractNumId w:val="32"/>
  </w:num>
  <w:num w:numId="47">
    <w:abstractNumId w:val="18"/>
  </w:num>
  <w:numIdMacAtCleanup w:val="16"/>
</w:numbering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Oriešek Vladimír">
    <w15:presenceInfo w15:providerId="AD" w15:userId="S-1-5-21-776561741-602162358-839522115-1106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1BB6"/>
    <w:rsid w:val="00020DE1"/>
    <w:rsid w:val="00050728"/>
    <w:rsid w:val="00062771"/>
    <w:rsid w:val="00063D4B"/>
    <w:rsid w:val="00066284"/>
    <w:rsid w:val="00066955"/>
    <w:rsid w:val="00071088"/>
    <w:rsid w:val="00092F66"/>
    <w:rsid w:val="000C5573"/>
    <w:rsid w:val="000C5BD2"/>
    <w:rsid w:val="000D298C"/>
    <w:rsid w:val="000D6B86"/>
    <w:rsid w:val="000E1B00"/>
    <w:rsid w:val="000E2AA4"/>
    <w:rsid w:val="000F4BE3"/>
    <w:rsid w:val="001117CA"/>
    <w:rsid w:val="00116F61"/>
    <w:rsid w:val="00127AED"/>
    <w:rsid w:val="001308CE"/>
    <w:rsid w:val="0014641E"/>
    <w:rsid w:val="001469DD"/>
    <w:rsid w:val="0015233E"/>
    <w:rsid w:val="001572B5"/>
    <w:rsid w:val="00173917"/>
    <w:rsid w:val="001873B5"/>
    <w:rsid w:val="001A04BB"/>
    <w:rsid w:val="001B12DC"/>
    <w:rsid w:val="001B27DA"/>
    <w:rsid w:val="001B33C1"/>
    <w:rsid w:val="001B3808"/>
    <w:rsid w:val="001B6E9F"/>
    <w:rsid w:val="001C2281"/>
    <w:rsid w:val="001C34FE"/>
    <w:rsid w:val="001C513F"/>
    <w:rsid w:val="001D4B25"/>
    <w:rsid w:val="001E5F8C"/>
    <w:rsid w:val="001F0193"/>
    <w:rsid w:val="002107A0"/>
    <w:rsid w:val="00217A54"/>
    <w:rsid w:val="002259C4"/>
    <w:rsid w:val="00225A05"/>
    <w:rsid w:val="00243F83"/>
    <w:rsid w:val="00246970"/>
    <w:rsid w:val="00256687"/>
    <w:rsid w:val="002632F0"/>
    <w:rsid w:val="00273A1E"/>
    <w:rsid w:val="00274479"/>
    <w:rsid w:val="00284A43"/>
    <w:rsid w:val="002A1E17"/>
    <w:rsid w:val="002C12EC"/>
    <w:rsid w:val="002D2E90"/>
    <w:rsid w:val="002D65BD"/>
    <w:rsid w:val="002E611C"/>
    <w:rsid w:val="002E7F32"/>
    <w:rsid w:val="002E7F66"/>
    <w:rsid w:val="003001D4"/>
    <w:rsid w:val="00306F23"/>
    <w:rsid w:val="003112AD"/>
    <w:rsid w:val="00314454"/>
    <w:rsid w:val="00332D35"/>
    <w:rsid w:val="00355E44"/>
    <w:rsid w:val="00382214"/>
    <w:rsid w:val="00383B9B"/>
    <w:rsid w:val="00386CBA"/>
    <w:rsid w:val="00387AE6"/>
    <w:rsid w:val="00393784"/>
    <w:rsid w:val="003A67E1"/>
    <w:rsid w:val="003B0DFE"/>
    <w:rsid w:val="003B2F8A"/>
    <w:rsid w:val="003B4469"/>
    <w:rsid w:val="003C2544"/>
    <w:rsid w:val="003D568C"/>
    <w:rsid w:val="003E715D"/>
    <w:rsid w:val="003F324D"/>
    <w:rsid w:val="00404252"/>
    <w:rsid w:val="0041008B"/>
    <w:rsid w:val="00416E2D"/>
    <w:rsid w:val="00424167"/>
    <w:rsid w:val="004328C9"/>
    <w:rsid w:val="00432DF1"/>
    <w:rsid w:val="004443EB"/>
    <w:rsid w:val="004445A9"/>
    <w:rsid w:val="00460F75"/>
    <w:rsid w:val="00477B8E"/>
    <w:rsid w:val="00480276"/>
    <w:rsid w:val="00490454"/>
    <w:rsid w:val="00490AF9"/>
    <w:rsid w:val="004936B3"/>
    <w:rsid w:val="00493F0A"/>
    <w:rsid w:val="004A0829"/>
    <w:rsid w:val="004A61B5"/>
    <w:rsid w:val="004B52BE"/>
    <w:rsid w:val="004C1071"/>
    <w:rsid w:val="004E2120"/>
    <w:rsid w:val="004E3ABD"/>
    <w:rsid w:val="0051102F"/>
    <w:rsid w:val="005122F6"/>
    <w:rsid w:val="00535CD9"/>
    <w:rsid w:val="00541FF5"/>
    <w:rsid w:val="00564089"/>
    <w:rsid w:val="005800C7"/>
    <w:rsid w:val="00580A58"/>
    <w:rsid w:val="00586FDB"/>
    <w:rsid w:val="005A5209"/>
    <w:rsid w:val="005A544B"/>
    <w:rsid w:val="005B49EF"/>
    <w:rsid w:val="005F43D3"/>
    <w:rsid w:val="005F5B71"/>
    <w:rsid w:val="00600246"/>
    <w:rsid w:val="00602EA1"/>
    <w:rsid w:val="00603F09"/>
    <w:rsid w:val="00622D7A"/>
    <w:rsid w:val="00623659"/>
    <w:rsid w:val="006479DF"/>
    <w:rsid w:val="00660DCB"/>
    <w:rsid w:val="00663BCE"/>
    <w:rsid w:val="00666924"/>
    <w:rsid w:val="006719A0"/>
    <w:rsid w:val="00677E7C"/>
    <w:rsid w:val="00687102"/>
    <w:rsid w:val="00697AE8"/>
    <w:rsid w:val="006A5157"/>
    <w:rsid w:val="006A7DF2"/>
    <w:rsid w:val="006B0C05"/>
    <w:rsid w:val="006B701D"/>
    <w:rsid w:val="006C5F77"/>
    <w:rsid w:val="006C6541"/>
    <w:rsid w:val="006C6A25"/>
    <w:rsid w:val="006D082A"/>
    <w:rsid w:val="006D3B82"/>
    <w:rsid w:val="006D4FC0"/>
    <w:rsid w:val="006E59B1"/>
    <w:rsid w:val="006F15B4"/>
    <w:rsid w:val="006F386B"/>
    <w:rsid w:val="0076242A"/>
    <w:rsid w:val="0076414C"/>
    <w:rsid w:val="00765555"/>
    <w:rsid w:val="00771CC6"/>
    <w:rsid w:val="00782970"/>
    <w:rsid w:val="00794418"/>
    <w:rsid w:val="007967DB"/>
    <w:rsid w:val="007A0A10"/>
    <w:rsid w:val="007A60EF"/>
    <w:rsid w:val="007C30B8"/>
    <w:rsid w:val="007E571D"/>
    <w:rsid w:val="007F0D9A"/>
    <w:rsid w:val="007F6442"/>
    <w:rsid w:val="00801225"/>
    <w:rsid w:val="00815E24"/>
    <w:rsid w:val="00822FC3"/>
    <w:rsid w:val="00842D8D"/>
    <w:rsid w:val="0084743A"/>
    <w:rsid w:val="00850467"/>
    <w:rsid w:val="00861728"/>
    <w:rsid w:val="00865A50"/>
    <w:rsid w:val="008743E6"/>
    <w:rsid w:val="008806AC"/>
    <w:rsid w:val="00895CB4"/>
    <w:rsid w:val="008A6533"/>
    <w:rsid w:val="008C271F"/>
    <w:rsid w:val="008D0F9C"/>
    <w:rsid w:val="008E6DFA"/>
    <w:rsid w:val="008F2627"/>
    <w:rsid w:val="0090110D"/>
    <w:rsid w:val="00911D80"/>
    <w:rsid w:val="0091785F"/>
    <w:rsid w:val="00926284"/>
    <w:rsid w:val="009439F4"/>
    <w:rsid w:val="009455E7"/>
    <w:rsid w:val="0097734F"/>
    <w:rsid w:val="00977CF6"/>
    <w:rsid w:val="009836CF"/>
    <w:rsid w:val="009B421D"/>
    <w:rsid w:val="009F3002"/>
    <w:rsid w:val="00A00E0E"/>
    <w:rsid w:val="00A144AE"/>
    <w:rsid w:val="00A264C6"/>
    <w:rsid w:val="00A3234F"/>
    <w:rsid w:val="00A348C8"/>
    <w:rsid w:val="00A35F91"/>
    <w:rsid w:val="00A40EF0"/>
    <w:rsid w:val="00A56E01"/>
    <w:rsid w:val="00A773BC"/>
    <w:rsid w:val="00A840FF"/>
    <w:rsid w:val="00A9254C"/>
    <w:rsid w:val="00AA5803"/>
    <w:rsid w:val="00AB29E7"/>
    <w:rsid w:val="00AB4E66"/>
    <w:rsid w:val="00AB755C"/>
    <w:rsid w:val="00AE166D"/>
    <w:rsid w:val="00B05688"/>
    <w:rsid w:val="00B12061"/>
    <w:rsid w:val="00B315E9"/>
    <w:rsid w:val="00B31622"/>
    <w:rsid w:val="00B363EA"/>
    <w:rsid w:val="00B37E57"/>
    <w:rsid w:val="00B4284E"/>
    <w:rsid w:val="00B533DF"/>
    <w:rsid w:val="00B53B4A"/>
    <w:rsid w:val="00B91F3C"/>
    <w:rsid w:val="00B943FD"/>
    <w:rsid w:val="00B948E0"/>
    <w:rsid w:val="00B97193"/>
    <w:rsid w:val="00BA089F"/>
    <w:rsid w:val="00BA13ED"/>
    <w:rsid w:val="00BA4376"/>
    <w:rsid w:val="00BC4BAC"/>
    <w:rsid w:val="00BE6D1E"/>
    <w:rsid w:val="00C05C08"/>
    <w:rsid w:val="00C1304D"/>
    <w:rsid w:val="00C214B6"/>
    <w:rsid w:val="00C22378"/>
    <w:rsid w:val="00C27BC1"/>
    <w:rsid w:val="00C33755"/>
    <w:rsid w:val="00C34856"/>
    <w:rsid w:val="00C348A2"/>
    <w:rsid w:val="00C37B65"/>
    <w:rsid w:val="00C440E5"/>
    <w:rsid w:val="00C47461"/>
    <w:rsid w:val="00C6439D"/>
    <w:rsid w:val="00C8056E"/>
    <w:rsid w:val="00C92BF0"/>
    <w:rsid w:val="00C93B00"/>
    <w:rsid w:val="00C953BD"/>
    <w:rsid w:val="00C95807"/>
    <w:rsid w:val="00CA0FB2"/>
    <w:rsid w:val="00CA208E"/>
    <w:rsid w:val="00CB44FC"/>
    <w:rsid w:val="00CB6D66"/>
    <w:rsid w:val="00CB7AE2"/>
    <w:rsid w:val="00CD3D13"/>
    <w:rsid w:val="00CD6DE2"/>
    <w:rsid w:val="00CF60E2"/>
    <w:rsid w:val="00D05350"/>
    <w:rsid w:val="00D239D4"/>
    <w:rsid w:val="00D32623"/>
    <w:rsid w:val="00D33AFB"/>
    <w:rsid w:val="00D33EA9"/>
    <w:rsid w:val="00D34F24"/>
    <w:rsid w:val="00D37D1B"/>
    <w:rsid w:val="00D55482"/>
    <w:rsid w:val="00D57668"/>
    <w:rsid w:val="00D61BB6"/>
    <w:rsid w:val="00D62B47"/>
    <w:rsid w:val="00D65E5F"/>
    <w:rsid w:val="00D86DA2"/>
    <w:rsid w:val="00DB798B"/>
    <w:rsid w:val="00DD4951"/>
    <w:rsid w:val="00E24D44"/>
    <w:rsid w:val="00E35F22"/>
    <w:rsid w:val="00E37D96"/>
    <w:rsid w:val="00E40048"/>
    <w:rsid w:val="00E52D37"/>
    <w:rsid w:val="00E5416A"/>
    <w:rsid w:val="00E55AA7"/>
    <w:rsid w:val="00E66D03"/>
    <w:rsid w:val="00E742C1"/>
    <w:rsid w:val="00E74EA1"/>
    <w:rsid w:val="00E7702D"/>
    <w:rsid w:val="00E92236"/>
    <w:rsid w:val="00EB1754"/>
    <w:rsid w:val="00EE70FE"/>
    <w:rsid w:val="00EE765D"/>
    <w:rsid w:val="00EF136D"/>
    <w:rsid w:val="00EF231F"/>
    <w:rsid w:val="00EF33BC"/>
    <w:rsid w:val="00F01404"/>
    <w:rsid w:val="00F046C4"/>
    <w:rsid w:val="00F0607A"/>
    <w:rsid w:val="00F10B9D"/>
    <w:rsid w:val="00F23215"/>
    <w:rsid w:val="00F27075"/>
    <w:rsid w:val="00F365DE"/>
    <w:rsid w:val="00F46EF9"/>
    <w:rsid w:val="00F506F6"/>
    <w:rsid w:val="00F634A1"/>
    <w:rsid w:val="00F656A0"/>
    <w:rsid w:val="00F94C8F"/>
    <w:rsid w:val="00F97E8C"/>
    <w:rsid w:val="00FA2720"/>
    <w:rsid w:val="00FC04A6"/>
    <w:rsid w:val="00FC0F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1E8E83D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2632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85046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85046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85046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850467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850467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D61BB6"/>
    <w:rPr>
      <w:color w:val="0000FF" w:themeColor="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61BB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61BB6"/>
    <w:rPr>
      <w:rFonts w:ascii="Tahoma" w:eastAsia="Times New Roman" w:hAnsi="Tahoma" w:cs="Tahoma"/>
      <w:sz w:val="16"/>
      <w:szCs w:val="16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4C107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C107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4C1071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C107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C1071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B948E0"/>
    <w:pPr>
      <w:ind w:left="720"/>
      <w:contextualSpacing/>
    </w:pPr>
  </w:style>
  <w:style w:type="paragraph" w:styleId="Obsah1">
    <w:name w:val="toc 1"/>
    <w:basedOn w:val="Normlny"/>
    <w:next w:val="Normlny"/>
    <w:autoRedefine/>
    <w:uiPriority w:val="39"/>
    <w:unhideWhenUsed/>
    <w:rsid w:val="00B948E0"/>
    <w:pPr>
      <w:spacing w:after="100"/>
    </w:pPr>
  </w:style>
  <w:style w:type="paragraph" w:styleId="Hlavika">
    <w:name w:val="header"/>
    <w:basedOn w:val="Normlny"/>
    <w:link w:val="Hlavik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B948E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B948E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poznmkypodiarou">
    <w:name w:val="footnote text"/>
    <w:basedOn w:val="Normlny"/>
    <w:link w:val="TextpoznmkypodiarouChar"/>
    <w:unhideWhenUsed/>
    <w:rsid w:val="008806AC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rsid w:val="008806AC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rsid w:val="008806AC"/>
    <w:rPr>
      <w:rFonts w:cs="Times New Roman"/>
      <w:vertAlign w:val="superscript"/>
    </w:rPr>
  </w:style>
  <w:style w:type="paragraph" w:styleId="Normlnywebov">
    <w:name w:val="Normal (Web)"/>
    <w:basedOn w:val="Normlny"/>
    <w:uiPriority w:val="99"/>
    <w:semiHidden/>
    <w:unhideWhenUsed/>
    <w:rsid w:val="00BC4BAC"/>
    <w:pPr>
      <w:spacing w:before="100" w:beforeAutospacing="1" w:after="100" w:afterAutospacing="1"/>
    </w:pPr>
    <w:rPr>
      <w:rFonts w:eastAsiaTheme="minorEastAsia"/>
    </w:rPr>
  </w:style>
  <w:style w:type="table" w:styleId="Mriekatabuky">
    <w:name w:val="Table Grid"/>
    <w:basedOn w:val="Normlnatabuka"/>
    <w:uiPriority w:val="59"/>
    <w:rsid w:val="006479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zstupnhosymbolu">
    <w:name w:val="Placeholder Text"/>
    <w:basedOn w:val="Predvolenpsmoodseku"/>
    <w:uiPriority w:val="99"/>
    <w:semiHidden/>
    <w:rsid w:val="006479DF"/>
    <w:rPr>
      <w:color w:val="808080"/>
    </w:rPr>
  </w:style>
  <w:style w:type="paragraph" w:customStyle="1" w:styleId="MPCKO1">
    <w:name w:val="MP CKO 1"/>
    <w:basedOn w:val="Nadpis2"/>
    <w:next w:val="Normlny"/>
    <w:qFormat/>
    <w:rsid w:val="00850467"/>
    <w:pPr>
      <w:pBdr>
        <w:bottom w:val="single" w:sz="8" w:space="4" w:color="4F81BD" w:themeColor="accent1"/>
      </w:pBdr>
      <w:spacing w:after="300"/>
    </w:pPr>
    <w:rPr>
      <w:rFonts w:ascii="Times New Roman" w:hAnsi="Times New Roman"/>
      <w:color w:val="365F91" w:themeColor="accent1" w:themeShade="BF"/>
      <w:spacing w:val="5"/>
      <w:kern w:val="28"/>
      <w:sz w:val="36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85046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sk-SK"/>
    </w:rPr>
  </w:style>
  <w:style w:type="paragraph" w:customStyle="1" w:styleId="MPCKO2">
    <w:name w:val="MP CKO 2"/>
    <w:basedOn w:val="Nadpis3"/>
    <w:qFormat/>
    <w:rsid w:val="00850467"/>
    <w:pPr>
      <w:jc w:val="both"/>
    </w:pPr>
    <w:rPr>
      <w:rFonts w:ascii="Times New Roman" w:hAnsi="Times New Roman"/>
      <w:color w:val="365F91" w:themeColor="accent1" w:themeShade="BF"/>
      <w:sz w:val="26"/>
      <w:szCs w:val="22"/>
      <w:lang w:eastAsia="en-US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85046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sk-SK"/>
    </w:rPr>
  </w:style>
  <w:style w:type="paragraph" w:customStyle="1" w:styleId="MPCKO3">
    <w:name w:val="MP CKO 3"/>
    <w:basedOn w:val="Nadpis4"/>
    <w:next w:val="Normlny"/>
    <w:qFormat/>
    <w:rsid w:val="00850467"/>
    <w:pPr>
      <w:jc w:val="both"/>
    </w:pPr>
    <w:rPr>
      <w:rFonts w:ascii="Times New Roman" w:hAnsi="Times New Roman"/>
      <w:i w:val="0"/>
      <w:color w:val="365F91" w:themeColor="accent1" w:themeShade="BF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850467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sk-SK"/>
    </w:rPr>
  </w:style>
  <w:style w:type="paragraph" w:customStyle="1" w:styleId="MPCKO4">
    <w:name w:val="MP CKO 4"/>
    <w:basedOn w:val="Nadpis5"/>
    <w:next w:val="Normlny"/>
    <w:qFormat/>
    <w:rsid w:val="00850467"/>
    <w:rPr>
      <w:rFonts w:ascii="Times New Roman" w:hAnsi="Times New Roman"/>
      <w:b/>
      <w:i/>
      <w:color w:val="365F91" w:themeColor="accent1" w:themeShade="BF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850467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sk-SK"/>
    </w:rPr>
  </w:style>
  <w:style w:type="paragraph" w:customStyle="1" w:styleId="SRKNorm">
    <w:name w:val="SRK Norm."/>
    <w:basedOn w:val="Normlny"/>
    <w:next w:val="Normlny"/>
    <w:qFormat/>
    <w:rsid w:val="00393784"/>
    <w:pPr>
      <w:spacing w:before="200" w:after="200"/>
      <w:contextualSpacing/>
      <w:jc w:val="both"/>
    </w:pPr>
  </w:style>
  <w:style w:type="character" w:customStyle="1" w:styleId="Nadpis1Char">
    <w:name w:val="Nadpis 1 Char"/>
    <w:basedOn w:val="Predvolenpsmoodseku"/>
    <w:link w:val="Nadpis1"/>
    <w:uiPriority w:val="9"/>
    <w:rsid w:val="008504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sk-SK"/>
    </w:rPr>
  </w:style>
  <w:style w:type="paragraph" w:styleId="Hlavikaobsahu">
    <w:name w:val="TOC Heading"/>
    <w:basedOn w:val="Nadpis1"/>
    <w:next w:val="Normlny"/>
    <w:uiPriority w:val="39"/>
    <w:unhideWhenUsed/>
    <w:qFormat/>
    <w:rsid w:val="00850467"/>
    <w:pPr>
      <w:spacing w:line="276" w:lineRule="auto"/>
      <w:outlineLvl w:val="9"/>
    </w:pPr>
  </w:style>
  <w:style w:type="paragraph" w:styleId="Obsah2">
    <w:name w:val="toc 2"/>
    <w:basedOn w:val="Normlny"/>
    <w:next w:val="Normlny"/>
    <w:autoRedefine/>
    <w:uiPriority w:val="39"/>
    <w:unhideWhenUsed/>
    <w:rsid w:val="00E37D96"/>
    <w:pPr>
      <w:tabs>
        <w:tab w:val="right" w:leader="dot" w:pos="9062"/>
      </w:tabs>
      <w:spacing w:after="100"/>
      <w:ind w:left="308" w:hanging="308"/>
    </w:pPr>
  </w:style>
  <w:style w:type="paragraph" w:styleId="Obsah3">
    <w:name w:val="toc 3"/>
    <w:basedOn w:val="Normlny"/>
    <w:next w:val="Normlny"/>
    <w:autoRedefine/>
    <w:uiPriority w:val="39"/>
    <w:unhideWhenUsed/>
    <w:rsid w:val="00E37D96"/>
    <w:pPr>
      <w:tabs>
        <w:tab w:val="right" w:leader="dot" w:pos="9062"/>
      </w:tabs>
      <w:spacing w:after="100"/>
      <w:ind w:left="532" w:hanging="364"/>
    </w:pPr>
  </w:style>
  <w:style w:type="paragraph" w:styleId="Obsah4">
    <w:name w:val="toc 4"/>
    <w:basedOn w:val="Normlny"/>
    <w:next w:val="Normlny"/>
    <w:autoRedefine/>
    <w:uiPriority w:val="39"/>
    <w:unhideWhenUsed/>
    <w:rsid w:val="00404252"/>
    <w:pPr>
      <w:tabs>
        <w:tab w:val="right" w:leader="dot" w:pos="9062"/>
      </w:tabs>
      <w:spacing w:after="100"/>
      <w:ind w:left="851"/>
    </w:pPr>
  </w:style>
  <w:style w:type="paragraph" w:styleId="Obsah5">
    <w:name w:val="toc 5"/>
    <w:basedOn w:val="Normlny"/>
    <w:next w:val="Normlny"/>
    <w:autoRedefine/>
    <w:uiPriority w:val="39"/>
    <w:unhideWhenUsed/>
    <w:rsid w:val="00460F75"/>
    <w:pPr>
      <w:spacing w:after="100"/>
      <w:ind w:left="960"/>
    </w:pPr>
  </w:style>
  <w:style w:type="character" w:customStyle="1" w:styleId="hps">
    <w:name w:val="hps"/>
    <w:rsid w:val="00DD4951"/>
  </w:style>
  <w:style w:type="character" w:styleId="slostrany">
    <w:name w:val="page number"/>
    <w:basedOn w:val="Predvolenpsmoodseku"/>
    <w:rsid w:val="00A840FF"/>
  </w:style>
  <w:style w:type="paragraph" w:customStyle="1" w:styleId="Default">
    <w:name w:val="Default"/>
    <w:rsid w:val="00FA2720"/>
    <w:pPr>
      <w:autoSpaceDE w:val="0"/>
      <w:autoSpaceDN w:val="0"/>
      <w:adjustRightInd w:val="0"/>
      <w:spacing w:after="0" w:line="240" w:lineRule="auto"/>
    </w:pPr>
    <w:rPr>
      <w:rFonts w:ascii="EUAlbertina" w:eastAsia="Times New Roman" w:hAnsi="EUAlbertina" w:cs="EUAlbertina"/>
      <w:color w:val="000000"/>
      <w:sz w:val="24"/>
      <w:szCs w:val="24"/>
      <w:lang w:eastAsia="sk-SK"/>
    </w:rPr>
  </w:style>
  <w:style w:type="paragraph" w:customStyle="1" w:styleId="Pa0">
    <w:name w:val="Pa0"/>
    <w:basedOn w:val="Default"/>
    <w:next w:val="Default"/>
    <w:uiPriority w:val="99"/>
    <w:rsid w:val="00FA2720"/>
    <w:pPr>
      <w:spacing w:line="241" w:lineRule="atLeast"/>
    </w:pPr>
    <w:rPr>
      <w:rFonts w:ascii="Arial" w:eastAsia="Calibri" w:hAnsi="Arial" w:cs="Arial"/>
      <w:color w:val="auto"/>
      <w:lang w:eastAsia="en-US"/>
    </w:rPr>
  </w:style>
  <w:style w:type="character" w:customStyle="1" w:styleId="A2">
    <w:name w:val="A2"/>
    <w:uiPriority w:val="99"/>
    <w:rsid w:val="00FA2720"/>
    <w:rPr>
      <w:b/>
      <w:bCs/>
      <w:color w:val="000000"/>
      <w:sz w:val="52"/>
      <w:szCs w:val="52"/>
    </w:rPr>
  </w:style>
  <w:style w:type="character" w:customStyle="1" w:styleId="A3">
    <w:name w:val="A3"/>
    <w:uiPriority w:val="99"/>
    <w:rsid w:val="00FA2720"/>
    <w:rPr>
      <w:color w:val="000000"/>
      <w:sz w:val="32"/>
      <w:szCs w:val="32"/>
    </w:rPr>
  </w:style>
  <w:style w:type="character" w:customStyle="1" w:styleId="A6">
    <w:name w:val="A6"/>
    <w:uiPriority w:val="99"/>
    <w:rsid w:val="00FA2720"/>
    <w:rPr>
      <w:b/>
      <w:bCs/>
      <w:color w:val="000000"/>
      <w:sz w:val="72"/>
      <w:szCs w:val="72"/>
    </w:rPr>
  </w:style>
  <w:style w:type="paragraph" w:styleId="Bezriadkovania">
    <w:name w:val="No Spacing"/>
    <w:link w:val="BezriadkovaniaChar"/>
    <w:uiPriority w:val="1"/>
    <w:qFormat/>
    <w:rsid w:val="00FA27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BezriadkovaniaChar">
    <w:name w:val="Bez riadkovania Char"/>
    <w:basedOn w:val="Predvolenpsmoodseku"/>
    <w:link w:val="Bezriadkovania"/>
    <w:uiPriority w:val="1"/>
    <w:rsid w:val="00490454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OdsekzoznamuChar">
    <w:name w:val="Odsek zoznamu Char"/>
    <w:aliases w:val="body Char,Odsek zoznamu2 Char"/>
    <w:link w:val="Odsekzoznamu"/>
    <w:uiPriority w:val="34"/>
    <w:locked/>
    <w:rsid w:val="000E1B0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tl2">
    <w:name w:val="Štýl2"/>
    <w:basedOn w:val="Normlny"/>
    <w:link w:val="tl2Char"/>
    <w:qFormat/>
    <w:rsid w:val="000E1B00"/>
    <w:pPr>
      <w:numPr>
        <w:ilvl w:val="1"/>
        <w:numId w:val="3"/>
      </w:numPr>
      <w:outlineLvl w:val="0"/>
    </w:pPr>
    <w:rPr>
      <w:rFonts w:ascii="Arial" w:eastAsiaTheme="minorEastAsia" w:hAnsi="Arial" w:cs="Arial"/>
      <w:color w:val="00B0F0"/>
      <w:w w:val="97"/>
      <w:sz w:val="32"/>
      <w:szCs w:val="32"/>
    </w:rPr>
  </w:style>
  <w:style w:type="character" w:customStyle="1" w:styleId="tl2Char">
    <w:name w:val="Štýl2 Char"/>
    <w:basedOn w:val="BezriadkovaniaChar"/>
    <w:link w:val="tl2"/>
    <w:rsid w:val="000E1B00"/>
    <w:rPr>
      <w:rFonts w:ascii="Arial" w:eastAsiaTheme="minorEastAsia" w:hAnsi="Arial" w:cs="Arial"/>
      <w:color w:val="00B0F0"/>
      <w:w w:val="97"/>
      <w:sz w:val="32"/>
      <w:szCs w:val="32"/>
      <w:lang w:eastAsia="sk-SK"/>
    </w:rPr>
  </w:style>
  <w:style w:type="paragraph" w:customStyle="1" w:styleId="Char1">
    <w:name w:val="ΚΕΙΜΕΝΟ Char1"/>
    <w:basedOn w:val="Normlny"/>
    <w:rsid w:val="001A04BB"/>
    <w:pPr>
      <w:spacing w:before="120" w:after="120" w:line="360" w:lineRule="auto"/>
      <w:jc w:val="both"/>
    </w:pPr>
    <w:rPr>
      <w:rFonts w:ascii="Arial" w:hAnsi="Arial" w:cs="Arial"/>
      <w:spacing w:val="-5"/>
      <w:sz w:val="22"/>
      <w:szCs w:val="21"/>
      <w:lang w:eastAsia="en-US"/>
    </w:rPr>
  </w:style>
  <w:style w:type="character" w:customStyle="1" w:styleId="Znakyprepoznmkupodiarou">
    <w:name w:val="Znaky pre poznámku pod čiarou"/>
    <w:rsid w:val="001A04BB"/>
  </w:style>
  <w:style w:type="character" w:styleId="Zvraznenie">
    <w:name w:val="Emphasis"/>
    <w:uiPriority w:val="20"/>
    <w:qFormat/>
    <w:rsid w:val="001A04BB"/>
    <w:rPr>
      <w:i/>
      <w:iCs/>
    </w:rPr>
  </w:style>
  <w:style w:type="character" w:customStyle="1" w:styleId="Znakapoznpodarou">
    <w:name w:val="Značka pozn. pod čarou"/>
    <w:rsid w:val="001A04BB"/>
    <w:rPr>
      <w:vertAlign w:val="superscript"/>
    </w:rPr>
  </w:style>
  <w:style w:type="paragraph" w:styleId="Zkladntext2">
    <w:name w:val="Body Text 2"/>
    <w:basedOn w:val="Normlny"/>
    <w:link w:val="Zkladntext2Char"/>
    <w:rsid w:val="00564089"/>
    <w:pPr>
      <w:spacing w:after="120" w:line="480" w:lineRule="auto"/>
    </w:pPr>
    <w:rPr>
      <w:rFonts w:ascii="Arial Narrow" w:hAnsi="Arial Narrow"/>
      <w:sz w:val="22"/>
      <w:lang w:eastAsia="en-US"/>
    </w:rPr>
  </w:style>
  <w:style w:type="character" w:customStyle="1" w:styleId="Zkladntext2Char">
    <w:name w:val="Základný text 2 Char"/>
    <w:basedOn w:val="Predvolenpsmoodseku"/>
    <w:link w:val="Zkladntext2"/>
    <w:rsid w:val="00564089"/>
    <w:rPr>
      <w:rFonts w:ascii="Arial Narrow" w:eastAsia="Times New Roman" w:hAnsi="Arial Narrow" w:cs="Times New Roman"/>
      <w:szCs w:val="24"/>
    </w:rPr>
  </w:style>
  <w:style w:type="paragraph" w:styleId="Revzia">
    <w:name w:val="Revision"/>
    <w:hidden/>
    <w:uiPriority w:val="99"/>
    <w:semiHidden/>
    <w:rsid w:val="001469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st1">
    <w:name w:val="st1"/>
    <w:basedOn w:val="Predvolenpsmoodseku"/>
    <w:rsid w:val="0041008B"/>
  </w:style>
  <w:style w:type="paragraph" w:styleId="Popis">
    <w:name w:val="caption"/>
    <w:basedOn w:val="Normlny"/>
    <w:next w:val="Normlny"/>
    <w:uiPriority w:val="99"/>
    <w:unhideWhenUsed/>
    <w:qFormat/>
    <w:rsid w:val="006F386B"/>
    <w:pPr>
      <w:jc w:val="both"/>
    </w:pPr>
    <w:rPr>
      <w:rFonts w:ascii="Arial" w:eastAsia="Calibri" w:hAnsi="Arial"/>
      <w:b/>
      <w:bCs/>
      <w:sz w:val="18"/>
      <w:szCs w:val="18"/>
      <w:lang w:eastAsia="en-US"/>
    </w:rPr>
  </w:style>
  <w:style w:type="paragraph" w:customStyle="1" w:styleId="popis2">
    <w:name w:val="popis 2"/>
    <w:basedOn w:val="Popis"/>
    <w:next w:val="Normlny"/>
    <w:qFormat/>
    <w:rsid w:val="006F386B"/>
    <w:pPr>
      <w:spacing w:line="480" w:lineRule="auto"/>
      <w:jc w:val="left"/>
    </w:pPr>
    <w:rPr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2632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85046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85046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85046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850467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850467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D61BB6"/>
    <w:rPr>
      <w:color w:val="0000FF" w:themeColor="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61BB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61BB6"/>
    <w:rPr>
      <w:rFonts w:ascii="Tahoma" w:eastAsia="Times New Roman" w:hAnsi="Tahoma" w:cs="Tahoma"/>
      <w:sz w:val="16"/>
      <w:szCs w:val="16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4C107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C107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4C1071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C107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C1071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B948E0"/>
    <w:pPr>
      <w:ind w:left="720"/>
      <w:contextualSpacing/>
    </w:pPr>
  </w:style>
  <w:style w:type="paragraph" w:styleId="Obsah1">
    <w:name w:val="toc 1"/>
    <w:basedOn w:val="Normlny"/>
    <w:next w:val="Normlny"/>
    <w:autoRedefine/>
    <w:uiPriority w:val="39"/>
    <w:unhideWhenUsed/>
    <w:rsid w:val="00B948E0"/>
    <w:pPr>
      <w:spacing w:after="100"/>
    </w:pPr>
  </w:style>
  <w:style w:type="paragraph" w:styleId="Hlavika">
    <w:name w:val="header"/>
    <w:basedOn w:val="Normlny"/>
    <w:link w:val="Hlavik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B948E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B948E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poznmkypodiarou">
    <w:name w:val="footnote text"/>
    <w:basedOn w:val="Normlny"/>
    <w:link w:val="TextpoznmkypodiarouChar"/>
    <w:unhideWhenUsed/>
    <w:rsid w:val="008806AC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rsid w:val="008806AC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rsid w:val="008806AC"/>
    <w:rPr>
      <w:rFonts w:cs="Times New Roman"/>
      <w:vertAlign w:val="superscript"/>
    </w:rPr>
  </w:style>
  <w:style w:type="paragraph" w:styleId="Normlnywebov">
    <w:name w:val="Normal (Web)"/>
    <w:basedOn w:val="Normlny"/>
    <w:uiPriority w:val="99"/>
    <w:semiHidden/>
    <w:unhideWhenUsed/>
    <w:rsid w:val="00BC4BAC"/>
    <w:pPr>
      <w:spacing w:before="100" w:beforeAutospacing="1" w:after="100" w:afterAutospacing="1"/>
    </w:pPr>
    <w:rPr>
      <w:rFonts w:eastAsiaTheme="minorEastAsia"/>
    </w:rPr>
  </w:style>
  <w:style w:type="table" w:styleId="Mriekatabuky">
    <w:name w:val="Table Grid"/>
    <w:basedOn w:val="Normlnatabuka"/>
    <w:uiPriority w:val="59"/>
    <w:rsid w:val="006479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zstupnhosymbolu">
    <w:name w:val="Placeholder Text"/>
    <w:basedOn w:val="Predvolenpsmoodseku"/>
    <w:uiPriority w:val="99"/>
    <w:semiHidden/>
    <w:rsid w:val="006479DF"/>
    <w:rPr>
      <w:color w:val="808080"/>
    </w:rPr>
  </w:style>
  <w:style w:type="paragraph" w:customStyle="1" w:styleId="MPCKO1">
    <w:name w:val="MP CKO 1"/>
    <w:basedOn w:val="Nadpis2"/>
    <w:next w:val="Normlny"/>
    <w:qFormat/>
    <w:rsid w:val="00850467"/>
    <w:pPr>
      <w:pBdr>
        <w:bottom w:val="single" w:sz="8" w:space="4" w:color="4F81BD" w:themeColor="accent1"/>
      </w:pBdr>
      <w:spacing w:after="300"/>
    </w:pPr>
    <w:rPr>
      <w:rFonts w:ascii="Times New Roman" w:hAnsi="Times New Roman"/>
      <w:color w:val="365F91" w:themeColor="accent1" w:themeShade="BF"/>
      <w:spacing w:val="5"/>
      <w:kern w:val="28"/>
      <w:sz w:val="36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85046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sk-SK"/>
    </w:rPr>
  </w:style>
  <w:style w:type="paragraph" w:customStyle="1" w:styleId="MPCKO2">
    <w:name w:val="MP CKO 2"/>
    <w:basedOn w:val="Nadpis3"/>
    <w:qFormat/>
    <w:rsid w:val="00850467"/>
    <w:pPr>
      <w:jc w:val="both"/>
    </w:pPr>
    <w:rPr>
      <w:rFonts w:ascii="Times New Roman" w:hAnsi="Times New Roman"/>
      <w:color w:val="365F91" w:themeColor="accent1" w:themeShade="BF"/>
      <w:sz w:val="26"/>
      <w:szCs w:val="22"/>
      <w:lang w:eastAsia="en-US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85046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sk-SK"/>
    </w:rPr>
  </w:style>
  <w:style w:type="paragraph" w:customStyle="1" w:styleId="MPCKO3">
    <w:name w:val="MP CKO 3"/>
    <w:basedOn w:val="Nadpis4"/>
    <w:next w:val="Normlny"/>
    <w:qFormat/>
    <w:rsid w:val="00850467"/>
    <w:pPr>
      <w:jc w:val="both"/>
    </w:pPr>
    <w:rPr>
      <w:rFonts w:ascii="Times New Roman" w:hAnsi="Times New Roman"/>
      <w:i w:val="0"/>
      <w:color w:val="365F91" w:themeColor="accent1" w:themeShade="BF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850467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sk-SK"/>
    </w:rPr>
  </w:style>
  <w:style w:type="paragraph" w:customStyle="1" w:styleId="MPCKO4">
    <w:name w:val="MP CKO 4"/>
    <w:basedOn w:val="Nadpis5"/>
    <w:next w:val="Normlny"/>
    <w:qFormat/>
    <w:rsid w:val="00850467"/>
    <w:rPr>
      <w:rFonts w:ascii="Times New Roman" w:hAnsi="Times New Roman"/>
      <w:b/>
      <w:i/>
      <w:color w:val="365F91" w:themeColor="accent1" w:themeShade="BF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850467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sk-SK"/>
    </w:rPr>
  </w:style>
  <w:style w:type="paragraph" w:customStyle="1" w:styleId="SRKNorm">
    <w:name w:val="SRK Norm."/>
    <w:basedOn w:val="Normlny"/>
    <w:next w:val="Normlny"/>
    <w:qFormat/>
    <w:rsid w:val="00393784"/>
    <w:pPr>
      <w:spacing w:before="200" w:after="200"/>
      <w:contextualSpacing/>
      <w:jc w:val="both"/>
    </w:pPr>
  </w:style>
  <w:style w:type="character" w:customStyle="1" w:styleId="Nadpis1Char">
    <w:name w:val="Nadpis 1 Char"/>
    <w:basedOn w:val="Predvolenpsmoodseku"/>
    <w:link w:val="Nadpis1"/>
    <w:uiPriority w:val="9"/>
    <w:rsid w:val="008504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sk-SK"/>
    </w:rPr>
  </w:style>
  <w:style w:type="paragraph" w:styleId="Hlavikaobsahu">
    <w:name w:val="TOC Heading"/>
    <w:basedOn w:val="Nadpis1"/>
    <w:next w:val="Normlny"/>
    <w:uiPriority w:val="39"/>
    <w:unhideWhenUsed/>
    <w:qFormat/>
    <w:rsid w:val="00850467"/>
    <w:pPr>
      <w:spacing w:line="276" w:lineRule="auto"/>
      <w:outlineLvl w:val="9"/>
    </w:pPr>
  </w:style>
  <w:style w:type="paragraph" w:styleId="Obsah2">
    <w:name w:val="toc 2"/>
    <w:basedOn w:val="Normlny"/>
    <w:next w:val="Normlny"/>
    <w:autoRedefine/>
    <w:uiPriority w:val="39"/>
    <w:unhideWhenUsed/>
    <w:rsid w:val="00E37D96"/>
    <w:pPr>
      <w:tabs>
        <w:tab w:val="right" w:leader="dot" w:pos="9062"/>
      </w:tabs>
      <w:spacing w:after="100"/>
      <w:ind w:left="308" w:hanging="308"/>
    </w:pPr>
  </w:style>
  <w:style w:type="paragraph" w:styleId="Obsah3">
    <w:name w:val="toc 3"/>
    <w:basedOn w:val="Normlny"/>
    <w:next w:val="Normlny"/>
    <w:autoRedefine/>
    <w:uiPriority w:val="39"/>
    <w:unhideWhenUsed/>
    <w:rsid w:val="00E37D96"/>
    <w:pPr>
      <w:tabs>
        <w:tab w:val="right" w:leader="dot" w:pos="9062"/>
      </w:tabs>
      <w:spacing w:after="100"/>
      <w:ind w:left="532" w:hanging="364"/>
    </w:pPr>
  </w:style>
  <w:style w:type="paragraph" w:styleId="Obsah4">
    <w:name w:val="toc 4"/>
    <w:basedOn w:val="Normlny"/>
    <w:next w:val="Normlny"/>
    <w:autoRedefine/>
    <w:uiPriority w:val="39"/>
    <w:unhideWhenUsed/>
    <w:rsid w:val="00404252"/>
    <w:pPr>
      <w:tabs>
        <w:tab w:val="right" w:leader="dot" w:pos="9062"/>
      </w:tabs>
      <w:spacing w:after="100"/>
      <w:ind w:left="851"/>
    </w:pPr>
  </w:style>
  <w:style w:type="paragraph" w:styleId="Obsah5">
    <w:name w:val="toc 5"/>
    <w:basedOn w:val="Normlny"/>
    <w:next w:val="Normlny"/>
    <w:autoRedefine/>
    <w:uiPriority w:val="39"/>
    <w:unhideWhenUsed/>
    <w:rsid w:val="00460F75"/>
    <w:pPr>
      <w:spacing w:after="100"/>
      <w:ind w:left="960"/>
    </w:pPr>
  </w:style>
  <w:style w:type="character" w:customStyle="1" w:styleId="hps">
    <w:name w:val="hps"/>
    <w:rsid w:val="00DD4951"/>
  </w:style>
  <w:style w:type="character" w:styleId="slostrany">
    <w:name w:val="page number"/>
    <w:basedOn w:val="Predvolenpsmoodseku"/>
    <w:rsid w:val="00A840FF"/>
  </w:style>
  <w:style w:type="paragraph" w:customStyle="1" w:styleId="Default">
    <w:name w:val="Default"/>
    <w:rsid w:val="00FA2720"/>
    <w:pPr>
      <w:autoSpaceDE w:val="0"/>
      <w:autoSpaceDN w:val="0"/>
      <w:adjustRightInd w:val="0"/>
      <w:spacing w:after="0" w:line="240" w:lineRule="auto"/>
    </w:pPr>
    <w:rPr>
      <w:rFonts w:ascii="EUAlbertina" w:eastAsia="Times New Roman" w:hAnsi="EUAlbertina" w:cs="EUAlbertina"/>
      <w:color w:val="000000"/>
      <w:sz w:val="24"/>
      <w:szCs w:val="24"/>
      <w:lang w:eastAsia="sk-SK"/>
    </w:rPr>
  </w:style>
  <w:style w:type="paragraph" w:customStyle="1" w:styleId="Pa0">
    <w:name w:val="Pa0"/>
    <w:basedOn w:val="Default"/>
    <w:next w:val="Default"/>
    <w:uiPriority w:val="99"/>
    <w:rsid w:val="00FA2720"/>
    <w:pPr>
      <w:spacing w:line="241" w:lineRule="atLeast"/>
    </w:pPr>
    <w:rPr>
      <w:rFonts w:ascii="Arial" w:eastAsia="Calibri" w:hAnsi="Arial" w:cs="Arial"/>
      <w:color w:val="auto"/>
      <w:lang w:eastAsia="en-US"/>
    </w:rPr>
  </w:style>
  <w:style w:type="character" w:customStyle="1" w:styleId="A2">
    <w:name w:val="A2"/>
    <w:uiPriority w:val="99"/>
    <w:rsid w:val="00FA2720"/>
    <w:rPr>
      <w:b/>
      <w:bCs/>
      <w:color w:val="000000"/>
      <w:sz w:val="52"/>
      <w:szCs w:val="52"/>
    </w:rPr>
  </w:style>
  <w:style w:type="character" w:customStyle="1" w:styleId="A3">
    <w:name w:val="A3"/>
    <w:uiPriority w:val="99"/>
    <w:rsid w:val="00FA2720"/>
    <w:rPr>
      <w:color w:val="000000"/>
      <w:sz w:val="32"/>
      <w:szCs w:val="32"/>
    </w:rPr>
  </w:style>
  <w:style w:type="character" w:customStyle="1" w:styleId="A6">
    <w:name w:val="A6"/>
    <w:uiPriority w:val="99"/>
    <w:rsid w:val="00FA2720"/>
    <w:rPr>
      <w:b/>
      <w:bCs/>
      <w:color w:val="000000"/>
      <w:sz w:val="72"/>
      <w:szCs w:val="72"/>
    </w:rPr>
  </w:style>
  <w:style w:type="paragraph" w:styleId="Bezriadkovania">
    <w:name w:val="No Spacing"/>
    <w:link w:val="BezriadkovaniaChar"/>
    <w:uiPriority w:val="1"/>
    <w:qFormat/>
    <w:rsid w:val="00FA27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BezriadkovaniaChar">
    <w:name w:val="Bez riadkovania Char"/>
    <w:basedOn w:val="Predvolenpsmoodseku"/>
    <w:link w:val="Bezriadkovania"/>
    <w:uiPriority w:val="1"/>
    <w:rsid w:val="00490454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OdsekzoznamuChar">
    <w:name w:val="Odsek zoznamu Char"/>
    <w:aliases w:val="body Char,Odsek zoznamu2 Char"/>
    <w:link w:val="Odsekzoznamu"/>
    <w:uiPriority w:val="34"/>
    <w:locked/>
    <w:rsid w:val="000E1B0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tl2">
    <w:name w:val="Štýl2"/>
    <w:basedOn w:val="Normlny"/>
    <w:link w:val="tl2Char"/>
    <w:qFormat/>
    <w:rsid w:val="000E1B00"/>
    <w:pPr>
      <w:numPr>
        <w:ilvl w:val="1"/>
        <w:numId w:val="3"/>
      </w:numPr>
      <w:outlineLvl w:val="0"/>
    </w:pPr>
    <w:rPr>
      <w:rFonts w:ascii="Arial" w:eastAsiaTheme="minorEastAsia" w:hAnsi="Arial" w:cs="Arial"/>
      <w:color w:val="00B0F0"/>
      <w:w w:val="97"/>
      <w:sz w:val="32"/>
      <w:szCs w:val="32"/>
    </w:rPr>
  </w:style>
  <w:style w:type="character" w:customStyle="1" w:styleId="tl2Char">
    <w:name w:val="Štýl2 Char"/>
    <w:basedOn w:val="BezriadkovaniaChar"/>
    <w:link w:val="tl2"/>
    <w:rsid w:val="000E1B00"/>
    <w:rPr>
      <w:rFonts w:ascii="Arial" w:eastAsiaTheme="minorEastAsia" w:hAnsi="Arial" w:cs="Arial"/>
      <w:color w:val="00B0F0"/>
      <w:w w:val="97"/>
      <w:sz w:val="32"/>
      <w:szCs w:val="32"/>
      <w:lang w:eastAsia="sk-SK"/>
    </w:rPr>
  </w:style>
  <w:style w:type="paragraph" w:customStyle="1" w:styleId="Char1">
    <w:name w:val="ΚΕΙΜΕΝΟ Char1"/>
    <w:basedOn w:val="Normlny"/>
    <w:rsid w:val="001A04BB"/>
    <w:pPr>
      <w:spacing w:before="120" w:after="120" w:line="360" w:lineRule="auto"/>
      <w:jc w:val="both"/>
    </w:pPr>
    <w:rPr>
      <w:rFonts w:ascii="Arial" w:hAnsi="Arial" w:cs="Arial"/>
      <w:spacing w:val="-5"/>
      <w:sz w:val="22"/>
      <w:szCs w:val="21"/>
      <w:lang w:eastAsia="en-US"/>
    </w:rPr>
  </w:style>
  <w:style w:type="character" w:customStyle="1" w:styleId="Znakyprepoznmkupodiarou">
    <w:name w:val="Znaky pre poznámku pod čiarou"/>
    <w:rsid w:val="001A04BB"/>
  </w:style>
  <w:style w:type="character" w:styleId="Zvraznenie">
    <w:name w:val="Emphasis"/>
    <w:uiPriority w:val="20"/>
    <w:qFormat/>
    <w:rsid w:val="001A04BB"/>
    <w:rPr>
      <w:i/>
      <w:iCs/>
    </w:rPr>
  </w:style>
  <w:style w:type="character" w:customStyle="1" w:styleId="Znakapoznpodarou">
    <w:name w:val="Značka pozn. pod čarou"/>
    <w:rsid w:val="001A04BB"/>
    <w:rPr>
      <w:vertAlign w:val="superscript"/>
    </w:rPr>
  </w:style>
  <w:style w:type="paragraph" w:styleId="Zkladntext2">
    <w:name w:val="Body Text 2"/>
    <w:basedOn w:val="Normlny"/>
    <w:link w:val="Zkladntext2Char"/>
    <w:rsid w:val="00564089"/>
    <w:pPr>
      <w:spacing w:after="120" w:line="480" w:lineRule="auto"/>
    </w:pPr>
    <w:rPr>
      <w:rFonts w:ascii="Arial Narrow" w:hAnsi="Arial Narrow"/>
      <w:sz w:val="22"/>
      <w:lang w:eastAsia="en-US"/>
    </w:rPr>
  </w:style>
  <w:style w:type="character" w:customStyle="1" w:styleId="Zkladntext2Char">
    <w:name w:val="Základný text 2 Char"/>
    <w:basedOn w:val="Predvolenpsmoodseku"/>
    <w:link w:val="Zkladntext2"/>
    <w:rsid w:val="00564089"/>
    <w:rPr>
      <w:rFonts w:ascii="Arial Narrow" w:eastAsia="Times New Roman" w:hAnsi="Arial Narrow" w:cs="Times New Roman"/>
      <w:szCs w:val="24"/>
    </w:rPr>
  </w:style>
  <w:style w:type="paragraph" w:styleId="Revzia">
    <w:name w:val="Revision"/>
    <w:hidden/>
    <w:uiPriority w:val="99"/>
    <w:semiHidden/>
    <w:rsid w:val="001469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st1">
    <w:name w:val="st1"/>
    <w:basedOn w:val="Predvolenpsmoodseku"/>
    <w:rsid w:val="0041008B"/>
  </w:style>
  <w:style w:type="paragraph" w:styleId="Popis">
    <w:name w:val="caption"/>
    <w:basedOn w:val="Normlny"/>
    <w:next w:val="Normlny"/>
    <w:uiPriority w:val="99"/>
    <w:unhideWhenUsed/>
    <w:qFormat/>
    <w:rsid w:val="006F386B"/>
    <w:pPr>
      <w:jc w:val="both"/>
    </w:pPr>
    <w:rPr>
      <w:rFonts w:ascii="Arial" w:eastAsia="Calibri" w:hAnsi="Arial"/>
      <w:b/>
      <w:bCs/>
      <w:sz w:val="18"/>
      <w:szCs w:val="18"/>
      <w:lang w:eastAsia="en-US"/>
    </w:rPr>
  </w:style>
  <w:style w:type="paragraph" w:customStyle="1" w:styleId="popis2">
    <w:name w:val="popis 2"/>
    <w:basedOn w:val="Popis"/>
    <w:next w:val="Normlny"/>
    <w:qFormat/>
    <w:rsid w:val="006F386B"/>
    <w:pPr>
      <w:spacing w:line="480" w:lineRule="auto"/>
      <w:jc w:val="left"/>
    </w:pPr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21" Type="http://schemas.microsoft.com/office/2011/relationships/people" Target="people.xml"/><Relationship Id="rId7" Type="http://schemas.openxmlformats.org/officeDocument/2006/relationships/footnotes" Target="footnotes.xml"/><Relationship Id="rId12" Type="http://schemas.openxmlformats.org/officeDocument/2006/relationships/hyperlink" Target="http://www.partnerskadohoda.gov.sk" TargetMode="Externa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hart" Target="charts/chart3.xm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chart" Target="charts/chart2.xm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header" Target="header2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2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3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sk-SK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000"/>
            </a:pPr>
            <a:r>
              <a:rPr lang="sk-SK" sz="1000" b="1">
                <a:effectLst/>
                <a:latin typeface="Arial" panose="020B0604020202020204" pitchFamily="34" charset="0"/>
                <a:cs typeface="Arial" panose="020B0604020202020204" pitchFamily="34" charset="0"/>
              </a:rPr>
              <a:t>Viete o tom, že Európska únia poskytuje finančné prostriedky na rozvoj rôznych oblastí hospodárstva?</a:t>
            </a:r>
            <a:endParaRPr lang="sk-SK" sz="1000">
              <a:effectLst/>
              <a:latin typeface="Arial" panose="020B0604020202020204" pitchFamily="34" charset="0"/>
              <a:cs typeface="Arial" panose="020B0604020202020204" pitchFamily="34" charset="0"/>
            </a:endParaRPr>
          </a:p>
          <a:p>
            <a:pPr>
              <a:defRPr sz="1000"/>
            </a:pPr>
            <a:r>
              <a:rPr lang="sk-SK" sz="1000" b="0">
                <a:latin typeface="Arial" panose="020B0604020202020204" pitchFamily="34" charset="0"/>
                <a:cs typeface="Arial" panose="020B0604020202020204" pitchFamily="34" charset="0"/>
              </a:rPr>
              <a:t>(údaje</a:t>
            </a:r>
            <a:r>
              <a:rPr lang="sk-SK" sz="1000" b="0" baseline="0">
                <a:latin typeface="Arial" panose="020B0604020202020204" pitchFamily="34" charset="0"/>
                <a:cs typeface="Arial" panose="020B0604020202020204" pitchFamily="34" charset="0"/>
              </a:rPr>
              <a:t> v %)</a:t>
            </a:r>
            <a:endParaRPr lang="sk-SK" sz="1000" b="0">
              <a:latin typeface="Arial" panose="020B0604020202020204" pitchFamily="34" charset="0"/>
              <a:cs typeface="Arial" panose="020B0604020202020204" pitchFamily="34" charset="0"/>
            </a:endParaRPr>
          </a:p>
        </c:rich>
      </c:tx>
      <c:layout>
        <c:manualLayout>
          <c:xMode val="edge"/>
          <c:yMode val="edge"/>
          <c:x val="0.14342009332166819"/>
          <c:y val="1.4492753623188409E-2"/>
        </c:manualLayout>
      </c:layout>
      <c:overlay val="0"/>
    </c:title>
    <c:autoTitleDeleted val="0"/>
    <c:plotArea>
      <c:layout>
        <c:manualLayout>
          <c:layoutTarget val="inner"/>
          <c:xMode val="edge"/>
          <c:yMode val="edge"/>
          <c:x val="0.1383699693788277"/>
          <c:y val="0.22110321807600136"/>
          <c:w val="0.80988243657042891"/>
          <c:h val="0.55627519287361804"/>
        </c:manualLayout>
      </c:layout>
      <c:barChart>
        <c:barDir val="bar"/>
        <c:grouping val="percentStacked"/>
        <c:varyColors val="0"/>
        <c:ser>
          <c:idx val="0"/>
          <c:order val="0"/>
          <c:tx>
            <c:strRef>
              <c:f>Hárok1!$A$2</c:f>
              <c:strCache>
                <c:ptCount val="1"/>
                <c:pt idx="0">
                  <c:v>počul, že EÚ poskytuje prostriedky, ale nevie o tom bližšie</c:v>
                </c:pt>
              </c:strCache>
            </c:strRef>
          </c:tx>
          <c:spPr>
            <a:solidFill>
              <a:srgbClr val="A1AF00"/>
            </a:solidFill>
          </c:spPr>
          <c:invertIfNegative val="0"/>
          <c:dLbls>
            <c:numFmt formatCode="#,##0" sourceLinked="0"/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>
                    <a:solidFill>
                      <a:schemeClr val="bg1"/>
                    </a:solidFill>
                    <a:latin typeface="Arial" panose="020B0604020202020204" pitchFamily="34" charset="0"/>
                    <a:cs typeface="Arial" panose="020B0604020202020204" pitchFamily="34" charset="0"/>
                  </a:defRPr>
                </a:pPr>
                <a:endParaRPr lang="sk-SK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Hárok1!$B$1:$D$1</c:f>
              <c:strCache>
                <c:ptCount val="3"/>
                <c:pt idx="0">
                  <c:v>2014</c:v>
                </c:pt>
                <c:pt idx="1">
                  <c:v>2011</c:v>
                </c:pt>
                <c:pt idx="2">
                  <c:v>2008</c:v>
                </c:pt>
              </c:strCache>
            </c:strRef>
          </c:cat>
          <c:val>
            <c:numRef>
              <c:f>Hárok1!$B$2:$D$2</c:f>
              <c:numCache>
                <c:formatCode>General</c:formatCode>
                <c:ptCount val="3"/>
                <c:pt idx="0">
                  <c:v>49</c:v>
                </c:pt>
                <c:pt idx="1">
                  <c:v>16.7</c:v>
                </c:pt>
                <c:pt idx="2">
                  <c:v>26.4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2A17-4BBF-8C1D-D50C216DEE4E}"/>
            </c:ext>
          </c:extLst>
        </c:ser>
        <c:ser>
          <c:idx val="1"/>
          <c:order val="1"/>
          <c:tx>
            <c:strRef>
              <c:f>Hárok1!$A$3</c:f>
              <c:strCache>
                <c:ptCount val="1"/>
                <c:pt idx="0">
                  <c:v>vie, že EÚ poskytuje prostriedky na regionálny rozvoj</c:v>
                </c:pt>
              </c:strCache>
            </c:strRef>
          </c:tx>
          <c:spPr>
            <a:solidFill>
              <a:srgbClr val="004186"/>
            </a:solidFill>
          </c:spPr>
          <c:invertIfNegative val="0"/>
          <c:dLbls>
            <c:numFmt formatCode="#,##0" sourceLinked="0"/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>
                    <a:solidFill>
                      <a:schemeClr val="bg1"/>
                    </a:solidFill>
                    <a:latin typeface="Arial" panose="020B0604020202020204" pitchFamily="34" charset="0"/>
                    <a:cs typeface="Arial" panose="020B0604020202020204" pitchFamily="34" charset="0"/>
                  </a:defRPr>
                </a:pPr>
                <a:endParaRPr lang="sk-SK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Hárok1!$B$1:$D$1</c:f>
              <c:strCache>
                <c:ptCount val="3"/>
                <c:pt idx="0">
                  <c:v>2014</c:v>
                </c:pt>
                <c:pt idx="1">
                  <c:v>2011</c:v>
                </c:pt>
                <c:pt idx="2">
                  <c:v>2008</c:v>
                </c:pt>
              </c:strCache>
            </c:strRef>
          </c:cat>
          <c:val>
            <c:numRef>
              <c:f>Hárok1!$B$3:$D$3</c:f>
              <c:numCache>
                <c:formatCode>General</c:formatCode>
                <c:ptCount val="3"/>
                <c:pt idx="0">
                  <c:v>42.6</c:v>
                </c:pt>
                <c:pt idx="1">
                  <c:v>72.099999999999994</c:v>
                </c:pt>
                <c:pt idx="2">
                  <c:v>63.6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2A17-4BBF-8C1D-D50C216DEE4E}"/>
            </c:ext>
          </c:extLst>
        </c:ser>
        <c:ser>
          <c:idx val="2"/>
          <c:order val="2"/>
          <c:tx>
            <c:strRef>
              <c:f>Hárok1!$A$4</c:f>
              <c:strCache>
                <c:ptCount val="1"/>
                <c:pt idx="0">
                  <c:v>nevie, že EÚ poskytuje prostriedky na regionálny rozvoj</c:v>
                </c:pt>
              </c:strCache>
            </c:strRef>
          </c:tx>
          <c:spPr>
            <a:solidFill>
              <a:srgbClr val="E31B19"/>
            </a:solidFill>
          </c:spPr>
          <c:invertIfNegative val="0"/>
          <c:dLbls>
            <c:numFmt formatCode="#,##0" sourceLinked="0"/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>
                    <a:solidFill>
                      <a:schemeClr val="bg1"/>
                    </a:solidFill>
                    <a:latin typeface="Arial" panose="020B0604020202020204" pitchFamily="34" charset="0"/>
                    <a:cs typeface="Arial" panose="020B0604020202020204" pitchFamily="34" charset="0"/>
                  </a:defRPr>
                </a:pPr>
                <a:endParaRPr lang="sk-SK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Hárok1!$B$1:$D$1</c:f>
              <c:strCache>
                <c:ptCount val="3"/>
                <c:pt idx="0">
                  <c:v>2014</c:v>
                </c:pt>
                <c:pt idx="1">
                  <c:v>2011</c:v>
                </c:pt>
                <c:pt idx="2">
                  <c:v>2008</c:v>
                </c:pt>
              </c:strCache>
            </c:strRef>
          </c:cat>
          <c:val>
            <c:numRef>
              <c:f>Hárok1!$B$4:$D$4</c:f>
              <c:numCache>
                <c:formatCode>General</c:formatCode>
                <c:ptCount val="3"/>
                <c:pt idx="0">
                  <c:v>8.4</c:v>
                </c:pt>
                <c:pt idx="1">
                  <c:v>11.2</c:v>
                </c:pt>
                <c:pt idx="2">
                  <c:v>10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2A17-4BBF-8C1D-D50C216DEE4E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50"/>
        <c:overlap val="100"/>
        <c:axId val="149048704"/>
        <c:axId val="149054592"/>
      </c:barChart>
      <c:catAx>
        <c:axId val="149048704"/>
        <c:scaling>
          <c:orientation val="maxMin"/>
        </c:scaling>
        <c:delete val="0"/>
        <c:axPos val="l"/>
        <c:numFmt formatCode="General" sourceLinked="1"/>
        <c:majorTickMark val="out"/>
        <c:minorTickMark val="none"/>
        <c:tickLblPos val="nextTo"/>
        <c:txPr>
          <a:bodyPr/>
          <a:lstStyle/>
          <a:p>
            <a:pPr>
              <a:defRPr>
                <a:latin typeface="Arial" panose="020B0604020202020204" pitchFamily="34" charset="0"/>
                <a:cs typeface="Arial" panose="020B0604020202020204" pitchFamily="34" charset="0"/>
              </a:defRPr>
            </a:pPr>
            <a:endParaRPr lang="sk-SK"/>
          </a:p>
        </c:txPr>
        <c:crossAx val="149054592"/>
        <c:crosses val="autoZero"/>
        <c:auto val="1"/>
        <c:lblAlgn val="ctr"/>
        <c:lblOffset val="100"/>
        <c:noMultiLvlLbl val="0"/>
      </c:catAx>
      <c:valAx>
        <c:axId val="149054592"/>
        <c:scaling>
          <c:orientation val="minMax"/>
          <c:max val="1"/>
        </c:scaling>
        <c:delete val="0"/>
        <c:axPos val="t"/>
        <c:numFmt formatCode="0%" sourceLinked="0"/>
        <c:majorTickMark val="out"/>
        <c:minorTickMark val="none"/>
        <c:tickLblPos val="nextTo"/>
        <c:txPr>
          <a:bodyPr/>
          <a:lstStyle/>
          <a:p>
            <a:pPr>
              <a:defRPr sz="800">
                <a:latin typeface="Arial" panose="020B0604020202020204" pitchFamily="34" charset="0"/>
                <a:cs typeface="Arial" panose="020B0604020202020204" pitchFamily="34" charset="0"/>
              </a:defRPr>
            </a:pPr>
            <a:endParaRPr lang="sk-SK"/>
          </a:p>
        </c:txPr>
        <c:crossAx val="149048704"/>
        <c:crosses val="autoZero"/>
        <c:crossBetween val="between"/>
        <c:majorUnit val="0.2"/>
      </c:valAx>
      <c:spPr>
        <a:noFill/>
      </c:spPr>
    </c:plotArea>
    <c:legend>
      <c:legendPos val="r"/>
      <c:layout>
        <c:manualLayout>
          <c:xMode val="edge"/>
          <c:yMode val="edge"/>
          <c:x val="8.0536942686085869E-2"/>
          <c:y val="0.80470086693708764"/>
          <c:w val="0.86418398221055714"/>
          <c:h val="0.19529913306291269"/>
        </c:manualLayout>
      </c:layout>
      <c:overlay val="0"/>
      <c:txPr>
        <a:bodyPr/>
        <a:lstStyle/>
        <a:p>
          <a:pPr>
            <a:defRPr sz="1000">
              <a:latin typeface="Arial" panose="020B0604020202020204" pitchFamily="34" charset="0"/>
              <a:cs typeface="Arial" panose="020B0604020202020204" pitchFamily="34" charset="0"/>
            </a:defRPr>
          </a:pPr>
          <a:endParaRPr lang="sk-SK"/>
        </a:p>
      </c:txPr>
    </c:legend>
    <c:plotVisOnly val="1"/>
    <c:dispBlanksAs val="gap"/>
    <c:showDLblsOverMax val="0"/>
  </c:chart>
  <c:spPr>
    <a:noFill/>
  </c:sp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sk-SK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000"/>
            </a:pPr>
            <a:r>
              <a:rPr lang="sk-SK" sz="1000" b="1">
                <a:effectLst/>
                <a:latin typeface="Arial" panose="020B0604020202020204" pitchFamily="34" charset="0"/>
                <a:cs typeface="Arial" panose="020B0604020202020204" pitchFamily="34" charset="0"/>
              </a:rPr>
              <a:t>Poznáte niektoré operačné programy Národného strategického referenčného rámca Slovenskej republiky?</a:t>
            </a:r>
            <a:endParaRPr lang="sk-SK" sz="1000">
              <a:effectLst/>
              <a:latin typeface="Arial" panose="020B0604020202020204" pitchFamily="34" charset="0"/>
              <a:cs typeface="Arial" panose="020B0604020202020204" pitchFamily="34" charset="0"/>
            </a:endParaRPr>
          </a:p>
          <a:p>
            <a:pPr>
              <a:defRPr sz="1000"/>
            </a:pPr>
            <a:r>
              <a:rPr lang="sk-SK" sz="1000" b="0">
                <a:latin typeface="Arial" panose="020B0604020202020204" pitchFamily="34" charset="0"/>
                <a:cs typeface="Arial" panose="020B0604020202020204" pitchFamily="34" charset="0"/>
              </a:rPr>
              <a:t>(údaje</a:t>
            </a:r>
            <a:r>
              <a:rPr lang="sk-SK" sz="1000" b="0" baseline="0">
                <a:latin typeface="Arial" panose="020B0604020202020204" pitchFamily="34" charset="0"/>
                <a:cs typeface="Arial" panose="020B0604020202020204" pitchFamily="34" charset="0"/>
              </a:rPr>
              <a:t> v %)</a:t>
            </a:r>
            <a:endParaRPr lang="sk-SK" sz="1000" b="0">
              <a:latin typeface="Arial" panose="020B0604020202020204" pitchFamily="34" charset="0"/>
              <a:cs typeface="Arial" panose="020B0604020202020204" pitchFamily="34" charset="0"/>
            </a:endParaRPr>
          </a:p>
        </c:rich>
      </c:tx>
      <c:layout>
        <c:manualLayout>
          <c:xMode val="edge"/>
          <c:yMode val="edge"/>
          <c:x val="0.14342009332166819"/>
          <c:y val="1.4492753623188409E-2"/>
        </c:manualLayout>
      </c:layout>
      <c:overlay val="0"/>
    </c:title>
    <c:autoTitleDeleted val="0"/>
    <c:plotArea>
      <c:layout>
        <c:manualLayout>
          <c:layoutTarget val="inner"/>
          <c:xMode val="edge"/>
          <c:yMode val="edge"/>
          <c:x val="0.3200572324292798"/>
          <c:y val="0.27204846705989733"/>
          <c:w val="0.33408300524934403"/>
          <c:h val="0.68971975277283892"/>
        </c:manualLayout>
      </c:layout>
      <c:pieChart>
        <c:varyColors val="1"/>
        <c:ser>
          <c:idx val="0"/>
          <c:order val="0"/>
          <c:spPr>
            <a:solidFill>
              <a:srgbClr val="A1AF00"/>
            </a:solidFill>
          </c:spPr>
          <c:dPt>
            <c:idx val="1"/>
            <c:bubble3D val="0"/>
            <c:spPr>
              <a:solidFill>
                <a:srgbClr val="E31B19"/>
              </a:solidFill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1-155C-48BC-940D-CF758410385D}"/>
              </c:ext>
            </c:extLst>
          </c:dPt>
          <c:dLbls>
            <c:dLbl>
              <c:idx val="0"/>
              <c:numFmt formatCode="#,##0" sourceLinked="0"/>
              <c:spPr/>
              <c:txPr>
                <a:bodyPr/>
                <a:lstStyle/>
                <a:p>
                  <a:pPr>
                    <a:defRPr>
                      <a:solidFill>
                        <a:schemeClr val="bg1"/>
                      </a:solidFill>
                      <a:latin typeface="Arial" panose="020B0604020202020204" pitchFamily="34" charset="0"/>
                      <a:cs typeface="Arial" panose="020B0604020202020204" pitchFamily="34" charset="0"/>
                    </a:defRPr>
                  </a:pPr>
                  <a:endParaRPr lang="sk-SK"/>
                </a:p>
              </c:txPr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numFmt formatCode="#,##0" sourceLinked="0"/>
              <c:spPr/>
              <c:txPr>
                <a:bodyPr/>
                <a:lstStyle/>
                <a:p>
                  <a:pPr>
                    <a:defRPr>
                      <a:solidFill>
                        <a:schemeClr val="bg1"/>
                      </a:solidFill>
                      <a:latin typeface="Arial" panose="020B0604020202020204" pitchFamily="34" charset="0"/>
                      <a:cs typeface="Arial" panose="020B0604020202020204" pitchFamily="34" charset="0"/>
                    </a:defRPr>
                  </a:pPr>
                  <a:endParaRPr lang="sk-SK"/>
                </a:p>
              </c:txPr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#,##0" sourceLinked="0"/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>
                    <a:solidFill>
                      <a:sysClr val="windowText" lastClr="000000"/>
                    </a:solidFill>
                    <a:latin typeface="Arial" panose="020B0604020202020204" pitchFamily="34" charset="0"/>
                    <a:cs typeface="Arial" panose="020B0604020202020204" pitchFamily="34" charset="0"/>
                  </a:defRPr>
                </a:pPr>
                <a:endParaRPr lang="sk-SK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extLst xmlns:c16r2="http://schemas.microsoft.com/office/drawing/2015/06/chart">
              <c:ext xmlns:c15="http://schemas.microsoft.com/office/drawing/2012/chart" uri="{CE6537A1-D6FC-4f65-9D91-7224C49458BB}"/>
            </c:extLst>
          </c:dLbls>
          <c:cat>
            <c:strRef>
              <c:f>Hárok1!$A$2:$A$3</c:f>
              <c:strCache>
                <c:ptCount val="2"/>
                <c:pt idx="0">
                  <c:v>áno, pozná</c:v>
                </c:pt>
                <c:pt idx="1">
                  <c:v>nie, nepozná</c:v>
                </c:pt>
              </c:strCache>
            </c:strRef>
          </c:cat>
          <c:val>
            <c:numRef>
              <c:f>Hárok1!$B$2:$B$3</c:f>
              <c:numCache>
                <c:formatCode>0.0"%"</c:formatCode>
                <c:ptCount val="2"/>
                <c:pt idx="0">
                  <c:v>8.2000000000000011</c:v>
                </c:pt>
                <c:pt idx="1">
                  <c:v>91.8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3-155C-48BC-940D-CF758410385D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  <c:spPr>
        <a:noFill/>
      </c:spPr>
    </c:plotArea>
    <c:legend>
      <c:legendPos val="r"/>
      <c:overlay val="0"/>
      <c:txPr>
        <a:bodyPr/>
        <a:lstStyle/>
        <a:p>
          <a:pPr>
            <a:defRPr sz="1000">
              <a:latin typeface="Arial" panose="020B0604020202020204" pitchFamily="34" charset="0"/>
              <a:cs typeface="Arial" panose="020B0604020202020204" pitchFamily="34" charset="0"/>
            </a:defRPr>
          </a:pPr>
          <a:endParaRPr lang="sk-SK"/>
        </a:p>
      </c:txPr>
    </c:legend>
    <c:plotVisOnly val="1"/>
    <c:dispBlanksAs val="zero"/>
    <c:showDLblsOverMax val="0"/>
  </c:chart>
  <c:spPr>
    <a:noFill/>
  </c:sp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sk-SK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000"/>
            </a:pPr>
            <a:r>
              <a:rPr lang="sk-SK" sz="1000" b="1" i="0" u="none" strike="noStrike" baseline="0">
                <a:effectLst/>
                <a:latin typeface="Arial" panose="020B0604020202020204" pitchFamily="34" charset="0"/>
                <a:cs typeface="Arial" panose="020B0604020202020204" pitchFamily="34" charset="0"/>
              </a:rPr>
              <a:t>Ktoré operačné programy Národného strategického referenčného rámca Slovenskej republiky poznáte?</a:t>
            </a:r>
          </a:p>
          <a:p>
            <a:pPr>
              <a:defRPr sz="1000"/>
            </a:pPr>
            <a:r>
              <a:rPr lang="sk-SK" sz="1000" b="0">
                <a:latin typeface="Arial" panose="020B0604020202020204" pitchFamily="34" charset="0"/>
                <a:cs typeface="Arial" panose="020B0604020202020204" pitchFamily="34" charset="0"/>
              </a:rPr>
              <a:t>(údaje</a:t>
            </a:r>
            <a:r>
              <a:rPr lang="sk-SK" sz="1000" b="0" baseline="0">
                <a:latin typeface="Arial" panose="020B0604020202020204" pitchFamily="34" charset="0"/>
                <a:cs typeface="Arial" panose="020B0604020202020204" pitchFamily="34" charset="0"/>
              </a:rPr>
              <a:t> v %)</a:t>
            </a:r>
            <a:endParaRPr lang="sk-SK" sz="1000" b="0">
              <a:latin typeface="Arial" panose="020B0604020202020204" pitchFamily="34" charset="0"/>
              <a:cs typeface="Arial" panose="020B0604020202020204" pitchFamily="34" charset="0"/>
            </a:endParaRPr>
          </a:p>
        </c:rich>
      </c:tx>
      <c:overlay val="0"/>
    </c:title>
    <c:autoTitleDeleted val="0"/>
    <c:plotArea>
      <c:layout>
        <c:manualLayout>
          <c:layoutTarget val="inner"/>
          <c:xMode val="edge"/>
          <c:yMode val="edge"/>
          <c:x val="0.48906441382327231"/>
          <c:y val="0.18202799276956058"/>
          <c:w val="0.47774114173228349"/>
          <c:h val="0.77536166188181688"/>
        </c:manualLayout>
      </c:layout>
      <c:barChart>
        <c:barDir val="bar"/>
        <c:grouping val="clustered"/>
        <c:varyColors val="0"/>
        <c:ser>
          <c:idx val="0"/>
          <c:order val="0"/>
          <c:tx>
            <c:strRef>
              <c:f>Hárok1!$B$1</c:f>
              <c:strCache>
                <c:ptCount val="1"/>
                <c:pt idx="0">
                  <c:v>2014</c:v>
                </c:pt>
              </c:strCache>
            </c:strRef>
          </c:tx>
          <c:spPr>
            <a:solidFill>
              <a:srgbClr val="A1AF00"/>
            </a:solidFill>
          </c:spPr>
          <c:invertIfNegative val="0"/>
          <c:dLbls>
            <c:numFmt formatCode="#,##0.0" sourceLinked="0"/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900">
                    <a:solidFill>
                      <a:sysClr val="windowText" lastClr="000000"/>
                    </a:solidFill>
                    <a:latin typeface="Arial" panose="020B0604020202020204" pitchFamily="34" charset="0"/>
                    <a:cs typeface="Arial" panose="020B0604020202020204" pitchFamily="34" charset="0"/>
                  </a:defRPr>
                </a:pPr>
                <a:endParaRPr lang="sk-SK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Hárok1!$A$2:$A$13</c:f>
              <c:strCache>
                <c:ptCount val="12"/>
                <c:pt idx="0">
                  <c:v>OP Doprava</c:v>
                </c:pt>
                <c:pt idx="1">
                  <c:v>OP Vzdelávanie</c:v>
                </c:pt>
                <c:pt idx="2">
                  <c:v>OP Zamestnanosť a sociálna inklúzia</c:v>
                </c:pt>
                <c:pt idx="3">
                  <c:v>OP Výskum a vývoj</c:v>
                </c:pt>
                <c:pt idx="4">
                  <c:v>Regionálny operačný program</c:v>
                </c:pt>
                <c:pt idx="5">
                  <c:v>OP Životné prostredie</c:v>
                </c:pt>
                <c:pt idx="6">
                  <c:v>OP Informatizácia spoločnosti</c:v>
                </c:pt>
                <c:pt idx="7">
                  <c:v>OP Konkurencieschopnosť a hospodársky rast</c:v>
                </c:pt>
                <c:pt idx="8">
                  <c:v>OP Zdravotníctvo</c:v>
                </c:pt>
                <c:pt idx="9">
                  <c:v>OP Bratislavský kraj</c:v>
                </c:pt>
                <c:pt idx="10">
                  <c:v>OP Technická pomoc</c:v>
                </c:pt>
                <c:pt idx="11">
                  <c:v>Iné, mimo NSRR</c:v>
                </c:pt>
              </c:strCache>
            </c:strRef>
          </c:cat>
          <c:val>
            <c:numRef>
              <c:f>Hárok1!$B$2:$B$13</c:f>
              <c:numCache>
                <c:formatCode>General</c:formatCode>
                <c:ptCount val="12"/>
                <c:pt idx="0">
                  <c:v>68.292682926829258</c:v>
                </c:pt>
                <c:pt idx="1">
                  <c:v>68.292682926829258</c:v>
                </c:pt>
                <c:pt idx="2">
                  <c:v>60.975609756097541</c:v>
                </c:pt>
                <c:pt idx="3">
                  <c:v>58.536585365853654</c:v>
                </c:pt>
                <c:pt idx="4">
                  <c:v>56.097560975609753</c:v>
                </c:pt>
                <c:pt idx="5">
                  <c:v>53.658536585365852</c:v>
                </c:pt>
                <c:pt idx="6">
                  <c:v>43.902439024390247</c:v>
                </c:pt>
                <c:pt idx="7">
                  <c:v>41.463414634146325</c:v>
                </c:pt>
                <c:pt idx="8">
                  <c:v>36.585365853658523</c:v>
                </c:pt>
                <c:pt idx="9">
                  <c:v>21.951219512195117</c:v>
                </c:pt>
                <c:pt idx="10">
                  <c:v>19.512195121951226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2942-4ACC-9065-BD12DCCEBFCC}"/>
            </c:ext>
          </c:extLst>
        </c:ser>
        <c:ser>
          <c:idx val="1"/>
          <c:order val="1"/>
          <c:tx>
            <c:strRef>
              <c:f>Hárok1!$C$1</c:f>
              <c:strCache>
                <c:ptCount val="1"/>
                <c:pt idx="0">
                  <c:v>2011</c:v>
                </c:pt>
              </c:strCache>
            </c:strRef>
          </c:tx>
          <c:spPr>
            <a:solidFill>
              <a:srgbClr val="004186"/>
            </a:solidFill>
          </c:spPr>
          <c:invertIfNegative val="0"/>
          <c:dLbls>
            <c:numFmt formatCode="#,##0.0" sourceLinked="0"/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900">
                    <a:solidFill>
                      <a:sysClr val="windowText" lastClr="000000"/>
                    </a:solidFill>
                    <a:latin typeface="Arial" panose="020B0604020202020204" pitchFamily="34" charset="0"/>
                    <a:cs typeface="Arial" panose="020B0604020202020204" pitchFamily="34" charset="0"/>
                  </a:defRPr>
                </a:pPr>
                <a:endParaRPr lang="sk-SK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Hárok1!$A$2:$A$13</c:f>
              <c:strCache>
                <c:ptCount val="12"/>
                <c:pt idx="0">
                  <c:v>OP Doprava</c:v>
                </c:pt>
                <c:pt idx="1">
                  <c:v>OP Vzdelávanie</c:v>
                </c:pt>
                <c:pt idx="2">
                  <c:v>OP Zamestnanosť a sociálna inklúzia</c:v>
                </c:pt>
                <c:pt idx="3">
                  <c:v>OP Výskum a vývoj</c:v>
                </c:pt>
                <c:pt idx="4">
                  <c:v>Regionálny operačný program</c:v>
                </c:pt>
                <c:pt idx="5">
                  <c:v>OP Životné prostredie</c:v>
                </c:pt>
                <c:pt idx="6">
                  <c:v>OP Informatizácia spoločnosti</c:v>
                </c:pt>
                <c:pt idx="7">
                  <c:v>OP Konkurencieschopnosť a hospodársky rast</c:v>
                </c:pt>
                <c:pt idx="8">
                  <c:v>OP Zdravotníctvo</c:v>
                </c:pt>
                <c:pt idx="9">
                  <c:v>OP Bratislavský kraj</c:v>
                </c:pt>
                <c:pt idx="10">
                  <c:v>OP Technická pomoc</c:v>
                </c:pt>
                <c:pt idx="11">
                  <c:v>Iné, mimo NSRR</c:v>
                </c:pt>
              </c:strCache>
            </c:strRef>
          </c:cat>
          <c:val>
            <c:numRef>
              <c:f>Hárok1!$C$2:$C$13</c:f>
              <c:numCache>
                <c:formatCode>General</c:formatCode>
                <c:ptCount val="12"/>
                <c:pt idx="0">
                  <c:v>20</c:v>
                </c:pt>
                <c:pt idx="1">
                  <c:v>6.6</c:v>
                </c:pt>
                <c:pt idx="2">
                  <c:v>13.3</c:v>
                </c:pt>
                <c:pt idx="3">
                  <c:v>20</c:v>
                </c:pt>
                <c:pt idx="4">
                  <c:v>20</c:v>
                </c:pt>
                <c:pt idx="5">
                  <c:v>33.300000000000004</c:v>
                </c:pt>
                <c:pt idx="6">
                  <c:v>6.6</c:v>
                </c:pt>
                <c:pt idx="7">
                  <c:v>6.6</c:v>
                </c:pt>
                <c:pt idx="8">
                  <c:v>6.6</c:v>
                </c:pt>
                <c:pt idx="11">
                  <c:v>13.3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2942-4ACC-9065-BD12DCCEBFCC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50"/>
        <c:axId val="136880512"/>
        <c:axId val="136882048"/>
      </c:barChart>
      <c:catAx>
        <c:axId val="136880512"/>
        <c:scaling>
          <c:orientation val="maxMin"/>
        </c:scaling>
        <c:delete val="0"/>
        <c:axPos val="l"/>
        <c:numFmt formatCode="General" sourceLinked="1"/>
        <c:majorTickMark val="out"/>
        <c:minorTickMark val="none"/>
        <c:tickLblPos val="nextTo"/>
        <c:txPr>
          <a:bodyPr/>
          <a:lstStyle/>
          <a:p>
            <a:pPr>
              <a:defRPr sz="900">
                <a:latin typeface="Arial" panose="020B0604020202020204" pitchFamily="34" charset="0"/>
                <a:cs typeface="Arial" panose="020B0604020202020204" pitchFamily="34" charset="0"/>
              </a:defRPr>
            </a:pPr>
            <a:endParaRPr lang="sk-SK"/>
          </a:p>
        </c:txPr>
        <c:crossAx val="136882048"/>
        <c:crosses val="autoZero"/>
        <c:auto val="1"/>
        <c:lblAlgn val="ctr"/>
        <c:lblOffset val="100"/>
        <c:noMultiLvlLbl val="0"/>
      </c:catAx>
      <c:valAx>
        <c:axId val="136882048"/>
        <c:scaling>
          <c:orientation val="minMax"/>
          <c:max val="100"/>
        </c:scaling>
        <c:delete val="0"/>
        <c:axPos val="t"/>
        <c:numFmt formatCode="#,##0" sourceLinked="0"/>
        <c:majorTickMark val="out"/>
        <c:minorTickMark val="none"/>
        <c:tickLblPos val="nextTo"/>
        <c:txPr>
          <a:bodyPr/>
          <a:lstStyle/>
          <a:p>
            <a:pPr>
              <a:defRPr sz="800">
                <a:latin typeface="Arial" panose="020B0604020202020204" pitchFamily="34" charset="0"/>
                <a:cs typeface="Arial" panose="020B0604020202020204" pitchFamily="34" charset="0"/>
              </a:defRPr>
            </a:pPr>
            <a:endParaRPr lang="sk-SK"/>
          </a:p>
        </c:txPr>
        <c:crossAx val="136880512"/>
        <c:crosses val="autoZero"/>
        <c:crossBetween val="between"/>
        <c:majorUnit val="20"/>
      </c:valAx>
      <c:spPr>
        <a:noFill/>
      </c:spPr>
    </c:plotArea>
    <c:legend>
      <c:legendPos val="r"/>
      <c:layout>
        <c:manualLayout>
          <c:xMode val="edge"/>
          <c:yMode val="edge"/>
          <c:x val="0.89644101778944318"/>
          <c:y val="0.80363469491686679"/>
          <c:w val="8.1707130358705152E-2"/>
          <c:h val="0.17077895113857036"/>
        </c:manualLayout>
      </c:layout>
      <c:overlay val="0"/>
      <c:txPr>
        <a:bodyPr/>
        <a:lstStyle/>
        <a:p>
          <a:pPr>
            <a:defRPr sz="900">
              <a:latin typeface="Arial" panose="020B0604020202020204" pitchFamily="34" charset="0"/>
              <a:cs typeface="Arial" panose="020B0604020202020204" pitchFamily="34" charset="0"/>
            </a:defRPr>
          </a:pPr>
          <a:endParaRPr lang="sk-SK"/>
        </a:p>
      </c:txPr>
    </c:legend>
    <c:plotVisOnly val="1"/>
    <c:dispBlanksAs val="gap"/>
    <c:showDLblsOverMax val="0"/>
  </c:chart>
  <c:spPr>
    <a:noFill/>
  </c:spPr>
  <c:externalData r:id="rId1">
    <c:autoUpdate val="0"/>
  </c:externalData>
</c:chartSpace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E0F8A0-373F-466A-B9DF-056670F644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20</Pages>
  <Words>6066</Words>
  <Characters>34579</Characters>
  <Application>Microsoft Office Word</Application>
  <DocSecurity>0</DocSecurity>
  <Lines>288</Lines>
  <Paragraphs>81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MVRR</Company>
  <LinksUpToDate>false</LinksUpToDate>
  <CharactersWithSpaces>40564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Drotár Matúš</dc:creator>
  <cp:lastModifiedBy>Malec Peter</cp:lastModifiedBy>
  <cp:revision>2</cp:revision>
  <cp:lastPrinted>2014-06-27T08:05:00Z</cp:lastPrinted>
  <dcterms:created xsi:type="dcterms:W3CDTF">2017-04-28T10:43:00Z</dcterms:created>
  <dcterms:modified xsi:type="dcterms:W3CDTF">2017-04-28T10:43:00Z</dcterms:modified>
</cp:coreProperties>
</file>