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0B176ECB"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17</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276CEF40"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7.4.</w:t>
      </w:r>
      <w:r w:rsidR="002B4BB6" w:rsidRPr="008D182A">
        <w:rPr>
          <w:rFonts w:ascii="Arial" w:hAnsi="Arial" w:cs="Arial"/>
          <w:b/>
          <w:color w:val="000000" w:themeColor="text1"/>
          <w:sz w:val="24"/>
          <w:szCs w:val="19"/>
        </w:rPr>
        <w:t xml:space="preserve"> </w:t>
      </w:r>
      <w:r w:rsidR="00C55A55" w:rsidRPr="008D182A">
        <w:rPr>
          <w:rFonts w:ascii="Arial" w:hAnsi="Arial" w:cs="Arial"/>
          <w:b/>
          <w:color w:val="000000" w:themeColor="text1"/>
          <w:sz w:val="24"/>
          <w:szCs w:val="19"/>
        </w:rPr>
        <w:t>Zvýšenie kapacít základných škôl v Bratislavskom kraji</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709E51D6"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7.4.</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Zvýšenie kapacít základných škôl v Bratislavskom kraji</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6814D5B3"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 xml:space="preserve">7.4 </w:t>
      </w:r>
    </w:p>
    <w:p w14:paraId="6E8C17EB" w14:textId="6AC7FA25" w:rsidR="00EA7014" w:rsidRDefault="00621A84" w:rsidP="00F043AE">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7.4</w:t>
      </w:r>
      <w:r w:rsidRPr="00FB4F69">
        <w:rPr>
          <w:rFonts w:ascii="Arial" w:hAnsi="Arial" w:cs="Arial"/>
          <w:color w:val="000000" w:themeColor="text1"/>
          <w:sz w:val="19"/>
          <w:szCs w:val="19"/>
        </w:rPr>
        <w:t xml:space="preserve">, ktorým je </w:t>
      </w:r>
      <w:r w:rsidR="00EA7014" w:rsidRPr="00EA7014">
        <w:rPr>
          <w:rFonts w:ascii="Arial" w:hAnsi="Arial" w:cs="Arial"/>
          <w:color w:val="000000" w:themeColor="text1"/>
          <w:sz w:val="19"/>
          <w:szCs w:val="19"/>
        </w:rPr>
        <w:t>na riešenie nedostatku kapacít základných škôl, na zamedzenie zavádzania dvojzmennej prevádzky v kontexte SMART školy.</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50BC4CA9"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lastRenderedPageBreak/>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7.4.</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Zvýšenie kapacít základných škôl v Bratislavskom kraji, ktoré sú </w:t>
      </w:r>
      <w:r w:rsidRPr="00FB4F69">
        <w:rPr>
          <w:rFonts w:ascii="Arial" w:hAnsi="Arial" w:cs="Arial"/>
          <w:color w:val="000000" w:themeColor="text1"/>
          <w:sz w:val="19"/>
          <w:szCs w:val="19"/>
        </w:rPr>
        <w:t>definované nasledovne: </w:t>
      </w:r>
    </w:p>
    <w:p w14:paraId="1692CD36"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rozšírenie kapacít základných škôl a zlepšenie podmienok základného vzdelávania,</w:t>
      </w:r>
    </w:p>
    <w:p w14:paraId="18D758C7"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zvýšenie počtu základných škôl s prvkami </w:t>
      </w:r>
      <w:proofErr w:type="spellStart"/>
      <w:r w:rsidRPr="00FB4F69">
        <w:rPr>
          <w:rFonts w:ascii="Arial" w:eastAsiaTheme="minorHAnsi" w:hAnsi="Arial" w:cs="Arial"/>
          <w:color w:val="000000" w:themeColor="text1"/>
          <w:sz w:val="19"/>
          <w:szCs w:val="19"/>
          <w:lang w:val="sk-SK" w:bidi="ar-SA"/>
        </w:rPr>
        <w:t>inkluzívneho</w:t>
      </w:r>
      <w:proofErr w:type="spellEnd"/>
      <w:r w:rsidRPr="00FB4F69">
        <w:rPr>
          <w:rFonts w:ascii="Arial" w:eastAsiaTheme="minorHAnsi" w:hAnsi="Arial" w:cs="Arial"/>
          <w:color w:val="000000" w:themeColor="text1"/>
          <w:sz w:val="19"/>
          <w:szCs w:val="19"/>
          <w:lang w:val="sk-SK" w:bidi="ar-SA"/>
        </w:rPr>
        <w:t xml:space="preserve"> vzdelávania,</w:t>
      </w:r>
    </w:p>
    <w:p w14:paraId="18757AB3"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vytvorenie podmienok pre celoživotné vzdelávania.</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4C9AAF04"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výstavba nových objektov, rozširovanie kapacít existujúcich objektov základných škôl prístavbou, nadstavbou, rekonštrukciou, zmenou dispozície objektov;</w:t>
      </w:r>
    </w:p>
    <w:p w14:paraId="65390C0F"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výstavba a stavebno-technické úpravy jedální, kuchýň a telocviční so zázemím vo vzťahu k rozširovaniu kapacít ZŠ;</w:t>
      </w:r>
    </w:p>
    <w:p w14:paraId="589092F5"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výstavba a stavebno-technické úpravy areálu základnej školy vrátane ihrísk, športových zariadení, záhrad s možnosťou celoročnej prevádzky;  </w:t>
      </w:r>
    </w:p>
    <w:p w14:paraId="3D62B658"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zvyšovanie energetickej hospodárnosti budov základných škôl vo vzťahu k rozširovaniu kapacít; </w:t>
      </w:r>
    </w:p>
    <w:p w14:paraId="052F09FF" w14:textId="517DA63C"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7.4.</w:t>
      </w:r>
    </w:p>
    <w:p w14:paraId="789F230C" w14:textId="2BCFF66B" w:rsidR="00621A84" w:rsidRPr="00FB4F69" w:rsidRDefault="00621A84" w:rsidP="00F043AE">
      <w:pPr>
        <w:pStyle w:val="Odsekzoznamu"/>
        <w:spacing w:before="120" w:after="120" w:line="288" w:lineRule="auto"/>
        <w:ind w:left="0"/>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642D2090" w14:textId="77777777" w:rsidR="00F043AE" w:rsidRPr="00FB4F69" w:rsidRDefault="00F043AE" w:rsidP="00F043AE">
      <w:pPr>
        <w:pStyle w:val="Odsekzoznamu"/>
        <w:spacing w:before="120" w:after="120" w:line="288" w:lineRule="auto"/>
        <w:ind w:left="0"/>
        <w:jc w:val="both"/>
        <w:rPr>
          <w:rFonts w:ascii="Arial" w:hAnsi="Arial" w:cs="Arial"/>
          <w:b/>
          <w:color w:val="000000" w:themeColor="text1"/>
          <w:sz w:val="19"/>
          <w:szCs w:val="19"/>
          <w:lang w:val="sk-SK"/>
        </w:rPr>
      </w:pPr>
    </w:p>
    <w:p w14:paraId="7DF3B0B9" w14:textId="115A9EDF"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sa realizuje v</w:t>
      </w:r>
      <w:r w:rsidR="00FC1A03">
        <w:rPr>
          <w:rFonts w:ascii="Arial" w:eastAsiaTheme="minorHAnsi" w:hAnsi="Arial" w:cs="Arial"/>
          <w:color w:val="000000" w:themeColor="text1"/>
          <w:sz w:val="19"/>
          <w:szCs w:val="19"/>
          <w:lang w:val="sk-SK" w:bidi="ar-SA"/>
        </w:rPr>
        <w:t> </w:t>
      </w:r>
      <w:r w:rsidRPr="00FB4F69">
        <w:rPr>
          <w:rFonts w:ascii="Arial" w:eastAsiaTheme="minorHAnsi" w:hAnsi="Arial" w:cs="Arial"/>
          <w:color w:val="000000" w:themeColor="text1"/>
          <w:sz w:val="19"/>
          <w:szCs w:val="19"/>
          <w:lang w:val="sk-SK" w:bidi="ar-SA"/>
        </w:rPr>
        <w:t>škole</w:t>
      </w:r>
      <w:r w:rsidR="00FC1A03">
        <w:rPr>
          <w:rFonts w:ascii="Arial" w:eastAsiaTheme="minorHAnsi" w:hAnsi="Arial" w:cs="Arial"/>
          <w:color w:val="000000" w:themeColor="text1"/>
          <w:sz w:val="19"/>
          <w:szCs w:val="19"/>
          <w:lang w:val="sk-SK" w:bidi="ar-SA"/>
        </w:rPr>
        <w:t xml:space="preserve"> a školskom zariadení zaradených</w:t>
      </w:r>
      <w:r w:rsidRPr="00FB4F69">
        <w:rPr>
          <w:rFonts w:ascii="Arial" w:eastAsiaTheme="minorHAnsi" w:hAnsi="Arial" w:cs="Arial"/>
          <w:color w:val="000000" w:themeColor="text1"/>
          <w:sz w:val="19"/>
          <w:szCs w:val="19"/>
          <w:lang w:val="sk-SK" w:bidi="ar-SA"/>
        </w:rPr>
        <w:t xml:space="preserve"> do siete škôl a školských zariadení v súlade so zákonom č. 596/2003 Z. z. o štátnej správe v školstve a školskej samospráve v platnom znení (</w:t>
      </w:r>
      <w:r w:rsidRPr="00FB4F69">
        <w:rPr>
          <w:rFonts w:ascii="Arial" w:eastAsia="Helvetica" w:hAnsi="Arial" w:cs="Arial"/>
          <w:color w:val="000000" w:themeColor="text1"/>
          <w:sz w:val="19"/>
          <w:szCs w:val="19"/>
          <w:lang w:val="sk-SK"/>
        </w:rPr>
        <w:t>najmä §15 Sieť</w:t>
      </w:r>
      <w:r w:rsidRPr="00FB4F69">
        <w:rPr>
          <w:rFonts w:ascii="Arial" w:hAnsi="Arial" w:cs="Arial"/>
          <w:color w:val="000000" w:themeColor="text1"/>
          <w:sz w:val="19"/>
          <w:szCs w:val="19"/>
          <w:lang w:val="sk-SK"/>
        </w:rPr>
        <w:t>)</w:t>
      </w:r>
      <w:r w:rsidRPr="00FB4F69">
        <w:rPr>
          <w:rFonts w:ascii="Arial" w:eastAsiaTheme="minorHAnsi" w:hAnsi="Arial" w:cs="Arial"/>
          <w:color w:val="000000" w:themeColor="text1"/>
          <w:sz w:val="19"/>
          <w:szCs w:val="19"/>
          <w:lang w:val="sk-SK" w:bidi="ar-SA"/>
        </w:rPr>
        <w:t>,</w:t>
      </w:r>
    </w:p>
    <w:p w14:paraId="0A23954E" w14:textId="77777777"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je v súlade so zákonom č. 245/2008 Z. z. o výchove a vzdelávaní (školský zákon) v platnom znení (</w:t>
      </w:r>
      <w:r w:rsidRPr="00FB4F69">
        <w:rPr>
          <w:rFonts w:ascii="Arial" w:eastAsia="Helvetica" w:hAnsi="Arial" w:cs="Arial"/>
          <w:color w:val="000000" w:themeColor="text1"/>
          <w:sz w:val="19"/>
          <w:szCs w:val="19"/>
          <w:lang w:val="sk-SK"/>
        </w:rPr>
        <w:t>najmä §29-§31 Základná škola a ďalšie ustanovenia týkajúce sa základných škôl a základného vzdelávania)</w:t>
      </w:r>
      <w:r w:rsidRPr="00FB4F69">
        <w:rPr>
          <w:rFonts w:ascii="Arial" w:eastAsiaTheme="minorHAnsi" w:hAnsi="Arial" w:cs="Arial"/>
          <w:color w:val="000000" w:themeColor="text1"/>
          <w:sz w:val="19"/>
          <w:szCs w:val="19"/>
          <w:lang w:val="sk-SK" w:bidi="ar-SA"/>
        </w:rPr>
        <w:t>,</w:t>
      </w:r>
    </w:p>
    <w:p w14:paraId="4BD6A719" w14:textId="6BE590EA"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hAnsi="Arial" w:cs="Arial"/>
          <w:color w:val="000000" w:themeColor="text1"/>
          <w:sz w:val="19"/>
          <w:szCs w:val="19"/>
          <w:lang w:val="sk-SK"/>
        </w:rPr>
        <w:t>projekt</w:t>
      </w:r>
      <w:r w:rsidRPr="00FB4F69">
        <w:rPr>
          <w:rFonts w:ascii="Arial" w:eastAsiaTheme="minorHAnsi" w:hAnsi="Arial" w:cs="Arial"/>
          <w:color w:val="000000" w:themeColor="text1"/>
          <w:sz w:val="19"/>
          <w:szCs w:val="19"/>
          <w:lang w:val="sk-SK" w:bidi="ar-SA"/>
        </w:rPr>
        <w:t xml:space="preserve"> je v súlade so Štátnym vzdelávacím programom vrátane prvkov </w:t>
      </w:r>
      <w:proofErr w:type="spellStart"/>
      <w:r w:rsidRPr="00FB4F69">
        <w:rPr>
          <w:rFonts w:ascii="Arial" w:eastAsiaTheme="minorHAnsi" w:hAnsi="Arial" w:cs="Arial"/>
          <w:color w:val="000000" w:themeColor="text1"/>
          <w:sz w:val="19"/>
          <w:szCs w:val="19"/>
          <w:lang w:val="sk-SK" w:bidi="ar-SA"/>
        </w:rPr>
        <w:t>inkluzívneho</w:t>
      </w:r>
      <w:proofErr w:type="spellEnd"/>
      <w:r w:rsidRPr="00FB4F69">
        <w:rPr>
          <w:rFonts w:ascii="Arial" w:eastAsiaTheme="minorHAnsi" w:hAnsi="Arial" w:cs="Arial"/>
          <w:color w:val="000000" w:themeColor="text1"/>
          <w:sz w:val="19"/>
          <w:szCs w:val="19"/>
          <w:lang w:val="sk-SK" w:bidi="ar-SA"/>
        </w:rPr>
        <w:t xml:space="preserve"> vzdelávania pre prvý a druhý stupeň základných škôl (</w:t>
      </w:r>
      <w:r w:rsidRPr="00FB4F69">
        <w:rPr>
          <w:rFonts w:ascii="Arial" w:hAnsi="Arial" w:cs="Arial"/>
          <w:color w:val="000000" w:themeColor="text1"/>
          <w:sz w:val="19"/>
          <w:szCs w:val="19"/>
          <w:lang w:val="sk-SK"/>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všeobecným intelektovým nadaním a pod.)</w:t>
      </w:r>
      <w:r w:rsidR="00FB4F69">
        <w:rPr>
          <w:rFonts w:ascii="Arial" w:eastAsiaTheme="minorHAnsi" w:hAnsi="Arial" w:cs="Arial"/>
          <w:color w:val="000000" w:themeColor="text1"/>
          <w:sz w:val="19"/>
          <w:szCs w:val="19"/>
          <w:lang w:val="sk-SK" w:bidi="ar-SA"/>
        </w:rPr>
        <w:t>,</w:t>
      </w:r>
    </w:p>
    <w:p w14:paraId="02F1A8FE" w14:textId="00A59123"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 xml:space="preserve">projekt podporuje </w:t>
      </w:r>
      <w:proofErr w:type="spellStart"/>
      <w:r w:rsidRPr="00FB4F69">
        <w:rPr>
          <w:rFonts w:ascii="Arial" w:eastAsiaTheme="minorHAnsi" w:hAnsi="Arial" w:cs="Arial"/>
          <w:color w:val="000000" w:themeColor="text1"/>
          <w:sz w:val="19"/>
          <w:szCs w:val="19"/>
          <w:lang w:val="sk-SK" w:bidi="ar-SA"/>
        </w:rPr>
        <w:t>inkluzívne</w:t>
      </w:r>
      <w:proofErr w:type="spellEnd"/>
      <w:r w:rsidRPr="00FB4F69">
        <w:rPr>
          <w:rFonts w:ascii="Arial" w:eastAsiaTheme="minorHAnsi" w:hAnsi="Arial" w:cs="Arial"/>
          <w:color w:val="000000" w:themeColor="text1"/>
          <w:sz w:val="19"/>
          <w:szCs w:val="19"/>
          <w:lang w:val="sk-SK" w:bidi="ar-SA"/>
        </w:rPr>
        <w:t xml:space="preserve"> vzdelávanie (hodnotiteľ posúdi, či je správne a dostatočne deklarovaný súlad žiadosti o NFP s princípmi </w:t>
      </w:r>
      <w:proofErr w:type="spellStart"/>
      <w:r w:rsidRPr="00FB4F69">
        <w:rPr>
          <w:rFonts w:ascii="Arial" w:eastAsiaTheme="minorHAnsi" w:hAnsi="Arial" w:cs="Arial"/>
          <w:color w:val="000000" w:themeColor="text1"/>
          <w:sz w:val="19"/>
          <w:szCs w:val="19"/>
          <w:lang w:val="sk-SK" w:bidi="ar-SA"/>
        </w:rPr>
        <w:t>inkluzívneho</w:t>
      </w:r>
      <w:proofErr w:type="spellEnd"/>
      <w:r w:rsidRPr="00FB4F69">
        <w:rPr>
          <w:rFonts w:ascii="Arial" w:eastAsiaTheme="minorHAnsi" w:hAnsi="Arial" w:cs="Arial"/>
          <w:color w:val="000000" w:themeColor="text1"/>
          <w:sz w:val="19"/>
          <w:szCs w:val="19"/>
          <w:lang w:val="sk-SK" w:bidi="ar-SA"/>
        </w:rPr>
        <w:t xml:space="preserve"> vzdelávania, (zavádzania prvkov solidarity, rovnakého zaobchádzania (nediskriminácie), komplexnosti, individuálneho prístupu, motivácie, zásluhovosť a spolupráce. Cieľom </w:t>
      </w:r>
      <w:proofErr w:type="spellStart"/>
      <w:r w:rsidRPr="00FB4F69">
        <w:rPr>
          <w:rFonts w:ascii="Arial" w:eastAsiaTheme="minorHAnsi" w:hAnsi="Arial" w:cs="Arial"/>
          <w:color w:val="000000" w:themeColor="text1"/>
          <w:sz w:val="19"/>
          <w:szCs w:val="19"/>
          <w:lang w:val="sk-SK" w:bidi="ar-SA"/>
        </w:rPr>
        <w:t>inkluzívneho</w:t>
      </w:r>
      <w:proofErr w:type="spellEnd"/>
      <w:r w:rsidRPr="00FB4F69">
        <w:rPr>
          <w:rFonts w:ascii="Arial" w:eastAsiaTheme="minorHAnsi" w:hAnsi="Arial" w:cs="Arial"/>
          <w:color w:val="000000" w:themeColor="text1"/>
          <w:sz w:val="19"/>
          <w:szCs w:val="19"/>
          <w:lang w:val="sk-SK" w:bidi="ar-SA"/>
        </w:rPr>
        <w:t xml:space="preserve"> vzdelávania je tvoriť prostredie, v ktorom je možné uspokojiť rôznorodé vzdelávacie potreby každého jedinca v súlade s ich špecifickými potrebami. Prostredníctvom plnohodnotnej účasti na vzdelávaní </w:t>
      </w:r>
      <w:proofErr w:type="spellStart"/>
      <w:r w:rsidRPr="00FB4F69">
        <w:rPr>
          <w:rFonts w:ascii="Arial" w:eastAsiaTheme="minorHAnsi" w:hAnsi="Arial" w:cs="Arial"/>
          <w:color w:val="000000" w:themeColor="text1"/>
          <w:sz w:val="19"/>
          <w:szCs w:val="19"/>
          <w:lang w:val="sk-SK" w:bidi="ar-SA"/>
        </w:rPr>
        <w:t>inkluzívny</w:t>
      </w:r>
      <w:proofErr w:type="spellEnd"/>
      <w:r w:rsidRPr="00FB4F69">
        <w:rPr>
          <w:rFonts w:ascii="Arial" w:eastAsiaTheme="minorHAnsi" w:hAnsi="Arial" w:cs="Arial"/>
          <w:color w:val="000000" w:themeColor="text1"/>
          <w:sz w:val="19"/>
          <w:szCs w:val="19"/>
          <w:lang w:val="sk-SK" w:bidi="ar-SA"/>
        </w:rPr>
        <w:t xml:space="preserve"> prístup vedie k zvyšovaniu úspešnosti detí/žiakov so špecifickými potrebami a ich predčasnému zaradeniu do špeciálnych zariadení),</w:t>
      </w:r>
    </w:p>
    <w:p w14:paraId="0BECC229" w14:textId="12565D0C"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podporuje celoživotné vzdelávanie v súlade so zákonom č. 568/2009 Z. z. o celoživotnom vzdelávaní v platnom znení,</w:t>
      </w:r>
    </w:p>
    <w:p w14:paraId="088A640F" w14:textId="71C91E5C" w:rsidR="008B1F42" w:rsidRPr="00FB4F69" w:rsidRDefault="008B1F42" w:rsidP="008B1F42">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FB4F69">
        <w:rPr>
          <w:rFonts w:ascii="Arial" w:eastAsiaTheme="minorHAnsi" w:hAnsi="Arial" w:cs="Arial"/>
          <w:color w:val="000000" w:themeColor="text1"/>
          <w:sz w:val="19"/>
          <w:szCs w:val="19"/>
          <w:lang w:val="sk-SK" w:bidi="ar-SA"/>
        </w:rPr>
        <w:t>projekt spĺňa požiadavky v súlade s vyhláškou MŽP SR č. 532/2002 Z. z.</w:t>
      </w:r>
    </w:p>
    <w:p w14:paraId="26A5185E" w14:textId="18528AC8" w:rsidR="00621A84" w:rsidRPr="00FB4F69" w:rsidRDefault="00621A84" w:rsidP="00621A84">
      <w:pPr>
        <w:spacing w:before="120" w:after="120" w:line="288" w:lineRule="auto"/>
        <w:jc w:val="both"/>
        <w:rPr>
          <w:rFonts w:ascii="Arial" w:hAnsi="Arial" w:cs="Arial"/>
          <w:color w:val="000000" w:themeColor="text1"/>
          <w:sz w:val="19"/>
          <w:szCs w:val="19"/>
        </w:rPr>
      </w:pPr>
      <w:r w:rsidRPr="00FB4F69">
        <w:rPr>
          <w:rFonts w:ascii="Arial" w:hAnsi="Arial" w:cs="Arial"/>
          <w:color w:val="000000" w:themeColor="text1"/>
          <w:sz w:val="19"/>
          <w:szCs w:val="19"/>
        </w:rPr>
        <w:t>Hodnotiteľ posúdi zásadu „projekt sa realizuje v škole, ktorá je v súlade so zásadami optimalizácie siete škôl a školských zariadení (pasportizácia)“ odpoveďou (áno) v prípade, ak sa projekt realizuje v škole, ktorá je zaradená do siete škôl a školských zariadení v súlade so zákonom č. 596/2003 Z. z. o štátnej správe v školstve a školskej samospráve v platnom znení (</w:t>
      </w:r>
      <w:r w:rsidRPr="00FB4F69">
        <w:rPr>
          <w:rFonts w:ascii="Arial" w:eastAsia="Helvetica" w:hAnsi="Arial" w:cs="Arial"/>
          <w:color w:val="000000" w:themeColor="text1"/>
          <w:sz w:val="19"/>
          <w:szCs w:val="19"/>
        </w:rPr>
        <w:t>najmä §15 Sieť</w:t>
      </w:r>
      <w:r w:rsidR="008E2620" w:rsidRPr="00FB4F69">
        <w:rPr>
          <w:rFonts w:ascii="Arial" w:hAnsi="Arial" w:cs="Arial"/>
          <w:color w:val="000000" w:themeColor="text1"/>
          <w:sz w:val="19"/>
          <w:szCs w:val="19"/>
        </w:rPr>
        <w:t>)</w:t>
      </w:r>
      <w:r w:rsidR="008E2620">
        <w:rPr>
          <w:rFonts w:ascii="Arial" w:hAnsi="Arial" w:cs="Arial"/>
          <w:color w:val="000000" w:themeColor="text1"/>
          <w:sz w:val="19"/>
          <w:szCs w:val="19"/>
        </w:rPr>
        <w:t>.</w:t>
      </w:r>
    </w:p>
    <w:p w14:paraId="564A7108" w14:textId="77777777" w:rsidR="00621A84" w:rsidRPr="008005CD" w:rsidRDefault="00621A84" w:rsidP="00621A84">
      <w:pPr>
        <w:numPr>
          <w:ilvl w:val="1"/>
          <w:numId w:val="34"/>
        </w:numPr>
        <w:spacing w:before="120" w:after="120" w:line="288" w:lineRule="auto"/>
        <w:ind w:left="709"/>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lastRenderedPageBreak/>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 xml:space="preserve">nízkoenergetických, </w:t>
      </w:r>
      <w:proofErr w:type="spellStart"/>
      <w:r w:rsidRPr="00BC3EE4">
        <w:rPr>
          <w:rFonts w:ascii="Arial" w:hAnsi="Arial" w:cs="Arial"/>
          <w:sz w:val="19"/>
          <w:szCs w:val="19"/>
          <w:lang w:val="sk-SK"/>
        </w:rPr>
        <w:t>ultra</w:t>
      </w:r>
      <w:proofErr w:type="spellEnd"/>
      <w:r w:rsidRPr="00BC3EE4">
        <w:rPr>
          <w:rFonts w:ascii="Arial" w:hAnsi="Arial" w:cs="Arial"/>
          <w:sz w:val="19"/>
          <w:szCs w:val="19"/>
          <w:lang w:val="sk-SK"/>
        </w:rPr>
        <w:t>-nízkoenergetických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1C2388A4" w:rsidR="00621A84" w:rsidRPr="00A179DD"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lastRenderedPageBreak/>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Vecná oprávnenosť výdavkov projektu - obsahová </w:t>
            </w:r>
            <w:r w:rsidRPr="00F93B3F">
              <w:rPr>
                <w:rFonts w:ascii="Arial" w:eastAsia="Helvetica" w:hAnsi="Arial" w:cs="Arial"/>
                <w:color w:val="000000" w:themeColor="text1"/>
                <w:sz w:val="19"/>
                <w:szCs w:val="19"/>
              </w:rPr>
              <w:lastRenderedPageBreak/>
              <w:t>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lastRenderedPageBreak/>
              <w:t xml:space="preserve">Posudzuje sa, či sú žiadané výdavky projektu vecne (obsahovo) oprávnené v zmysle riadiacej dokumentácie IROP upravujúcej oblasť oprávnenosti </w:t>
            </w:r>
            <w:r w:rsidRPr="00F93B3F">
              <w:rPr>
                <w:rFonts w:ascii="Arial" w:eastAsia="Helvetica" w:hAnsi="Arial" w:cs="Arial"/>
                <w:color w:val="000000" w:themeColor="text1"/>
                <w:sz w:val="19"/>
                <w:szCs w:val="19"/>
              </w:rPr>
              <w:lastRenderedPageBreak/>
              <w:t xml:space="preserve">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lastRenderedPageBreak/>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 xml:space="preserve">Uvedené sa overuje prostredníctvom stanovených </w:t>
            </w:r>
            <w:proofErr w:type="spellStart"/>
            <w:r w:rsidRPr="00F93B3F">
              <w:rPr>
                <w:rFonts w:ascii="Arial" w:hAnsi="Arial" w:cs="Arial"/>
                <w:color w:val="000000" w:themeColor="text1"/>
                <w:sz w:val="19"/>
                <w:szCs w:val="19"/>
                <w:u w:color="000000"/>
              </w:rPr>
              <w:t>benchmarkov</w:t>
            </w:r>
            <w:proofErr w:type="spellEnd"/>
            <w:r w:rsidRPr="00F93B3F">
              <w:rPr>
                <w:rFonts w:ascii="Arial" w:hAnsi="Arial" w:cs="Arial"/>
                <w:color w:val="000000" w:themeColor="text1"/>
                <w:sz w:val="19"/>
                <w:szCs w:val="19"/>
                <w:u w:color="000000"/>
              </w:rPr>
              <w:t xml:space="preserve">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 xml:space="preserve">V prípade prekročenia stanovených </w:t>
            </w:r>
            <w:proofErr w:type="spellStart"/>
            <w:r>
              <w:rPr>
                <w:rFonts w:ascii="Arial" w:hAnsi="Arial" w:cs="Arial"/>
                <w:i/>
                <w:iCs/>
                <w:color w:val="000000"/>
                <w:sz w:val="19"/>
                <w:szCs w:val="19"/>
                <w:bdr w:val="none" w:sz="0" w:space="0" w:color="auto" w:frame="1"/>
              </w:rPr>
              <w:t>benchmarkov</w:t>
            </w:r>
            <w:proofErr w:type="spellEnd"/>
            <w:r>
              <w:rPr>
                <w:rFonts w:ascii="Arial" w:hAnsi="Arial" w:cs="Arial"/>
                <w:i/>
                <w:iCs/>
                <w:color w:val="000000"/>
                <w:sz w:val="19"/>
                <w:szCs w:val="19"/>
                <w:bdr w:val="none" w:sz="0" w:space="0" w:color="auto" w:frame="1"/>
              </w:rPr>
              <w:t xml:space="preserve">, alebo prekročenia stanovených finančných limitov budú výdavky nad referenčnú hodnotu </w:t>
            </w:r>
            <w:proofErr w:type="spellStart"/>
            <w:r>
              <w:rPr>
                <w:rFonts w:ascii="Arial" w:hAnsi="Arial" w:cs="Arial"/>
                <w:i/>
                <w:iCs/>
                <w:color w:val="000000"/>
                <w:sz w:val="19"/>
                <w:szCs w:val="19"/>
                <w:bdr w:val="none" w:sz="0" w:space="0" w:color="auto" w:frame="1"/>
              </w:rPr>
              <w:t>benchmarku</w:t>
            </w:r>
            <w:proofErr w:type="spellEnd"/>
            <w:r>
              <w:rPr>
                <w:rFonts w:ascii="Arial" w:hAnsi="Arial" w:cs="Arial"/>
                <w:i/>
                <w:iCs/>
                <w:color w:val="000000"/>
                <w:sz w:val="19"/>
                <w:szCs w:val="19"/>
                <w:bdr w:val="none" w:sz="0" w:space="0" w:color="auto" w:frame="1"/>
              </w:rPr>
              <w:t>,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proofErr w:type="spellStart"/>
      <w:r w:rsidRPr="003C6DE1">
        <w:rPr>
          <w:rFonts w:ascii="Arial" w:eastAsiaTheme="minorHAnsi" w:hAnsi="Arial" w:cs="Arial"/>
          <w:color w:val="000000" w:themeColor="text1"/>
          <w:sz w:val="19"/>
          <w:szCs w:val="19"/>
          <w:bdr w:val="none" w:sz="0" w:space="0" w:color="auto"/>
          <w:lang w:val="sk-SK"/>
        </w:rPr>
        <w:t>benchmarkov</w:t>
      </w:r>
      <w:proofErr w:type="spellEnd"/>
      <w:r w:rsidRPr="003C6DE1">
        <w:rPr>
          <w:rFonts w:ascii="Arial" w:eastAsiaTheme="minorHAnsi" w:hAnsi="Arial" w:cs="Arial"/>
          <w:color w:val="000000" w:themeColor="text1"/>
          <w:sz w:val="19"/>
          <w:szCs w:val="19"/>
          <w:bdr w:val="none" w:sz="0" w:space="0" w:color="auto"/>
          <w:lang w:val="sk-SK"/>
        </w:rPr>
        <w:t xml:space="preserve">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proofErr w:type="spellStart"/>
      <w:r>
        <w:rPr>
          <w:rFonts w:ascii="Arial" w:hAnsi="Arial" w:cs="Arial"/>
          <w:sz w:val="19"/>
          <w:szCs w:val="19"/>
        </w:rPr>
        <w:t>benchmarky</w:t>
      </w:r>
      <w:proofErr w:type="spellEnd"/>
      <w:r>
        <w:rPr>
          <w:rFonts w:ascii="Arial" w:hAnsi="Arial" w:cs="Arial"/>
          <w:sz w:val="19"/>
          <w:szCs w:val="19"/>
        </w:rPr>
        <w:t xml:space="preserve">,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w:t>
      </w:r>
      <w:r w:rsidRPr="00E33F54">
        <w:rPr>
          <w:rFonts w:ascii="Arial" w:hAnsi="Arial" w:cs="Arial"/>
          <w:sz w:val="19"/>
          <w:szCs w:val="19"/>
        </w:rPr>
        <w:lastRenderedPageBreak/>
        <w:t xml:space="preserve">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w:t>
      </w:r>
      <w:proofErr w:type="spellStart"/>
      <w:r w:rsidRPr="009B070E">
        <w:rPr>
          <w:rFonts w:ascii="Arial" w:hAnsi="Arial" w:cs="Arial"/>
          <w:color w:val="000000" w:themeColor="text1"/>
          <w:sz w:val="19"/>
          <w:szCs w:val="19"/>
        </w:rPr>
        <w:t>benchmarku</w:t>
      </w:r>
      <w:proofErr w:type="spellEnd"/>
      <w:r w:rsidRPr="009B070E">
        <w:rPr>
          <w:rFonts w:ascii="Arial" w:hAnsi="Arial" w:cs="Arial"/>
          <w:color w:val="000000" w:themeColor="text1"/>
          <w:sz w:val="19"/>
          <w:szCs w:val="19"/>
        </w:rPr>
        <w:t xml:space="preserve">,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w:t>
      </w:r>
      <w:proofErr w:type="spellStart"/>
      <w:r>
        <w:rPr>
          <w:rFonts w:ascii="Arial" w:hAnsi="Arial" w:cs="Arial"/>
          <w:color w:val="000000" w:themeColor="text1"/>
          <w:sz w:val="19"/>
          <w:szCs w:val="19"/>
        </w:rPr>
        <w:t>benchmarkov</w:t>
      </w:r>
      <w:proofErr w:type="spellEnd"/>
      <w:r>
        <w:rPr>
          <w:rFonts w:ascii="Arial" w:hAnsi="Arial" w:cs="Arial"/>
          <w:color w:val="000000" w:themeColor="text1"/>
          <w:sz w:val="19"/>
          <w:szCs w:val="19"/>
        </w:rPr>
        <w:t xml:space="preserve">,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35597780"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D22775">
        <w:rPr>
          <w:rFonts w:ascii="Arial" w:hAnsi="Arial" w:cs="Arial"/>
          <w:color w:val="000000" w:themeColor="text1"/>
          <w:sz w:val="19"/>
          <w:szCs w:val="19"/>
        </w:rPr>
        <w:t xml:space="preserve"> a príloha </w:t>
      </w:r>
      <w:r w:rsidR="00D22775"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2A675E0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príloha č. 5 ŽoNFP</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64A955CA"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5CBA2694" w14:textId="77777777" w:rsidR="00F255BF" w:rsidRDefault="00F255BF" w:rsidP="00F255B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4F4D1F64" w14:textId="77777777" w:rsidR="00F255BF" w:rsidRPr="004E7F22" w:rsidRDefault="00F255BF"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lastRenderedPageBreak/>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Rozpočet vykazuje nedostatky v matematickej správnosti, a/alebo sú identifikované nedostatky v jednotlivých položkách (nie sú  zrozumiteľné, dostatočne podrobne špecifikované a/alebo správne priradené k skupinám </w:t>
            </w:r>
            <w:r w:rsidRPr="00F93B3F">
              <w:rPr>
                <w:rFonts w:ascii="Arial" w:eastAsia="Helvetica" w:hAnsi="Arial" w:cs="Arial"/>
                <w:color w:val="000000" w:themeColor="text1"/>
                <w:sz w:val="19"/>
                <w:szCs w:val="19"/>
              </w:rPr>
              <w:lastRenderedPageBreak/>
              <w:t>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proofErr w:type="spellStart"/>
      <w:r w:rsidRPr="00613DDB">
        <w:rPr>
          <w:rFonts w:ascii="Arial" w:eastAsiaTheme="minorHAnsi" w:hAnsi="Arial" w:cs="Arial"/>
          <w:color w:val="000000" w:themeColor="text1"/>
          <w:sz w:val="19"/>
          <w:szCs w:val="19"/>
          <w:bdr w:val="none" w:sz="0" w:space="0" w:color="auto"/>
          <w:lang w:val="sk-SK"/>
        </w:rPr>
        <w:t>položkového</w:t>
      </w:r>
      <w:proofErr w:type="spellEnd"/>
      <w:r w:rsidRPr="00613DDB">
        <w:rPr>
          <w:rFonts w:ascii="Arial" w:eastAsiaTheme="minorHAnsi" w:hAnsi="Arial" w:cs="Arial"/>
          <w:color w:val="000000" w:themeColor="text1"/>
          <w:sz w:val="19"/>
          <w:szCs w:val="19"/>
          <w:bdr w:val="none" w:sz="0" w:space="0" w:color="auto"/>
          <w:lang w:val="sk-SK"/>
        </w:rPr>
        <w:t xml:space="preserve">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CC0C" w14:textId="77777777" w:rsidR="00FE4F33" w:rsidRDefault="00FE4F3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5556C321" w:rsidR="008B1F42" w:rsidRDefault="009F59B5" w:rsidP="009F59B5">
        <w:pPr>
          <w:pStyle w:val="Pta"/>
        </w:pPr>
        <w:r w:rsidRPr="00BE7612">
          <w:rPr>
            <w:rFonts w:ascii="Arial" w:hAnsi="Arial" w:cs="Arial"/>
            <w:sz w:val="16"/>
            <w:szCs w:val="16"/>
          </w:rPr>
          <w:t xml:space="preserve">Príručka pre odborných hodnotiteľov IROP, verzia </w:t>
        </w:r>
        <w:r w:rsidR="00703CE6">
          <w:rPr>
            <w:rFonts w:ascii="Arial" w:hAnsi="Arial" w:cs="Arial"/>
            <w:sz w:val="16"/>
            <w:szCs w:val="16"/>
          </w:rPr>
          <w:t>12.</w:t>
        </w:r>
        <w:del w:id="0" w:author="OM1" w:date="2022-05-25T09:31:00Z">
          <w:r w:rsidR="00703CE6" w:rsidDel="00827A75">
            <w:rPr>
              <w:rFonts w:ascii="Arial" w:hAnsi="Arial" w:cs="Arial"/>
              <w:sz w:val="16"/>
              <w:szCs w:val="16"/>
            </w:rPr>
            <w:delText>0</w:delText>
          </w:r>
        </w:del>
        <w:ins w:id="1" w:author="OM1" w:date="2022-05-25T09:31:00Z">
          <w:r w:rsidR="00827A75">
            <w:rPr>
              <w:rFonts w:ascii="Arial" w:hAnsi="Arial" w:cs="Arial"/>
              <w:sz w:val="16"/>
              <w:szCs w:val="16"/>
            </w:rPr>
            <w:t>1</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01A0E" w14:textId="77777777" w:rsidR="00FE4F33" w:rsidRDefault="00FE4F33">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0DFAF" w14:textId="77777777" w:rsidR="00FE4F33" w:rsidRDefault="00FE4F33">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0"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9"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3"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0"/>
  </w:num>
  <w:num w:numId="4">
    <w:abstractNumId w:val="40"/>
  </w:num>
  <w:num w:numId="5">
    <w:abstractNumId w:val="41"/>
  </w:num>
  <w:num w:numId="6">
    <w:abstractNumId w:val="11"/>
  </w:num>
  <w:num w:numId="7">
    <w:abstractNumId w:val="37"/>
  </w:num>
  <w:num w:numId="8">
    <w:abstractNumId w:val="15"/>
  </w:num>
  <w:num w:numId="9">
    <w:abstractNumId w:val="16"/>
  </w:num>
  <w:num w:numId="10">
    <w:abstractNumId w:val="7"/>
  </w:num>
  <w:num w:numId="11">
    <w:abstractNumId w:val="22"/>
  </w:num>
  <w:num w:numId="12">
    <w:abstractNumId w:val="18"/>
  </w:num>
  <w:num w:numId="13">
    <w:abstractNumId w:val="36"/>
  </w:num>
  <w:num w:numId="14">
    <w:abstractNumId w:val="27"/>
  </w:num>
  <w:num w:numId="15">
    <w:abstractNumId w:val="17"/>
  </w:num>
  <w:num w:numId="16">
    <w:abstractNumId w:val="13"/>
  </w:num>
  <w:num w:numId="17">
    <w:abstractNumId w:val="25"/>
  </w:num>
  <w:num w:numId="18">
    <w:abstractNumId w:val="39"/>
  </w:num>
  <w:num w:numId="19">
    <w:abstractNumId w:val="32"/>
  </w:num>
  <w:num w:numId="20">
    <w:abstractNumId w:val="5"/>
  </w:num>
  <w:num w:numId="21">
    <w:abstractNumId w:val="3"/>
  </w:num>
  <w:num w:numId="22">
    <w:abstractNumId w:val="43"/>
  </w:num>
  <w:num w:numId="23">
    <w:abstractNumId w:val="9"/>
  </w:num>
  <w:num w:numId="24">
    <w:abstractNumId w:val="43"/>
  </w:num>
  <w:num w:numId="25">
    <w:abstractNumId w:val="3"/>
  </w:num>
  <w:num w:numId="26">
    <w:abstractNumId w:val="9"/>
  </w:num>
  <w:num w:numId="27">
    <w:abstractNumId w:val="8"/>
  </w:num>
  <w:num w:numId="28">
    <w:abstractNumId w:val="34"/>
  </w:num>
  <w:num w:numId="29">
    <w:abstractNumId w:val="31"/>
  </w:num>
  <w:num w:numId="30">
    <w:abstractNumId w:val="42"/>
  </w:num>
  <w:num w:numId="31">
    <w:abstractNumId w:val="28"/>
  </w:num>
  <w:num w:numId="32">
    <w:abstractNumId w:val="21"/>
  </w:num>
  <w:num w:numId="33">
    <w:abstractNumId w:val="23"/>
  </w:num>
  <w:num w:numId="34">
    <w:abstractNumId w:val="4"/>
  </w:num>
  <w:num w:numId="35">
    <w:abstractNumId w:val="35"/>
  </w:num>
  <w:num w:numId="36">
    <w:abstractNumId w:val="26"/>
  </w:num>
  <w:num w:numId="37">
    <w:abstractNumId w:val="19"/>
  </w:num>
  <w:num w:numId="38">
    <w:abstractNumId w:val="12"/>
  </w:num>
  <w:num w:numId="39">
    <w:abstractNumId w:val="30"/>
  </w:num>
  <w:num w:numId="40">
    <w:abstractNumId w:val="33"/>
  </w:num>
  <w:num w:numId="41">
    <w:abstractNumId w:val="24"/>
  </w:num>
  <w:num w:numId="42">
    <w:abstractNumId w:val="38"/>
  </w:num>
  <w:num w:numId="43">
    <w:abstractNumId w:val="29"/>
  </w:num>
  <w:num w:numId="44">
    <w:abstractNumId w:val="2"/>
  </w:num>
  <w:num w:numId="45">
    <w:abstractNumId w:val="1"/>
  </w:num>
  <w:num w:numId="46">
    <w:abstractNumId w:val="14"/>
  </w:num>
  <w:num w:numId="47">
    <w:abstractNumId w:val="1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07C04"/>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573D1"/>
    <w:rsid w:val="00561444"/>
    <w:rsid w:val="00563B91"/>
    <w:rsid w:val="00564DB5"/>
    <w:rsid w:val="0057380A"/>
    <w:rsid w:val="0057652E"/>
    <w:rsid w:val="00581A45"/>
    <w:rsid w:val="00581C5F"/>
    <w:rsid w:val="00582FCE"/>
    <w:rsid w:val="0059209D"/>
    <w:rsid w:val="0059573D"/>
    <w:rsid w:val="0059586E"/>
    <w:rsid w:val="00595B20"/>
    <w:rsid w:val="005963A1"/>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03CE6"/>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218"/>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27A75"/>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2620"/>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D43AB"/>
    <w:rsid w:val="00CD5D6A"/>
    <w:rsid w:val="00CE65FF"/>
    <w:rsid w:val="00CF12B4"/>
    <w:rsid w:val="00CF1494"/>
    <w:rsid w:val="00CF2402"/>
    <w:rsid w:val="00CF4836"/>
    <w:rsid w:val="00D05B26"/>
    <w:rsid w:val="00D06F22"/>
    <w:rsid w:val="00D07504"/>
    <w:rsid w:val="00D07E0F"/>
    <w:rsid w:val="00D1737B"/>
    <w:rsid w:val="00D2210A"/>
    <w:rsid w:val="00D22775"/>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255BF"/>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4F33"/>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2B2D5-C27C-4AD5-AE80-65072E366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6897</Words>
  <Characters>39316</Characters>
  <Application>Microsoft Office Word</Application>
  <DocSecurity>0</DocSecurity>
  <Lines>327</Lines>
  <Paragraphs>92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14</cp:revision>
  <cp:lastPrinted>2016-08-27T16:57:00Z</cp:lastPrinted>
  <dcterms:created xsi:type="dcterms:W3CDTF">2021-06-15T08:10:00Z</dcterms:created>
  <dcterms:modified xsi:type="dcterms:W3CDTF">2022-05-25T07:31:00Z</dcterms:modified>
</cp:coreProperties>
</file>