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  <w:bookmarkStart w:id="0" w:name="_GoBack"/>
      <w:bookmarkEnd w:id="0"/>
    </w:p>
    <w:p w14:paraId="06EF42A0" w14:textId="77777777" w:rsidR="00F01740" w:rsidRPr="00971CC1" w:rsidRDefault="00F661A6">
      <w:pPr>
        <w:jc w:val="center"/>
        <w:outlineLvl w:val="0"/>
        <w:rPr>
          <w:b/>
        </w:rPr>
      </w:pPr>
      <w:commentRangeStart w:id="1"/>
      <w:r w:rsidRPr="00971CC1">
        <w:rPr>
          <w:b/>
        </w:rPr>
        <w:t>Označenie</w:t>
      </w:r>
      <w:commentRangeEnd w:id="1"/>
      <w:r w:rsidRPr="00971CC1">
        <w:rPr>
          <w:rStyle w:val="Odkaznakomentr"/>
        </w:rPr>
        <w:commentReference w:id="1"/>
      </w:r>
      <w:r w:rsidRPr="00971CC1">
        <w:rPr>
          <w:b/>
        </w:rPr>
        <w:t xml:space="preserve"> </w:t>
      </w:r>
      <w:commentRangeStart w:id="2"/>
      <w:r w:rsidRPr="00971CC1">
        <w:rPr>
          <w:b/>
        </w:rPr>
        <w:t>poskytovateľa</w:t>
      </w:r>
      <w:commentRangeEnd w:id="2"/>
      <w:r w:rsidRPr="00971CC1">
        <w:rPr>
          <w:rStyle w:val="Odkaznakomentr"/>
        </w:rPr>
        <w:commentReference w:id="2"/>
      </w:r>
      <w:r w:rsidRPr="00971CC1">
        <w:rPr>
          <w:b/>
        </w:rPr>
        <w:t xml:space="preserve"> </w:t>
      </w:r>
      <w:r w:rsidRPr="00971CC1">
        <w:t>(ďalej ako „Poskytovateľ“)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5A4CE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:rsidRPr="00971CC1" w14:paraId="5C1F2B0E" w14:textId="77777777" w:rsidTr="0017379D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3"/>
            <w:r w:rsidRPr="00971CC1">
              <w:rPr>
                <w:b/>
              </w:rPr>
              <w:t xml:space="preserve">Identifikácia žiadateľa </w:t>
            </w:r>
            <w:commentRangeEnd w:id="3"/>
            <w:r w:rsidRPr="00971CC1">
              <w:rPr>
                <w:rStyle w:val="Odkaznakomentr"/>
              </w:rPr>
              <w:commentReference w:id="3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762F6BA9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D528FA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17379D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00261251" w:rsidR="00F01740" w:rsidRPr="00971CC1" w:rsidRDefault="00F661A6">
      <w:pPr>
        <w:spacing w:after="120"/>
        <w:jc w:val="both"/>
      </w:pPr>
      <w:r w:rsidRPr="00971CC1">
        <w:t xml:space="preserve">rozhodol v súlade s ustanovením </w:t>
      </w:r>
      <w:commentRangeStart w:id="4"/>
      <w:r w:rsidRPr="00971CC1">
        <w:t>§ 19 ods. 8</w:t>
      </w:r>
      <w:commentRangeEnd w:id="4"/>
      <w:r w:rsidR="00CD01B2">
        <w:rPr>
          <w:rStyle w:val="Odkaznakomentr"/>
          <w:szCs w:val="20"/>
        </w:rPr>
        <w:commentReference w:id="4"/>
      </w:r>
      <w:r w:rsidRPr="00971CC1">
        <w:t xml:space="preserve">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C81430">
        <w:t xml:space="preserve">v znení neskorších predpisov </w:t>
      </w:r>
      <w:r w:rsidRPr="00971CC1">
        <w:t>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7F667017" w:rsidR="00F01740" w:rsidRPr="00971CC1" w:rsidRDefault="00F661A6" w:rsidP="00336E4B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6A7DE3">
        <w:t>r</w:t>
      </w:r>
      <w:r w:rsidR="00E05054" w:rsidRPr="00971CC1">
        <w:t>ozhodnutie“)</w:t>
      </w:r>
      <w:r w:rsidRPr="00971CC1">
        <w:t xml:space="preserve">, ktoré v prílohe č. 1 obsahuje práva a povinnosti Prijímateľa a Poskytovateľa v súvislosti s realizáciou </w:t>
      </w:r>
      <w:r w:rsidRPr="00971CC1">
        <w:lastRenderedPageBreak/>
        <w:t>Projektu. Nadobudnutím právoplatnosti tohto rozhodnutia podľa § 52 ods. 1 zák. 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6DD727DC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6A7DE3">
        <w:t>r</w:t>
      </w:r>
      <w:r w:rsidR="006A7DE3" w:rsidRPr="00971CC1">
        <w:t xml:space="preserve">ozhodnutia </w:t>
      </w:r>
      <w:r w:rsidRPr="00971CC1">
        <w:t xml:space="preserve">sú tieto </w:t>
      </w:r>
      <w:commentRangeStart w:id="5"/>
      <w:r w:rsidRPr="00971CC1">
        <w:t>prílohy</w:t>
      </w:r>
      <w:commentRangeEnd w:id="5"/>
      <w:r w:rsidRPr="00336E4B">
        <w:rPr>
          <w:rStyle w:val="Odkaznakomentr"/>
          <w:sz w:val="24"/>
        </w:rPr>
        <w:commentReference w:id="5"/>
      </w:r>
      <w:r w:rsidRPr="00971CC1">
        <w:t xml:space="preserve">: </w:t>
      </w:r>
    </w:p>
    <w:p w14:paraId="5DF5CB09" w14:textId="2E8BAA7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1 - Práva a povinnosti Prijímateľa a Poskytovateľa v súvislosti s realizáciou Projektu;</w:t>
      </w:r>
    </w:p>
    <w:p w14:paraId="397AF555" w14:textId="3F180C3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189AA56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6"/>
      <w:r w:rsidR="00F661A6" w:rsidRPr="00971CC1">
        <w:t>ríloha</w:t>
      </w:r>
      <w:commentRangeEnd w:id="6"/>
      <w:r w:rsidR="00F661A6" w:rsidRPr="00336E4B">
        <w:rPr>
          <w:rStyle w:val="Odkaznakomentr"/>
          <w:sz w:val="24"/>
        </w:rPr>
        <w:commentReference w:id="6"/>
      </w:r>
      <w:r w:rsidR="00F661A6" w:rsidRPr="00971CC1">
        <w:t xml:space="preserve"> č. 3 - Rozpočet Projektu;</w:t>
      </w:r>
    </w:p>
    <w:p w14:paraId="70D31A27" w14:textId="62C1A6E7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0B6429A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7221095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18F1737E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commentRangeStart w:id="7"/>
      <w:r w:rsidRPr="00971CC1"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t>
      </w:r>
    </w:p>
    <w:p w14:paraId="01E868EB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19 prílohy č. 1 tohto rozhodnutia končí uplynutím 10 rokov od schválenia Následnej monitorovacej správy a </w:t>
      </w:r>
    </w:p>
    <w:p w14:paraId="4C0D9F11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16 prílohy č. 1 tohto rozhodnutia v súvislosti s vymáhaním neoprávnenej štátnej pomoci končí uplynutím 10 rokov od schválenia Následnej monitorovacej správy. </w:t>
      </w:r>
      <w:commentRangeEnd w:id="7"/>
      <w:r w:rsidR="00A324FA">
        <w:rPr>
          <w:rStyle w:val="Odkaznakomentr"/>
          <w:szCs w:val="20"/>
        </w:rPr>
        <w:commentReference w:id="7"/>
      </w:r>
    </w:p>
    <w:p w14:paraId="419C22A6" w14:textId="1C9EFDC8" w:rsidR="00F01740" w:rsidRPr="00971CC1" w:rsidRDefault="00F661A6">
      <w:pPr>
        <w:spacing w:before="120" w:line="264" w:lineRule="auto"/>
        <w:ind w:left="426"/>
        <w:jc w:val="both"/>
      </w:pPr>
      <w:r w:rsidRPr="00971CC1">
        <w:lastRenderedPageBreak/>
        <w:t>Platnosť a účinnosť tohto rozhodnutia v rozsahu uvedenom v písmenách a) až c) tohto odseku 6 sa predĺži na základe oznámenia Poskytovateľa Prijímateľovi v prípade, ak 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67616F4F" w:rsidR="00F01740" w:rsidRPr="004967C7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Poskytovateľ ako [</w:t>
      </w:r>
      <w:commentRangeStart w:id="8"/>
      <w:r w:rsidRPr="00971CC1">
        <w:rPr>
          <w:sz w:val="24"/>
          <w:szCs w:val="24"/>
        </w:rPr>
        <w:t>...</w:t>
      </w:r>
      <w:commentRangeEnd w:id="8"/>
      <w:r w:rsidRPr="00971CC1">
        <w:rPr>
          <w:rStyle w:val="Odkaznakomentr"/>
          <w:sz w:val="24"/>
          <w:szCs w:val="24"/>
        </w:rPr>
        <w:commentReference w:id="8"/>
      </w:r>
      <w:r w:rsidRPr="00971CC1">
        <w:rPr>
          <w:sz w:val="24"/>
          <w:szCs w:val="24"/>
        </w:rPr>
        <w:t xml:space="preserve">] v rámci konania o žiadosti o NFP overil splnenie podmienok poskytnutia príspevku a dospel k záveru, že žiadosť o NFP </w:t>
      </w:r>
      <w:r w:rsidR="004967C7" w:rsidRPr="004967C7">
        <w:rPr>
          <w:sz w:val="24"/>
          <w:szCs w:val="24"/>
        </w:rPr>
        <w:t>podľa jej obsahu (vrátane príloh)</w:t>
      </w:r>
      <w:r w:rsidR="004967C7">
        <w:t xml:space="preserve"> </w:t>
      </w:r>
      <w:r w:rsidRPr="00971CC1">
        <w:rPr>
          <w:sz w:val="24"/>
          <w:szCs w:val="24"/>
        </w:rPr>
        <w:t xml:space="preserve">splnila všetky podmienky poskytnutia príspevku tak, ako boli stanovené vo vyzvaní a zároveň bol k dispozícii dostatok finančných prostriedkov na financovanie realizácie Projektu obsiahnutého v schválenej žiadosti o NFP na základe alokácie určenej </w:t>
      </w:r>
      <w:r w:rsidRPr="004967C7">
        <w:rPr>
          <w:sz w:val="24"/>
          <w:szCs w:val="24"/>
        </w:rPr>
        <w:t>v predmetnom vyzvaní</w:t>
      </w:r>
      <w:r w:rsidR="004967C7" w:rsidRPr="004967C7">
        <w:rPr>
          <w:sz w:val="24"/>
          <w:szCs w:val="24"/>
        </w:rPr>
        <w:t xml:space="preserve">, na základe čoho žiadosť schválil. </w:t>
      </w:r>
      <w:r w:rsidR="00D528FA" w:rsidRPr="00BC2AD4">
        <w:rPr>
          <w:sz w:val="24"/>
          <w:szCs w:val="24"/>
        </w:rPr>
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</w:r>
      <w:r w:rsidRPr="004967C7">
        <w:rPr>
          <w:sz w:val="24"/>
          <w:szCs w:val="24"/>
        </w:rPr>
        <w:t xml:space="preserve">.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9"/>
      <w:r w:rsidRPr="00971CC1">
        <w:rPr>
          <w:sz w:val="24"/>
          <w:szCs w:val="24"/>
        </w:rPr>
        <w:t>V</w:t>
      </w:r>
      <w:commentRangeEnd w:id="9"/>
      <w:r w:rsidRPr="00336E4B">
        <w:rPr>
          <w:rStyle w:val="Odkaznakomentr"/>
          <w:sz w:val="24"/>
        </w:rPr>
        <w:commentReference w:id="9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10"/>
      <w:r w:rsidRPr="00971CC1">
        <w:rPr>
          <w:sz w:val="24"/>
          <w:szCs w:val="24"/>
        </w:rPr>
        <w:t>......................</w:t>
      </w:r>
      <w:commentRangeEnd w:id="10"/>
      <w:r w:rsidRPr="00971CC1">
        <w:rPr>
          <w:rStyle w:val="Odkaznakomentr"/>
          <w:sz w:val="24"/>
          <w:szCs w:val="24"/>
        </w:rPr>
        <w:commentReference w:id="10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1A7A9CC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7149F0E0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485E5DC9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4DA0D75F" w14:textId="77777777" w:rsidR="00333915" w:rsidRDefault="00333915" w:rsidP="00333915">
      <w:pPr>
        <w:spacing w:before="240"/>
        <w:jc w:val="both"/>
      </w:pPr>
      <w:r w:rsidRPr="00061D1C">
        <w:t xml:space="preserve">V ........................., za dátum vydania rozhodnutia sa považuje dátum vyplývajúci z kvalifikovanej elektronickej časovej pečiatky pripojenej k autorizácii oprávnenou osobou </w:t>
      </w:r>
      <w:r w:rsidRPr="00061D1C">
        <w:lastRenderedPageBreak/>
        <w:t xml:space="preserve">podľa </w:t>
      </w:r>
      <w:r w:rsidRPr="0003066D">
        <w:t>zákona č.</w:t>
      </w:r>
      <w:r w:rsidRPr="00A72B5B">
        <w:t xml:space="preserve"> 305/2013 Z. z. o elektronickej podobe výkonu pôsobnosti orgánov verejnej moci a o zmene a doplnení niektorých zákonov (zákon</w:t>
      </w:r>
      <w:r w:rsidRPr="0003066D">
        <w:t xml:space="preserve"> o e-Governmente) v znení neskorších predpisov</w:t>
      </w:r>
      <w:r>
        <w:t xml:space="preserve"> (ďalej ako „zákon o e-Governmente“)    </w:t>
      </w:r>
    </w:p>
    <w:p w14:paraId="2E733014" w14:textId="77777777" w:rsidR="00333915" w:rsidRDefault="00333915" w:rsidP="00333915">
      <w:pPr>
        <w:spacing w:before="240"/>
        <w:jc w:val="both"/>
      </w:pPr>
    </w:p>
    <w:p w14:paraId="14083D92" w14:textId="77777777" w:rsidR="00333915" w:rsidRDefault="00333915" w:rsidP="00333915">
      <w:pPr>
        <w:spacing w:before="240"/>
        <w:jc w:val="both"/>
      </w:pPr>
      <w:r>
        <w:t xml:space="preserve">                                                                                   ..............................................</w:t>
      </w:r>
    </w:p>
    <w:p w14:paraId="1B2EB666" w14:textId="77777777" w:rsidR="00333915" w:rsidRDefault="00333915" w:rsidP="00333915">
      <w:pPr>
        <w:jc w:val="both"/>
      </w:pPr>
      <w:r>
        <w:t xml:space="preserve">                                                   (meno, priezvisko a funkcia oprávnenej osoby poskytovateľa)</w:t>
      </w:r>
    </w:p>
    <w:p w14:paraId="6A182EE9" w14:textId="77777777" w:rsidR="00333915" w:rsidRDefault="00333915" w:rsidP="00333915">
      <w:pPr>
        <w:pStyle w:val="Default"/>
        <w:rPr>
          <w:color w:val="auto"/>
        </w:rPr>
      </w:pPr>
    </w:p>
    <w:p w14:paraId="3CCC81E7" w14:textId="77777777" w:rsidR="00333915" w:rsidRDefault="00333915" w:rsidP="00333915">
      <w:pPr>
        <w:pStyle w:val="Default"/>
        <w:rPr>
          <w:color w:val="auto"/>
        </w:rPr>
      </w:pPr>
    </w:p>
    <w:p w14:paraId="0CA04BEB" w14:textId="77777777" w:rsidR="00333915" w:rsidRDefault="00333915" w:rsidP="00333915">
      <w:pPr>
        <w:pStyle w:val="Default"/>
        <w:rPr>
          <w:color w:val="auto"/>
        </w:rPr>
      </w:pPr>
    </w:p>
    <w:p w14:paraId="7C8D3768" w14:textId="77777777" w:rsidR="00333915" w:rsidRPr="004C6D41" w:rsidRDefault="00333915" w:rsidP="00333915">
      <w:pPr>
        <w:rPr>
          <w:rFonts w:eastAsiaTheme="minorEastAsia" w:cstheme="minorBidi"/>
          <w:b/>
          <w:szCs w:val="22"/>
        </w:rPr>
      </w:pPr>
      <w:r w:rsidRPr="004C6D41">
        <w:rPr>
          <w:rFonts w:eastAsiaTheme="minorEastAsia" w:cstheme="minorBidi"/>
          <w:szCs w:val="22"/>
        </w:rPr>
        <w:t xml:space="preserve">(podpísané elektronicky </w:t>
      </w:r>
      <w:r>
        <w:t>podľa zákona</w:t>
      </w:r>
      <w:r w:rsidRPr="004C6D41">
        <w:rPr>
          <w:rFonts w:eastAsiaTheme="minorEastAsia" w:cstheme="minorBidi"/>
          <w:szCs w:val="22"/>
        </w:rPr>
        <w:t xml:space="preserve"> o e-Governmente)</w:t>
      </w:r>
      <w:r w:rsidRPr="004C6D41">
        <w:rPr>
          <w:rFonts w:eastAsiaTheme="minorEastAsia" w:cstheme="minorBidi"/>
          <w:sz w:val="23"/>
          <w:szCs w:val="22"/>
          <w:vertAlign w:val="superscript"/>
        </w:rPr>
        <w:t xml:space="preserve"> </w:t>
      </w:r>
    </w:p>
    <w:p w14:paraId="50938418" w14:textId="77777777" w:rsidR="00333915" w:rsidRPr="00971CC1" w:rsidRDefault="00333915" w:rsidP="00333915"/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0421EA2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2" w:author="Autor" w:initials="A">
    <w:p w14:paraId="639E141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3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4" w:author="Autor" w:initials="A">
    <w:p w14:paraId="5F43F1AE" w14:textId="47805EE9" w:rsidR="00CD01B2" w:rsidRDefault="00CD01B2">
      <w:pPr>
        <w:pStyle w:val="Textkomentra"/>
      </w:pPr>
      <w:r>
        <w:rPr>
          <w:rStyle w:val="Odkaznakomentr"/>
        </w:rPr>
        <w:annotationRef/>
      </w:r>
      <w:r w:rsidR="00333915" w:rsidRPr="00BD6A8D">
        <w:rPr>
          <w:sz w:val="18"/>
          <w:szCs w:val="18"/>
        </w:rPr>
        <w:t xml:space="preserve">Pozn. v čase krízovej situácie nahradiť „§ 19 ods. 8“ znením „§ 57 ods. 7 </w:t>
      </w:r>
      <w:r w:rsidR="00333915" w:rsidRPr="00BD6A8D">
        <w:rPr>
          <w:rStyle w:val="Odkaznakomentr"/>
        </w:rPr>
        <w:annotationRef/>
      </w:r>
      <w:r w:rsidR="00333915" w:rsidRPr="00BD6A8D">
        <w:rPr>
          <w:sz w:val="18"/>
          <w:szCs w:val="18"/>
        </w:rPr>
        <w:t>prvá veta v spojení s § 19 ods. 10 až 12“.</w:t>
      </w:r>
      <w:r w:rsidR="00333915">
        <w:rPr>
          <w:sz w:val="18"/>
          <w:szCs w:val="18"/>
        </w:rPr>
        <w:t xml:space="preserve"> </w:t>
      </w:r>
      <w:r w:rsidR="00333915" w:rsidRPr="007B113C">
        <w:rPr>
          <w:sz w:val="18"/>
          <w:szCs w:val="18"/>
        </w:rPr>
        <w:t>Po nadobudnutí účinnosti novely zákona o príspevku poskytovanom z EŠIF, ktorá bude obsahovať  vypustenie ods. 1 až 6 a ods. 8 z pôvodného § 57, sa výraz „§ 57 ods. 7“ nahradí výrazom „§57“, t.j. bez označenia odseku.</w:t>
      </w:r>
    </w:p>
  </w:comment>
  <w:comment w:id="5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6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7" w:author="Autor" w:initials="A">
    <w:p w14:paraId="035807B1" w14:textId="3D508C7C" w:rsidR="00A324FA" w:rsidRDefault="00A324FA">
      <w:pPr>
        <w:pStyle w:val="Textkomentra"/>
      </w:pPr>
      <w:r>
        <w:rPr>
          <w:rStyle w:val="Odkaznakomentr"/>
        </w:rPr>
        <w:annotationRef/>
      </w:r>
      <w:r>
        <w:t xml:space="preserve">RO upraví znenie pre účely tých </w:t>
      </w:r>
      <w:r w:rsidRPr="00A324FA">
        <w:t xml:space="preserve"> projektov TP, kedy je následná MS pre ukončenie platnosti a účinnosti rozhodnutia nerelevantná, </w:t>
      </w:r>
      <w:r>
        <w:t>pretože</w:t>
      </w:r>
      <w:r w:rsidRPr="00A324FA">
        <w:t xml:space="preserve"> Rozhodnutie o schválení žiadosti o NFP sa vydáva na dobu určitú a jeho platnosť a účinnosť končí finančným ukončením Projektu.</w:t>
      </w:r>
    </w:p>
  </w:comment>
  <w:comment w:id="8" w:author="Autor" w:initials="A">
    <w:p w14:paraId="721F93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plnomocenstvo sprostredkovateľského orgánu konať v mene riadiaceho orgánu ako poskytovateľ voči tretím osobám).</w:t>
      </w:r>
    </w:p>
  </w:comment>
  <w:comment w:id="9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10" w:author="Autor" w:initials="A">
    <w:p w14:paraId="6128DB40" w14:textId="014F3C15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 w:rsidR="00333915" w:rsidRPr="00BD6A8D">
        <w:rPr>
          <w:sz w:val="18"/>
          <w:szCs w:val="18"/>
        </w:rPr>
        <w:t xml:space="preserve">Pozn. uviesť identifikáciu neoprávnených výdavkov tak, ako boli identifikované v konaní o žiadosti vrátane uvedenia dôvodu krátenia výdavkov a odôvodnenia výšky krátenia výdavkov. </w:t>
      </w:r>
      <w:r w:rsidR="00333915" w:rsidRPr="00BD6A8D">
        <w:rPr>
          <w:b/>
          <w:sz w:val="18"/>
          <w:szCs w:val="18"/>
        </w:rPr>
        <w:t>Dôvod krátenia</w:t>
      </w:r>
      <w:r w:rsidR="00333915" w:rsidRPr="00BD6A8D">
        <w:rPr>
          <w:sz w:val="18"/>
          <w:szCs w:val="18"/>
        </w:rPr>
        <w:t xml:space="preserve"> výdavkov znamená uvedenie konkrétnych podmienok alebo ustanovení výzvy alebo inej riadiacej dokumentácie, ktorá bola pre žiadateľa záväzná podľa výzvy, na základe ktorých došlo ku kráteniu oprávnených výdavkov – napríklad odkaz na konkrétne ustanovenie príručky k oprávnenosti výdavkov v spojení s výzvou ako dôvodu vecnej neoprávnenosti určitého výdavku. </w:t>
      </w:r>
      <w:r w:rsidR="00333915" w:rsidRPr="00BD6A8D">
        <w:rPr>
          <w:b/>
          <w:sz w:val="18"/>
          <w:szCs w:val="18"/>
        </w:rPr>
        <w:t>Výška krátenia</w:t>
      </w:r>
      <w:r w:rsidR="00333915" w:rsidRPr="00BD6A8D">
        <w:rPr>
          <w:sz w:val="18"/>
          <w:szCs w:val="18"/>
        </w:rPr>
        <w:t xml:space="preserve"> výdavkov nadväzuje na dôvod krátenia a zvyčajne vychádza z výsledkov odborného hodnotenia. Vo výsledku musí odôvodnenie krátenia výdavkov ohľadne dôvodu a výšky krátenia jasne a zrozumiteľne odpovedať na dve otázky – na základe čoho došlo ku kráteniu a prečo v danej výške. Kvalita odôvodnenia rozhodnutia poskytovateľa je zásadná pre rozhodnutie štatutárneho orgánu poskytovateľa v druhom stupni, ak dôjde k podaniu opravného prostriedku.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421EA2" w15:done="0"/>
  <w15:commentEx w15:paraId="639E141A" w15:done="0"/>
  <w15:commentEx w15:paraId="42760ED3" w15:done="0"/>
  <w15:commentEx w15:paraId="5F43F1AE" w15:done="0"/>
  <w15:commentEx w15:paraId="46238546" w15:done="0"/>
  <w15:commentEx w15:paraId="5BBCB95A" w15:done="0"/>
  <w15:commentEx w15:paraId="035807B1" w15:done="0"/>
  <w15:commentEx w15:paraId="721F9340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B7691" w14:textId="77777777" w:rsidR="00B37C32" w:rsidRDefault="00B37C32">
      <w:r>
        <w:separator/>
      </w:r>
    </w:p>
  </w:endnote>
  <w:endnote w:type="continuationSeparator" w:id="0">
    <w:p w14:paraId="57637EC2" w14:textId="77777777" w:rsidR="00B37C32" w:rsidRDefault="00B37C32">
      <w:r>
        <w:continuationSeparator/>
      </w:r>
    </w:p>
  </w:endnote>
  <w:endnote w:type="continuationNotice" w:id="1">
    <w:p w14:paraId="45AD9D07" w14:textId="77777777" w:rsidR="00B37C32" w:rsidRDefault="00B37C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72678820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9A0E2B">
      <w:rPr>
        <w:noProof/>
      </w:rPr>
      <w:t>2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A01D9" w14:textId="77777777" w:rsidR="00B37C32" w:rsidRDefault="00B37C32">
      <w:r>
        <w:separator/>
      </w:r>
    </w:p>
  </w:footnote>
  <w:footnote w:type="continuationSeparator" w:id="0">
    <w:p w14:paraId="13F45477" w14:textId="77777777" w:rsidR="00B37C32" w:rsidRDefault="00B37C32">
      <w:r>
        <w:continuationSeparator/>
      </w:r>
    </w:p>
  </w:footnote>
  <w:footnote w:type="continuationNotice" w:id="1">
    <w:p w14:paraId="35971572" w14:textId="77777777" w:rsidR="00B37C32" w:rsidRDefault="00B37C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6C5AB16B" w:rsidR="00F01740" w:rsidRDefault="0056719C">
    <w:pPr>
      <w:pStyle w:val="Hlavika"/>
    </w:pPr>
    <w:r>
      <w:rPr>
        <w:noProof/>
        <w:sz w:val="22"/>
        <w:szCs w:val="22"/>
      </w:rPr>
      <w:drawing>
        <wp:inline distT="0" distB="0" distL="0" distR="0" wp14:anchorId="7D2338FC" wp14:editId="4B4E2198">
          <wp:extent cx="1076104" cy="876436"/>
          <wp:effectExtent l="19050" t="0" r="0" b="0"/>
          <wp:docPr id="3" name="Obrázek 2" descr="unnam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7180" cy="8773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61A6"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73539"/>
    <w:rsid w:val="00086522"/>
    <w:rsid w:val="000B77B3"/>
    <w:rsid w:val="000D068E"/>
    <w:rsid w:val="00131F33"/>
    <w:rsid w:val="00142E11"/>
    <w:rsid w:val="0017379D"/>
    <w:rsid w:val="001C27BA"/>
    <w:rsid w:val="001E2A90"/>
    <w:rsid w:val="001E3FFF"/>
    <w:rsid w:val="001F4F26"/>
    <w:rsid w:val="00201B15"/>
    <w:rsid w:val="002027C8"/>
    <w:rsid w:val="00260CA6"/>
    <w:rsid w:val="002C0C5D"/>
    <w:rsid w:val="002D2C51"/>
    <w:rsid w:val="002F192D"/>
    <w:rsid w:val="0031601F"/>
    <w:rsid w:val="00333915"/>
    <w:rsid w:val="00336E4B"/>
    <w:rsid w:val="00366B45"/>
    <w:rsid w:val="003B68F6"/>
    <w:rsid w:val="00470768"/>
    <w:rsid w:val="00486A3B"/>
    <w:rsid w:val="004967C7"/>
    <w:rsid w:val="005118B8"/>
    <w:rsid w:val="005209E4"/>
    <w:rsid w:val="00562E4C"/>
    <w:rsid w:val="0056719C"/>
    <w:rsid w:val="005976B1"/>
    <w:rsid w:val="005A2CED"/>
    <w:rsid w:val="0060609D"/>
    <w:rsid w:val="006666FA"/>
    <w:rsid w:val="00693F72"/>
    <w:rsid w:val="006A0B6F"/>
    <w:rsid w:val="006A7DE3"/>
    <w:rsid w:val="006C6840"/>
    <w:rsid w:val="006E004C"/>
    <w:rsid w:val="00717C61"/>
    <w:rsid w:val="0074585F"/>
    <w:rsid w:val="00851A99"/>
    <w:rsid w:val="00854894"/>
    <w:rsid w:val="008843A2"/>
    <w:rsid w:val="008B5F17"/>
    <w:rsid w:val="008F3573"/>
    <w:rsid w:val="00971CC1"/>
    <w:rsid w:val="00974F22"/>
    <w:rsid w:val="009844D5"/>
    <w:rsid w:val="009A0E2B"/>
    <w:rsid w:val="00A05A32"/>
    <w:rsid w:val="00A324FA"/>
    <w:rsid w:val="00A36C80"/>
    <w:rsid w:val="00AD771B"/>
    <w:rsid w:val="00B37C32"/>
    <w:rsid w:val="00B66A5A"/>
    <w:rsid w:val="00B75537"/>
    <w:rsid w:val="00B76DCC"/>
    <w:rsid w:val="00B83899"/>
    <w:rsid w:val="00B86995"/>
    <w:rsid w:val="00B940F8"/>
    <w:rsid w:val="00BA042C"/>
    <w:rsid w:val="00BC2AD4"/>
    <w:rsid w:val="00C16BF9"/>
    <w:rsid w:val="00C43DCA"/>
    <w:rsid w:val="00C45E3E"/>
    <w:rsid w:val="00C63D4B"/>
    <w:rsid w:val="00C8006A"/>
    <w:rsid w:val="00C81430"/>
    <w:rsid w:val="00CB1D59"/>
    <w:rsid w:val="00CC5E96"/>
    <w:rsid w:val="00CD01B2"/>
    <w:rsid w:val="00D232B5"/>
    <w:rsid w:val="00D2634F"/>
    <w:rsid w:val="00D528FA"/>
    <w:rsid w:val="00DD7CB9"/>
    <w:rsid w:val="00DE099B"/>
    <w:rsid w:val="00E05054"/>
    <w:rsid w:val="00E355C2"/>
    <w:rsid w:val="00E8227C"/>
    <w:rsid w:val="00E8363F"/>
    <w:rsid w:val="00E95F99"/>
    <w:rsid w:val="00EE0911"/>
    <w:rsid w:val="00F01740"/>
    <w:rsid w:val="00F01CC5"/>
    <w:rsid w:val="00F545D7"/>
    <w:rsid w:val="00F661A6"/>
    <w:rsid w:val="00F7666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basedOn w:val="Normlny"/>
    <w:rsid w:val="00333915"/>
    <w:pPr>
      <w:autoSpaceDE w:val="0"/>
      <w:autoSpaceDN w:val="0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2018-10-08T10:06:00Z</dcterms:created>
  <dcterms:modified xsi:type="dcterms:W3CDTF">2022-05-05T16:24:00Z</dcterms:modified>
</cp:coreProperties>
</file>