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06454" w14:textId="608B3BF3" w:rsidR="00BE7BB7" w:rsidRPr="0092225F" w:rsidRDefault="00BE7BB7" w:rsidP="00BE7BB7">
      <w:pPr>
        <w:spacing w:after="0" w:line="288" w:lineRule="auto"/>
        <w:jc w:val="right"/>
        <w:outlineLvl w:val="0"/>
        <w:rPr>
          <w:rFonts w:ascii="Arial" w:eastAsia="Calibri" w:hAnsi="Arial" w:cs="Arial"/>
          <w:b/>
          <w:bCs/>
          <w:color w:val="000000" w:themeColor="text1"/>
          <w:sz w:val="20"/>
          <w:szCs w:val="20"/>
        </w:rPr>
      </w:pPr>
      <w:r w:rsidRPr="0092225F">
        <w:rPr>
          <w:rFonts w:ascii="Arial" w:eastAsia="Calibri" w:hAnsi="Arial" w:cs="Arial"/>
          <w:b/>
          <w:bCs/>
          <w:color w:val="000000" w:themeColor="text1"/>
          <w:sz w:val="20"/>
          <w:szCs w:val="20"/>
        </w:rPr>
        <w:t xml:space="preserve">Príloha č. </w:t>
      </w:r>
      <w:r w:rsidR="009F59B5">
        <w:rPr>
          <w:rFonts w:ascii="Arial" w:eastAsia="Calibri" w:hAnsi="Arial" w:cs="Arial"/>
          <w:b/>
          <w:bCs/>
          <w:color w:val="000000" w:themeColor="text1"/>
          <w:sz w:val="20"/>
          <w:szCs w:val="20"/>
        </w:rPr>
        <w:t>1</w:t>
      </w:r>
      <w:r w:rsidR="00816C03">
        <w:rPr>
          <w:rFonts w:ascii="Arial" w:eastAsia="Calibri" w:hAnsi="Arial" w:cs="Arial"/>
          <w:b/>
          <w:bCs/>
          <w:color w:val="000000" w:themeColor="text1"/>
          <w:sz w:val="20"/>
          <w:szCs w:val="20"/>
        </w:rPr>
        <w:t>6</w:t>
      </w:r>
    </w:p>
    <w:p w14:paraId="5EF28B13" w14:textId="77777777" w:rsidR="00BE7BB7" w:rsidRPr="003C6DE1" w:rsidRDefault="00BE7BB7" w:rsidP="00BE7BB7">
      <w:pPr>
        <w:spacing w:after="0" w:line="288" w:lineRule="auto"/>
        <w:ind w:right="142"/>
        <w:jc w:val="center"/>
        <w:outlineLvl w:val="0"/>
        <w:rPr>
          <w:rFonts w:ascii="Arial" w:eastAsia="Calibri" w:hAnsi="Arial" w:cs="Arial"/>
          <w:b/>
          <w:bCs/>
          <w:color w:val="000000" w:themeColor="text1"/>
          <w:sz w:val="24"/>
          <w:szCs w:val="24"/>
        </w:rPr>
      </w:pPr>
      <w:r w:rsidRPr="003C6DE1">
        <w:rPr>
          <w:rFonts w:ascii="Arial" w:eastAsia="Calibri" w:hAnsi="Arial" w:cs="Arial"/>
          <w:b/>
          <w:bCs/>
          <w:color w:val="000000" w:themeColor="text1"/>
          <w:sz w:val="24"/>
          <w:szCs w:val="24"/>
        </w:rPr>
        <w:t>Spôsob vyhodnotenia kritérií</w:t>
      </w:r>
    </w:p>
    <w:p w14:paraId="19CE4C0B" w14:textId="77777777" w:rsidR="00BE7BB7" w:rsidRPr="003C6DE1" w:rsidRDefault="00BE7BB7" w:rsidP="00BE7BB7">
      <w:pPr>
        <w:widowControl w:val="0"/>
        <w:spacing w:after="0" w:line="288" w:lineRule="auto"/>
        <w:ind w:right="142"/>
        <w:jc w:val="center"/>
        <w:rPr>
          <w:rFonts w:ascii="Arial" w:eastAsia="Arial" w:hAnsi="Arial" w:cs="Arial"/>
          <w:b/>
          <w:color w:val="000000" w:themeColor="text1"/>
          <w:sz w:val="24"/>
          <w:szCs w:val="24"/>
          <w:u w:color="000000"/>
        </w:rPr>
      </w:pPr>
      <w:r w:rsidRPr="003C6DE1">
        <w:rPr>
          <w:rFonts w:ascii="Arial" w:eastAsia="Arial Unicode MS" w:hAnsi="Arial" w:cs="Arial"/>
          <w:b/>
          <w:color w:val="000000" w:themeColor="text1"/>
          <w:sz w:val="24"/>
          <w:szCs w:val="24"/>
          <w:u w:color="000000"/>
        </w:rPr>
        <w:t>pre hodnotenie žiadostí o NFP v rámci</w:t>
      </w:r>
    </w:p>
    <w:p w14:paraId="1A480A4E" w14:textId="77777777" w:rsidR="00BE7BB7" w:rsidRPr="005C6079" w:rsidRDefault="00BE7BB7" w:rsidP="00BE7BB7">
      <w:pPr>
        <w:spacing w:after="0" w:line="288" w:lineRule="auto"/>
        <w:ind w:right="142"/>
        <w:jc w:val="center"/>
        <w:rPr>
          <w:rFonts w:ascii="Arial" w:eastAsia="Times New Roman" w:hAnsi="Arial" w:cs="Arial"/>
          <w:b/>
          <w:color w:val="000000" w:themeColor="text1"/>
          <w:sz w:val="24"/>
          <w:szCs w:val="24"/>
        </w:rPr>
      </w:pPr>
      <w:r w:rsidRPr="003C6DE1">
        <w:rPr>
          <w:rFonts w:ascii="Arial" w:eastAsia="Times New Roman" w:hAnsi="Arial" w:cs="Arial"/>
          <w:b/>
          <w:color w:val="000000" w:themeColor="text1"/>
          <w:sz w:val="24"/>
          <w:szCs w:val="24"/>
        </w:rPr>
        <w:t>Integrovaného regionálneho operačného</w:t>
      </w:r>
      <w:r w:rsidRPr="003C6DE1">
        <w:rPr>
          <w:rFonts w:ascii="Arial" w:eastAsia="Times New Roman" w:hAnsi="Arial" w:cs="Arial"/>
          <w:b/>
          <w:color w:val="000000" w:themeColor="text1"/>
          <w:spacing w:val="-11"/>
          <w:sz w:val="24"/>
          <w:szCs w:val="24"/>
        </w:rPr>
        <w:t xml:space="preserve"> </w:t>
      </w:r>
      <w:r w:rsidRPr="003C6DE1">
        <w:rPr>
          <w:rFonts w:ascii="Arial" w:eastAsia="Times New Roman" w:hAnsi="Arial" w:cs="Arial"/>
          <w:b/>
          <w:color w:val="000000" w:themeColor="text1"/>
          <w:sz w:val="24"/>
          <w:szCs w:val="24"/>
        </w:rPr>
        <w:t>programu</w:t>
      </w:r>
    </w:p>
    <w:p w14:paraId="0A9DAEEC" w14:textId="0ECA6459" w:rsidR="00246FCD" w:rsidRDefault="00BE7BB7" w:rsidP="00BE7BB7">
      <w:pPr>
        <w:tabs>
          <w:tab w:val="center" w:pos="6760"/>
          <w:tab w:val="right" w:pos="13520"/>
        </w:tabs>
        <w:spacing w:after="130" w:line="288" w:lineRule="auto"/>
        <w:ind w:right="142"/>
        <w:jc w:val="center"/>
        <w:rPr>
          <w:rFonts w:ascii="Arial" w:eastAsia="Times New Roman" w:hAnsi="Arial" w:cs="Arial"/>
          <w:b/>
          <w:color w:val="000000" w:themeColor="text1"/>
          <w:sz w:val="24"/>
          <w:szCs w:val="19"/>
        </w:rPr>
      </w:pPr>
      <w:r w:rsidRPr="005C6079">
        <w:rPr>
          <w:rFonts w:ascii="Arial" w:hAnsi="Arial" w:cs="Arial"/>
          <w:b/>
          <w:color w:val="000000" w:themeColor="text1"/>
          <w:sz w:val="24"/>
          <w:szCs w:val="24"/>
        </w:rPr>
        <w:t>P</w:t>
      </w:r>
      <w:r>
        <w:rPr>
          <w:rFonts w:ascii="Arial" w:hAnsi="Arial" w:cs="Arial"/>
          <w:b/>
          <w:color w:val="000000" w:themeColor="text1"/>
          <w:sz w:val="24"/>
          <w:szCs w:val="24"/>
        </w:rPr>
        <w:t xml:space="preserve">rioritná os </w:t>
      </w:r>
      <w:r w:rsidR="00050C84">
        <w:rPr>
          <w:rFonts w:ascii="Arial" w:eastAsia="Times New Roman" w:hAnsi="Arial" w:cs="Arial"/>
          <w:b/>
          <w:color w:val="000000" w:themeColor="text1"/>
          <w:sz w:val="24"/>
          <w:szCs w:val="19"/>
        </w:rPr>
        <w:t>7</w:t>
      </w:r>
      <w:r w:rsidR="00C55A55">
        <w:rPr>
          <w:rFonts w:ascii="Arial" w:eastAsia="Times New Roman" w:hAnsi="Arial" w:cs="Arial"/>
          <w:b/>
          <w:color w:val="000000" w:themeColor="text1"/>
          <w:sz w:val="24"/>
          <w:szCs w:val="19"/>
        </w:rPr>
        <w:t xml:space="preserve"> – REACT-EÚ</w:t>
      </w:r>
    </w:p>
    <w:p w14:paraId="278197C7" w14:textId="0F1F4F08" w:rsidR="002B4BB6" w:rsidRDefault="00980F45" w:rsidP="00C765F0">
      <w:pPr>
        <w:rPr>
          <w:rFonts w:ascii="Arial" w:hAnsi="Arial" w:cs="Arial"/>
          <w:b/>
          <w:color w:val="000000" w:themeColor="text1"/>
          <w:sz w:val="24"/>
          <w:szCs w:val="19"/>
        </w:rPr>
      </w:pPr>
      <w:r w:rsidRPr="008D182A">
        <w:rPr>
          <w:rFonts w:ascii="Arial" w:hAnsi="Arial" w:cs="Arial"/>
          <w:b/>
          <w:color w:val="000000" w:themeColor="text1"/>
          <w:sz w:val="24"/>
          <w:szCs w:val="19"/>
        </w:rPr>
        <w:t>Š</w:t>
      </w:r>
      <w:r w:rsidR="002B4BB6" w:rsidRPr="008D182A">
        <w:rPr>
          <w:rFonts w:ascii="Arial" w:hAnsi="Arial" w:cs="Arial"/>
          <w:b/>
          <w:color w:val="000000" w:themeColor="text1"/>
          <w:sz w:val="24"/>
          <w:szCs w:val="19"/>
        </w:rPr>
        <w:t xml:space="preserve">pecifický cieľ </w:t>
      </w:r>
      <w:r w:rsidR="00816C03" w:rsidRPr="008D182A">
        <w:rPr>
          <w:rFonts w:ascii="Arial" w:hAnsi="Arial" w:cs="Arial"/>
          <w:b/>
          <w:color w:val="000000" w:themeColor="text1"/>
          <w:sz w:val="24"/>
          <w:szCs w:val="19"/>
        </w:rPr>
        <w:t xml:space="preserve">7.3. </w:t>
      </w:r>
      <w:r w:rsidR="00816C03" w:rsidRPr="008D182A">
        <w:rPr>
          <w:rFonts w:ascii="Arial" w:hAnsi="Arial" w:cs="Arial"/>
          <w:b/>
          <w:iCs/>
          <w:color w:val="000000" w:themeColor="text1"/>
          <w:sz w:val="24"/>
          <w:szCs w:val="19"/>
        </w:rPr>
        <w:t>Zlepšenie environmentálnych aspektov v mestách a mestských oblastiach</w:t>
      </w:r>
    </w:p>
    <w:tbl>
      <w:tblPr>
        <w:tblStyle w:val="TableGrid2"/>
        <w:tblW w:w="4973" w:type="pct"/>
        <w:tblLook w:val="04A0" w:firstRow="1" w:lastRow="0" w:firstColumn="1" w:lastColumn="0" w:noHBand="0" w:noVBand="1"/>
      </w:tblPr>
      <w:tblGrid>
        <w:gridCol w:w="566"/>
        <w:gridCol w:w="14639"/>
      </w:tblGrid>
      <w:tr w:rsidR="00BE7BB7" w:rsidRPr="003C6DE1" w14:paraId="5C5A4923" w14:textId="77777777" w:rsidTr="00BE7BB7">
        <w:trPr>
          <w:trHeight w:val="418"/>
        </w:trPr>
        <w:tc>
          <w:tcPr>
            <w:tcW w:w="18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502E595"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1.</w:t>
            </w:r>
          </w:p>
        </w:tc>
        <w:tc>
          <w:tcPr>
            <w:tcW w:w="481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B2E5AB3" w14:textId="2636BF40" w:rsidR="00BE7BB7" w:rsidRPr="003C6DE1" w:rsidRDefault="00BE7BB7" w:rsidP="00BE7BB7">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 xml:space="preserve">Príspevok navrhovaného projektu k cieľom a výsledkom IROP a PO </w:t>
            </w:r>
            <w:r>
              <w:rPr>
                <w:rFonts w:ascii="Arial" w:hAnsi="Arial" w:cs="Arial"/>
                <w:b/>
                <w:bCs/>
                <w:color w:val="000000" w:themeColor="text1"/>
                <w:sz w:val="19"/>
                <w:szCs w:val="19"/>
              </w:rPr>
              <w:t>7</w:t>
            </w:r>
          </w:p>
        </w:tc>
      </w:tr>
    </w:tbl>
    <w:p w14:paraId="4E3C2B70" w14:textId="77777777" w:rsidR="00BE7BB7" w:rsidRPr="00BE7BB7" w:rsidRDefault="00BE7BB7" w:rsidP="00C765F0">
      <w:pPr>
        <w:rPr>
          <w:rFonts w:ascii="Arial" w:hAnsi="Arial" w:cs="Arial"/>
          <w:b/>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4804"/>
        <w:gridCol w:w="1417"/>
        <w:gridCol w:w="1474"/>
        <w:gridCol w:w="4508"/>
      </w:tblGrid>
      <w:tr w:rsidR="002028E6" w:rsidRPr="00F93B3F" w14:paraId="119E6987" w14:textId="77777777" w:rsidTr="00BE7BB7">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B6B0ED" w14:textId="1E73F922" w:rsidR="002B4BB6" w:rsidRPr="00F93B3F" w:rsidRDefault="002B4BB6" w:rsidP="00366F27">
            <w:pPr>
              <w:widowControl w:val="0"/>
              <w:rPr>
                <w:rFonts w:ascii="Arial" w:hAnsi="Arial" w:cs="Arial"/>
                <w:color w:val="000000" w:themeColor="text1"/>
                <w:sz w:val="19"/>
                <w:szCs w:val="19"/>
                <w:u w:color="000000"/>
              </w:rPr>
            </w:pPr>
            <w:proofErr w:type="spellStart"/>
            <w:r w:rsidRPr="00F93B3F">
              <w:rPr>
                <w:rFonts w:ascii="Arial" w:hAnsi="Arial" w:cs="Arial"/>
                <w:b/>
                <w:bCs/>
                <w:color w:val="000000" w:themeColor="text1"/>
                <w:sz w:val="19"/>
                <w:szCs w:val="19"/>
                <w:u w:color="000000"/>
              </w:rPr>
              <w:t>P.</w:t>
            </w:r>
            <w:r w:rsidR="00366F27">
              <w:rPr>
                <w:rFonts w:ascii="Arial" w:hAnsi="Arial" w:cs="Arial"/>
                <w:b/>
                <w:bCs/>
                <w:color w:val="000000" w:themeColor="text1"/>
                <w:sz w:val="19"/>
                <w:szCs w:val="19"/>
                <w:u w:color="000000"/>
              </w:rPr>
              <w:t>č</w:t>
            </w:r>
            <w:proofErr w:type="spellEnd"/>
            <w:r w:rsidRPr="00F93B3F">
              <w:rPr>
                <w:rFonts w:ascii="Arial" w:hAnsi="Arial" w:cs="Arial"/>
                <w:b/>
                <w:bCs/>
                <w:color w:val="000000" w:themeColor="text1"/>
                <w:sz w:val="19"/>
                <w:szCs w:val="19"/>
                <w:u w:color="000000"/>
              </w:rPr>
              <w:t>.</w:t>
            </w:r>
          </w:p>
        </w:tc>
        <w:tc>
          <w:tcPr>
            <w:tcW w:w="249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AE2015" w14:textId="77777777" w:rsidR="002B4BB6" w:rsidRPr="00F93B3F" w:rsidRDefault="002B4BB6" w:rsidP="002028E6">
            <w:pPr>
              <w:widowControl w:val="0"/>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Kritérium</w:t>
            </w:r>
          </w:p>
        </w:tc>
        <w:tc>
          <w:tcPr>
            <w:tcW w:w="48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0119101"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CF4C93A" w14:textId="77777777" w:rsidR="002B4BB6" w:rsidRPr="00F93B3F" w:rsidRDefault="002B4BB6" w:rsidP="002028E6">
            <w:pPr>
              <w:widowControl w:val="0"/>
              <w:ind w:left="33" w:hanging="33"/>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5D88531" w14:textId="1B05A30B" w:rsidR="002B4BB6" w:rsidRPr="00F93B3F" w:rsidRDefault="002B4BB6" w:rsidP="002028E6">
            <w:pPr>
              <w:widowControl w:val="0"/>
              <w:ind w:left="34" w:right="136"/>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H</w:t>
            </w:r>
            <w:r w:rsidR="002028E6" w:rsidRPr="00F93B3F">
              <w:rPr>
                <w:rFonts w:ascii="Arial" w:hAnsi="Arial" w:cs="Arial"/>
                <w:b/>
                <w:bCs/>
                <w:color w:val="000000" w:themeColor="text1"/>
                <w:sz w:val="19"/>
                <w:szCs w:val="19"/>
                <w:u w:color="000000"/>
              </w:rPr>
              <w:t>odno</w:t>
            </w:r>
            <w:r w:rsidRPr="00F93B3F">
              <w:rPr>
                <w:rFonts w:ascii="Arial" w:hAnsi="Arial" w:cs="Arial"/>
                <w:b/>
                <w:bCs/>
                <w:color w:val="000000" w:themeColor="text1"/>
                <w:sz w:val="19"/>
                <w:szCs w:val="19"/>
                <w:u w:color="000000"/>
              </w:rPr>
              <w:t>tenie</w:t>
            </w:r>
          </w:p>
        </w:tc>
        <w:tc>
          <w:tcPr>
            <w:tcW w:w="450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7AA1D0"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Spôsob aplikácie hodnotiaceho kritéria</w:t>
            </w:r>
          </w:p>
        </w:tc>
      </w:tr>
      <w:tr w:rsidR="00763F34" w:rsidRPr="00F93B3F" w14:paraId="17561167" w14:textId="77777777" w:rsidTr="00BE7BB7">
        <w:trPr>
          <w:trHeight w:val="1919"/>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8FCE748" w14:textId="77777777"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1.1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79418D6B" w14:textId="5C04BF95" w:rsidR="00763F34" w:rsidRPr="00F93B3F" w:rsidRDefault="00763F34" w:rsidP="00763F34">
            <w:pPr>
              <w:rPr>
                <w:rFonts w:ascii="Arial" w:eastAsia="Helvetica" w:hAnsi="Arial" w:cs="Arial"/>
                <w:color w:val="000000" w:themeColor="text1"/>
                <w:sz w:val="19"/>
                <w:szCs w:val="19"/>
              </w:rPr>
            </w:pPr>
            <w:r w:rsidRPr="00763F34">
              <w:rPr>
                <w:rFonts w:ascii="Arial" w:eastAsia="Helvetica" w:hAnsi="Arial" w:cs="Arial"/>
                <w:color w:val="000000" w:themeColor="text1"/>
                <w:sz w:val="19"/>
                <w:szCs w:val="19"/>
              </w:rPr>
              <w:t>Súlad projektu s intervenčnou stratégiou IROP</w:t>
            </w:r>
          </w:p>
        </w:tc>
        <w:tc>
          <w:tcPr>
            <w:tcW w:w="4804" w:type="dxa"/>
            <w:vMerge w:val="restart"/>
            <w:tcBorders>
              <w:top w:val="single" w:sz="4" w:space="0" w:color="auto"/>
              <w:left w:val="single" w:sz="4" w:space="0" w:color="auto"/>
              <w:bottom w:val="single" w:sz="4" w:space="0" w:color="auto"/>
              <w:right w:val="single" w:sz="4" w:space="0" w:color="auto"/>
            </w:tcBorders>
            <w:vAlign w:val="center"/>
            <w:hideMark/>
          </w:tcPr>
          <w:p w14:paraId="3B479FCC" w14:textId="2DC05542" w:rsidR="00763F34" w:rsidRPr="009F3360" w:rsidRDefault="00763F34" w:rsidP="00366F27">
            <w:pPr>
              <w:keepNext/>
              <w:keepLines/>
              <w:spacing w:line="256" w:lineRule="auto"/>
              <w:jc w:val="both"/>
              <w:outlineLvl w:val="2"/>
              <w:rPr>
                <w:rFonts w:ascii="Arial" w:hAnsi="Arial" w:cs="Arial"/>
                <w:color w:val="000000" w:themeColor="text1"/>
                <w:sz w:val="19"/>
                <w:szCs w:val="19"/>
              </w:rPr>
            </w:pPr>
            <w:r w:rsidRPr="009F3360">
              <w:rPr>
                <w:rFonts w:ascii="Arial" w:hAnsi="Arial" w:cs="Arial"/>
                <w:color w:val="000000" w:themeColor="text1"/>
                <w:sz w:val="19"/>
                <w:szCs w:val="19"/>
              </w:rPr>
              <w:t>Posudzuje sa súlad projektu</w:t>
            </w:r>
            <w:r w:rsidR="002573EA">
              <w:rPr>
                <w:rFonts w:ascii="Arial" w:hAnsi="Arial" w:cs="Arial"/>
                <w:color w:val="000000" w:themeColor="text1"/>
                <w:sz w:val="19"/>
                <w:szCs w:val="19"/>
              </w:rPr>
              <w:t xml:space="preserve"> s intervenčnou stratégiou IROP, prioritnou</w:t>
            </w:r>
            <w:r w:rsidR="00C94B78">
              <w:rPr>
                <w:rFonts w:ascii="Arial" w:hAnsi="Arial" w:cs="Arial"/>
                <w:color w:val="000000" w:themeColor="text1"/>
                <w:sz w:val="19"/>
                <w:szCs w:val="19"/>
              </w:rPr>
              <w:t xml:space="preserve"> os</w:t>
            </w:r>
            <w:r w:rsidR="002573EA">
              <w:rPr>
                <w:rFonts w:ascii="Arial" w:hAnsi="Arial" w:cs="Arial"/>
                <w:color w:val="000000" w:themeColor="text1"/>
                <w:sz w:val="19"/>
                <w:szCs w:val="19"/>
              </w:rPr>
              <w:t>ou</w:t>
            </w:r>
            <w:r w:rsidR="00C94B78" w:rsidRPr="00C94B78">
              <w:rPr>
                <w:rFonts w:ascii="Arial" w:hAnsi="Arial" w:cs="Arial"/>
                <w:color w:val="000000" w:themeColor="text1"/>
                <w:sz w:val="19"/>
                <w:szCs w:val="19"/>
              </w:rPr>
              <w:t xml:space="preserve"> č. </w:t>
            </w:r>
            <w:r w:rsidR="00C55A55">
              <w:rPr>
                <w:rFonts w:ascii="Arial" w:hAnsi="Arial" w:cs="Arial"/>
                <w:color w:val="000000" w:themeColor="text1"/>
                <w:sz w:val="19"/>
                <w:szCs w:val="19"/>
              </w:rPr>
              <w:t>7</w:t>
            </w:r>
            <w:r w:rsidR="00C94B78" w:rsidRPr="00C94B78">
              <w:rPr>
                <w:rFonts w:ascii="Arial" w:hAnsi="Arial" w:cs="Arial"/>
                <w:color w:val="000000" w:themeColor="text1"/>
                <w:sz w:val="19"/>
                <w:szCs w:val="19"/>
              </w:rPr>
              <w:t xml:space="preserve"> – </w:t>
            </w:r>
            <w:r w:rsidR="00C55A55">
              <w:rPr>
                <w:rFonts w:ascii="Arial" w:hAnsi="Arial" w:cs="Arial"/>
                <w:color w:val="000000" w:themeColor="text1"/>
                <w:sz w:val="19"/>
                <w:szCs w:val="19"/>
              </w:rPr>
              <w:t>REACT-E</w:t>
            </w:r>
            <w:r w:rsidR="00366F27">
              <w:rPr>
                <w:rFonts w:ascii="Arial" w:hAnsi="Arial" w:cs="Arial"/>
                <w:color w:val="000000" w:themeColor="text1"/>
                <w:sz w:val="19"/>
                <w:szCs w:val="19"/>
              </w:rPr>
              <w:t>Ú</w:t>
            </w:r>
            <w:r w:rsidR="00C94B78" w:rsidRPr="00C94B78">
              <w:rPr>
                <w:rFonts w:ascii="Arial" w:hAnsi="Arial" w:cs="Arial"/>
                <w:color w:val="000000" w:themeColor="text1"/>
                <w:sz w:val="19"/>
                <w:szCs w:val="19"/>
              </w:rPr>
              <w:t xml:space="preserve">, špecifickým cieľom </w:t>
            </w:r>
            <w:r w:rsidR="00C55A55">
              <w:rPr>
                <w:rFonts w:ascii="Arial" w:hAnsi="Arial" w:cs="Arial"/>
                <w:color w:val="000000" w:themeColor="text1"/>
                <w:sz w:val="19"/>
                <w:szCs w:val="19"/>
              </w:rPr>
              <w:t>7.</w:t>
            </w:r>
            <w:r w:rsidR="00E5178B">
              <w:rPr>
                <w:rFonts w:ascii="Arial" w:hAnsi="Arial" w:cs="Arial"/>
                <w:color w:val="000000" w:themeColor="text1"/>
                <w:sz w:val="19"/>
                <w:szCs w:val="19"/>
              </w:rPr>
              <w:t>3</w:t>
            </w:r>
            <w:r w:rsidR="00C55A55">
              <w:rPr>
                <w:rFonts w:ascii="Arial" w:hAnsi="Arial" w:cs="Arial"/>
                <w:color w:val="000000" w:themeColor="text1"/>
                <w:sz w:val="19"/>
                <w:szCs w:val="19"/>
              </w:rPr>
              <w:t>.</w:t>
            </w:r>
            <w:r w:rsidR="00C94B78" w:rsidRPr="00C94B78">
              <w:rPr>
                <w:rFonts w:ascii="Arial" w:hAnsi="Arial" w:cs="Arial"/>
                <w:color w:val="000000" w:themeColor="text1"/>
                <w:sz w:val="19"/>
                <w:szCs w:val="19"/>
              </w:rPr>
              <w:t xml:space="preserve"> </w:t>
            </w:r>
            <w:r w:rsidR="00C55A55">
              <w:rPr>
                <w:rFonts w:ascii="Arial" w:hAnsi="Arial" w:cs="Arial"/>
                <w:color w:val="000000" w:themeColor="text1"/>
                <w:sz w:val="19"/>
                <w:szCs w:val="19"/>
              </w:rPr>
              <w:t>–</w:t>
            </w:r>
            <w:r w:rsidR="00C94B78" w:rsidRPr="00C94B78">
              <w:rPr>
                <w:rFonts w:ascii="Arial" w:hAnsi="Arial" w:cs="Arial"/>
                <w:color w:val="000000" w:themeColor="text1"/>
                <w:sz w:val="19"/>
                <w:szCs w:val="19"/>
              </w:rPr>
              <w:t xml:space="preserve"> </w:t>
            </w:r>
            <w:r w:rsidR="00E5178B" w:rsidRPr="00E5178B">
              <w:rPr>
                <w:rFonts w:ascii="Arial" w:hAnsi="Arial" w:cs="Arial"/>
                <w:color w:val="000000" w:themeColor="text1"/>
                <w:sz w:val="19"/>
                <w:szCs w:val="19"/>
              </w:rPr>
              <w:t>Zlepšenie environmentálnych aspektov v mestách a mestských oblastiach</w:t>
            </w:r>
            <w:r w:rsidRPr="009F3360">
              <w:rPr>
                <w:rFonts w:ascii="Arial" w:hAnsi="Arial" w:cs="Arial"/>
                <w:color w:val="000000" w:themeColor="text1"/>
                <w:sz w:val="19"/>
                <w:szCs w:val="19"/>
              </w:rPr>
              <w:t xml:space="preserve">. </w:t>
            </w:r>
          </w:p>
          <w:p w14:paraId="45CA15EC" w14:textId="77777777" w:rsidR="00763F34" w:rsidRPr="009F3360" w:rsidRDefault="00763F34" w:rsidP="00763F34">
            <w:pPr>
              <w:keepNext/>
              <w:keepLines/>
              <w:spacing w:line="256" w:lineRule="auto"/>
              <w:outlineLvl w:val="2"/>
              <w:rPr>
                <w:rFonts w:ascii="Arial" w:hAnsi="Arial" w:cs="Arial"/>
                <w:color w:val="000000" w:themeColor="text1"/>
                <w:sz w:val="19"/>
                <w:szCs w:val="19"/>
              </w:rPr>
            </w:pPr>
          </w:p>
          <w:p w14:paraId="74B7DD24" w14:textId="77777777" w:rsidR="00763F34" w:rsidRPr="00E24D5C" w:rsidRDefault="00763F34" w:rsidP="00763F34">
            <w:pPr>
              <w:keepNext/>
              <w:keepLines/>
              <w:spacing w:line="256" w:lineRule="auto"/>
              <w:outlineLvl w:val="2"/>
              <w:rPr>
                <w:rFonts w:ascii="Arial" w:hAnsi="Arial" w:cs="Arial"/>
                <w:color w:val="000000" w:themeColor="text1"/>
                <w:sz w:val="19"/>
                <w:szCs w:val="19"/>
              </w:rPr>
            </w:pPr>
            <w:r w:rsidRPr="00E24D5C">
              <w:rPr>
                <w:rFonts w:ascii="Arial" w:hAnsi="Arial" w:cs="Arial"/>
                <w:color w:val="000000" w:themeColor="text1"/>
                <w:sz w:val="19"/>
                <w:szCs w:val="19"/>
              </w:rPr>
              <w:t>Posudzuje sa správne zameranie projektu v rozsahu vecného súladu:</w:t>
            </w:r>
          </w:p>
          <w:p w14:paraId="4CABA92F" w14:textId="397321BC" w:rsidR="00763F34" w:rsidRPr="00C94B78" w:rsidRDefault="00D40746"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Pr>
                <w:rFonts w:ascii="Arial" w:eastAsia="Calibri" w:hAnsi="Arial" w:cs="Arial"/>
                <w:color w:val="000000" w:themeColor="text1"/>
                <w:sz w:val="19"/>
                <w:szCs w:val="19"/>
                <w:lang w:val="sk-SK"/>
              </w:rPr>
              <w:t>projektu s príslušným špecifickým cieľom</w:t>
            </w:r>
            <w:r w:rsidR="00763F34" w:rsidRPr="00C94B78">
              <w:rPr>
                <w:rFonts w:ascii="Arial" w:eastAsia="Calibri" w:hAnsi="Arial" w:cs="Arial"/>
                <w:color w:val="000000" w:themeColor="text1"/>
                <w:sz w:val="19"/>
                <w:szCs w:val="19"/>
                <w:lang w:val="sk-SK"/>
              </w:rPr>
              <w:t xml:space="preserve"> OP,</w:t>
            </w:r>
          </w:p>
          <w:p w14:paraId="70865AB2" w14:textId="54073048" w:rsidR="00763F34" w:rsidRDefault="00763F34"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sidRPr="00A52375">
              <w:rPr>
                <w:rFonts w:ascii="Arial" w:eastAsia="Calibri" w:hAnsi="Arial" w:cs="Arial"/>
                <w:color w:val="000000" w:themeColor="text1"/>
                <w:sz w:val="19"/>
                <w:szCs w:val="19"/>
                <w:lang w:val="sk-SK"/>
              </w:rPr>
              <w:t>cieľov projektu s očakávanými výsledkami IROP,</w:t>
            </w:r>
            <w:r w:rsidR="00695AF6">
              <w:rPr>
                <w:rFonts w:ascii="Arial" w:eastAsia="Calibri" w:hAnsi="Arial" w:cs="Arial"/>
                <w:color w:val="000000" w:themeColor="text1"/>
                <w:sz w:val="19"/>
                <w:szCs w:val="19"/>
                <w:lang w:val="sk-SK"/>
              </w:rPr>
              <w:t xml:space="preserve"> </w:t>
            </w:r>
          </w:p>
          <w:p w14:paraId="6D524AB5" w14:textId="4080E5DC" w:rsidR="00763F34" w:rsidRDefault="00763F34"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sidRPr="008A62F9">
              <w:rPr>
                <w:rFonts w:ascii="Arial" w:eastAsia="Calibri" w:hAnsi="Arial" w:cs="Arial"/>
                <w:color w:val="000000" w:themeColor="text1"/>
                <w:sz w:val="19"/>
                <w:szCs w:val="19"/>
                <w:lang w:val="sk-SK"/>
              </w:rPr>
              <w:t>hlavných aktivít projektu s definovanými oprávnenými aktivitami IROP,</w:t>
            </w:r>
          </w:p>
          <w:p w14:paraId="39356A68" w14:textId="386B4A6F" w:rsidR="00763F34" w:rsidRPr="00EF0D8E" w:rsidRDefault="0077427B" w:rsidP="00763F34">
            <w:pPr>
              <w:pStyle w:val="Odsekzoznamu"/>
              <w:keepNext/>
              <w:keepLines/>
              <w:numPr>
                <w:ilvl w:val="0"/>
                <w:numId w:val="21"/>
              </w:numPr>
              <w:spacing w:after="0" w:line="256" w:lineRule="auto"/>
              <w:outlineLvl w:val="2"/>
              <w:rPr>
                <w:rFonts w:ascii="Arial" w:hAnsi="Arial" w:cs="Arial"/>
                <w:color w:val="000000" w:themeColor="text1"/>
                <w:sz w:val="19"/>
                <w:szCs w:val="19"/>
                <w:lang w:val="sk-SK"/>
              </w:rPr>
            </w:pPr>
            <w:r>
              <w:rPr>
                <w:rFonts w:ascii="Arial" w:eastAsia="Calibri" w:hAnsi="Arial" w:cs="Arial"/>
                <w:color w:val="000000" w:themeColor="text1"/>
                <w:sz w:val="19"/>
                <w:szCs w:val="19"/>
                <w:lang w:val="sk-SK"/>
              </w:rPr>
              <w:t xml:space="preserve">projektu </w:t>
            </w:r>
            <w:r w:rsidR="00C94B78" w:rsidRPr="008A62F9">
              <w:rPr>
                <w:rFonts w:ascii="Arial" w:eastAsia="Calibri" w:hAnsi="Arial" w:cs="Arial"/>
                <w:color w:val="000000" w:themeColor="text1"/>
                <w:sz w:val="19"/>
                <w:szCs w:val="19"/>
                <w:lang w:val="sk-SK"/>
              </w:rPr>
              <w:t xml:space="preserve">s </w:t>
            </w:r>
            <w:r w:rsidR="00763F34" w:rsidRPr="008A62F9">
              <w:rPr>
                <w:rFonts w:ascii="Arial" w:eastAsia="Calibri" w:hAnsi="Arial" w:cs="Arial"/>
                <w:color w:val="000000" w:themeColor="text1"/>
                <w:sz w:val="19"/>
                <w:szCs w:val="19"/>
                <w:lang w:val="sk-SK"/>
              </w:rPr>
              <w:t>hlavnými zásadami výberu operácií pre príslušný</w:t>
            </w:r>
            <w:r w:rsidR="00763F34">
              <w:rPr>
                <w:rFonts w:ascii="Arial" w:eastAsia="Calibri" w:hAnsi="Arial" w:cs="Arial"/>
                <w:color w:val="000000" w:themeColor="text1"/>
                <w:sz w:val="19"/>
                <w:szCs w:val="19"/>
                <w:lang w:val="sk-SK"/>
              </w:rPr>
              <w:t xml:space="preserve"> špe</w:t>
            </w:r>
            <w:r w:rsidR="00D40746">
              <w:rPr>
                <w:rFonts w:ascii="Arial" w:eastAsia="Calibri" w:hAnsi="Arial" w:cs="Arial"/>
                <w:color w:val="000000" w:themeColor="text1"/>
                <w:sz w:val="19"/>
                <w:szCs w:val="19"/>
                <w:lang w:val="sk-SK"/>
              </w:rPr>
              <w:t>cifický cieľ</w:t>
            </w:r>
            <w:r w:rsidR="00763F34">
              <w:rPr>
                <w:rFonts w:ascii="Arial" w:eastAsia="Calibri" w:hAnsi="Arial" w:cs="Arial"/>
                <w:color w:val="000000" w:themeColor="text1"/>
                <w:sz w:val="19"/>
                <w:szCs w:val="19"/>
                <w:lang w:val="sk-SK"/>
              </w:rPr>
              <w:t>.</w:t>
            </w:r>
            <w:r w:rsidR="00763F34" w:rsidRPr="00E24D5C">
              <w:rPr>
                <w:rFonts w:ascii="Arial" w:hAnsi="Arial" w:cs="Arial"/>
                <w:color w:val="000000" w:themeColor="text1"/>
                <w:sz w:val="19"/>
                <w:szCs w:val="19"/>
                <w:lang w:val="sk-SK"/>
              </w:rPr>
              <w:tab/>
            </w:r>
            <w:r w:rsidR="00763F34" w:rsidRPr="00E24D5C">
              <w:rPr>
                <w:rFonts w:ascii="Arial" w:hAnsi="Arial" w:cs="Arial"/>
                <w:color w:val="000000" w:themeColor="text1"/>
                <w:sz w:val="19"/>
                <w:szCs w:val="19"/>
                <w:lang w:val="sk-SK"/>
              </w:rPr>
              <w:tab/>
            </w:r>
          </w:p>
          <w:p w14:paraId="0E9831D5" w14:textId="77777777" w:rsidR="00D40746" w:rsidRPr="00A21755" w:rsidRDefault="00D40746" w:rsidP="00EF0D8E">
            <w:pPr>
              <w:pStyle w:val="Odsekzoznamu"/>
              <w:keepNext/>
              <w:keepLines/>
              <w:spacing w:after="0" w:line="256" w:lineRule="auto"/>
              <w:outlineLvl w:val="2"/>
              <w:rPr>
                <w:rFonts w:ascii="Arial" w:hAnsi="Arial" w:cs="Arial"/>
                <w:color w:val="000000" w:themeColor="text1"/>
                <w:sz w:val="19"/>
                <w:szCs w:val="19"/>
              </w:rPr>
            </w:pPr>
          </w:p>
          <w:p w14:paraId="77198A31" w14:textId="7D0208FC" w:rsidR="00763F34" w:rsidRPr="00F93B3F" w:rsidRDefault="00763F34" w:rsidP="00366F27">
            <w:pPr>
              <w:jc w:val="both"/>
              <w:rPr>
                <w:rFonts w:ascii="Arial" w:eastAsia="Times New Roman" w:hAnsi="Arial" w:cs="Arial"/>
                <w:color w:val="000000" w:themeColor="text1"/>
                <w:sz w:val="19"/>
                <w:szCs w:val="19"/>
                <w:lang w:bidi="en-US"/>
              </w:rPr>
            </w:pPr>
            <w:r w:rsidRPr="00A21755">
              <w:rPr>
                <w:rFonts w:ascii="Arial" w:hAnsi="Arial" w:cs="Arial"/>
                <w:i/>
                <w:sz w:val="19"/>
                <w:szCs w:val="19"/>
              </w:rPr>
              <w:t xml:space="preserve">Na rozdiel od administratívneho overenia ide o hĺbkové posúdenie vecnej (obsahovej) stránky projektu z hľadiska jeho súladu so stratégiou a cieľmi </w:t>
            </w:r>
            <w:r>
              <w:rPr>
                <w:rFonts w:ascii="Arial" w:hAnsi="Arial" w:cs="Arial"/>
                <w:i/>
                <w:sz w:val="19"/>
                <w:szCs w:val="19"/>
              </w:rPr>
              <w:t>prioritnej osi</w:t>
            </w:r>
            <w:r w:rsidR="00C55A55">
              <w:rPr>
                <w:rFonts w:ascii="Arial" w:hAnsi="Arial" w:cs="Arial"/>
                <w:i/>
                <w:sz w:val="19"/>
                <w:szCs w:val="19"/>
              </w:rPr>
              <w:t xml:space="preserve"> 7</w:t>
            </w:r>
            <w:r>
              <w:rPr>
                <w:rFonts w:ascii="Arial" w:hAnsi="Arial" w:cs="Arial"/>
                <w:i/>
                <w:sz w:val="19"/>
                <w:szCs w:val="19"/>
              </w:rPr>
              <w:t xml:space="preserve"> v danej oblasti</w:t>
            </w:r>
            <w:r>
              <w:rPr>
                <w:rFonts w:ascii="Arial" w:hAnsi="Arial" w:cs="Arial"/>
                <w:color w:val="000000" w:themeColor="text1"/>
                <w:sz w:val="19"/>
                <w:szCs w:val="19"/>
              </w:rPr>
              <w:t>.</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9D76506" w14:textId="773DCF98"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33D42325" w14:textId="7F0E4D81" w:rsidR="00763F34" w:rsidRPr="00F93B3F" w:rsidRDefault="00763F34" w:rsidP="008D182A">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áno</w:t>
            </w:r>
          </w:p>
        </w:tc>
        <w:tc>
          <w:tcPr>
            <w:tcW w:w="4508" w:type="dxa"/>
            <w:tcBorders>
              <w:top w:val="single" w:sz="4" w:space="0" w:color="auto"/>
              <w:left w:val="single" w:sz="4" w:space="0" w:color="auto"/>
              <w:bottom w:val="single" w:sz="4" w:space="0" w:color="auto"/>
              <w:right w:val="single" w:sz="4" w:space="0" w:color="auto"/>
            </w:tcBorders>
            <w:vAlign w:val="center"/>
            <w:hideMark/>
          </w:tcPr>
          <w:p w14:paraId="6C5516BC" w14:textId="482F3A6B" w:rsidR="00763F34" w:rsidRPr="00F93B3F" w:rsidRDefault="00763F34" w:rsidP="00763F34">
            <w:pPr>
              <w:rPr>
                <w:rFonts w:ascii="Arial" w:eastAsia="Helvetica" w:hAnsi="Arial" w:cs="Arial"/>
                <w:color w:val="000000" w:themeColor="text1"/>
                <w:sz w:val="19"/>
                <w:szCs w:val="19"/>
              </w:rPr>
            </w:pPr>
            <w:r w:rsidRPr="009F3360">
              <w:rPr>
                <w:rFonts w:ascii="Arial" w:eastAsia="Helvetica" w:hAnsi="Arial" w:cs="Arial"/>
                <w:color w:val="000000" w:themeColor="text1"/>
                <w:sz w:val="19"/>
                <w:szCs w:val="19"/>
              </w:rPr>
              <w:t>Zameranie projektu je v súlade s intervenčnou stratégiou IROP v danej oblasti.</w:t>
            </w:r>
          </w:p>
        </w:tc>
      </w:tr>
      <w:tr w:rsidR="00763F34" w:rsidRPr="00F93B3F" w14:paraId="619BE0AA" w14:textId="77777777" w:rsidTr="00BE7BB7">
        <w:trPr>
          <w:trHeight w:val="733"/>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5BE64D7F" w14:textId="77777777" w:rsidR="00763F34" w:rsidRPr="00F93B3F" w:rsidRDefault="00763F34" w:rsidP="00763F34">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2D37DA01" w14:textId="77777777" w:rsidR="00763F34" w:rsidRPr="00F93B3F" w:rsidRDefault="00763F34" w:rsidP="00763F34">
            <w:pPr>
              <w:rPr>
                <w:rFonts w:ascii="Arial" w:eastAsia="Helvetica"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52B31C2C" w14:textId="77777777" w:rsidR="00763F34" w:rsidRPr="00F93B3F" w:rsidRDefault="00763F34" w:rsidP="00763F34">
            <w:pPr>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C4CAC96" w14:textId="77777777" w:rsidR="00763F34" w:rsidRPr="00F93B3F" w:rsidRDefault="00763F34" w:rsidP="00763F34">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485BFD8" w14:textId="77777777" w:rsidR="00763F34" w:rsidRPr="00F93B3F" w:rsidRDefault="00763F34" w:rsidP="00763F34">
            <w:pPr>
              <w:widowControl w:val="0"/>
              <w:jc w:val="center"/>
              <w:rPr>
                <w:rFonts w:ascii="Arial" w:hAnsi="Arial" w:cs="Arial"/>
                <w:color w:val="000000" w:themeColor="text1"/>
                <w:sz w:val="19"/>
                <w:szCs w:val="19"/>
                <w:u w:color="000000"/>
              </w:rPr>
            </w:pPr>
            <w:r w:rsidRPr="00F93B3F">
              <w:rPr>
                <w:rFonts w:ascii="Arial" w:eastAsia="Helvetica" w:hAnsi="Arial" w:cs="Arial"/>
                <w:color w:val="000000" w:themeColor="text1"/>
                <w:sz w:val="19"/>
                <w:szCs w:val="19"/>
                <w:u w:color="000000"/>
              </w:rPr>
              <w:t>nie</w:t>
            </w:r>
          </w:p>
        </w:tc>
        <w:tc>
          <w:tcPr>
            <w:tcW w:w="4508" w:type="dxa"/>
            <w:tcBorders>
              <w:top w:val="single" w:sz="4" w:space="0" w:color="auto"/>
              <w:left w:val="single" w:sz="4" w:space="0" w:color="auto"/>
              <w:bottom w:val="single" w:sz="4" w:space="0" w:color="auto"/>
              <w:right w:val="single" w:sz="4" w:space="0" w:color="auto"/>
            </w:tcBorders>
            <w:vAlign w:val="center"/>
            <w:hideMark/>
          </w:tcPr>
          <w:p w14:paraId="7A1DBB00" w14:textId="104F2DD3" w:rsidR="00763F34" w:rsidRPr="00F93B3F" w:rsidRDefault="00763F34" w:rsidP="00763F34">
            <w:pPr>
              <w:rPr>
                <w:rFonts w:ascii="Arial" w:hAnsi="Arial" w:cs="Arial"/>
                <w:color w:val="000000" w:themeColor="text1"/>
                <w:sz w:val="19"/>
                <w:szCs w:val="19"/>
              </w:rPr>
            </w:pPr>
            <w:r w:rsidRPr="009F3360">
              <w:rPr>
                <w:rFonts w:ascii="Arial" w:eastAsia="Helvetica" w:hAnsi="Arial" w:cs="Arial"/>
                <w:color w:val="000000" w:themeColor="text1"/>
                <w:sz w:val="19"/>
                <w:szCs w:val="19"/>
              </w:rPr>
              <w:t>Zameranie projektu nie je v súlade s intervenčnou stratégiou IROP v danej oblasti.</w:t>
            </w:r>
          </w:p>
        </w:tc>
      </w:tr>
    </w:tbl>
    <w:p w14:paraId="7D01D965" w14:textId="761724CE"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 xml:space="preserve">Hodnotiteľ posudzuje najmä informácie uvedené v častiach ŽoNFP: 5. Identifikácia projektu, 7. Popis projektu, 8. Popis </w:t>
      </w:r>
      <w:r w:rsidR="009F59B5" w:rsidRPr="008B1F42">
        <w:rPr>
          <w:rFonts w:ascii="Arial" w:hAnsi="Arial" w:cs="Arial"/>
          <w:color w:val="000000" w:themeColor="text1"/>
          <w:sz w:val="19"/>
          <w:szCs w:val="19"/>
        </w:rPr>
        <w:t>cieľovej</w:t>
      </w:r>
      <w:r w:rsidRPr="008B1F42">
        <w:rPr>
          <w:rFonts w:ascii="Arial" w:hAnsi="Arial" w:cs="Arial"/>
          <w:color w:val="000000" w:themeColor="text1"/>
          <w:sz w:val="19"/>
          <w:szCs w:val="19"/>
        </w:rPr>
        <w:t xml:space="preserve"> skupiny, 10.1 Aktivity projektu a </w:t>
      </w:r>
      <w:r w:rsidR="00366F27" w:rsidRPr="008B1F42">
        <w:rPr>
          <w:rFonts w:ascii="Arial" w:hAnsi="Arial" w:cs="Arial"/>
          <w:color w:val="000000" w:themeColor="text1"/>
          <w:sz w:val="19"/>
          <w:szCs w:val="19"/>
        </w:rPr>
        <w:t xml:space="preserve">očakávané merateľné ukazovatele. </w:t>
      </w:r>
    </w:p>
    <w:p w14:paraId="4AFDEBFB" w14:textId="77777777"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Hodnotiteľ posudzuje plnenie nasledovných oblastí:</w:t>
      </w:r>
    </w:p>
    <w:p w14:paraId="0A52D26E" w14:textId="3A527369" w:rsidR="00621A84" w:rsidRPr="008B1F42" w:rsidRDefault="00621A84" w:rsidP="00621A84">
      <w:pPr>
        <w:numPr>
          <w:ilvl w:val="0"/>
          <w:numId w:val="33"/>
        </w:numPr>
        <w:spacing w:before="120" w:after="120" w:line="288" w:lineRule="auto"/>
        <w:jc w:val="both"/>
        <w:rPr>
          <w:rFonts w:ascii="Arial" w:hAnsi="Arial" w:cs="Arial"/>
          <w:b/>
          <w:bCs/>
          <w:color w:val="000000" w:themeColor="text1"/>
          <w:sz w:val="19"/>
          <w:szCs w:val="19"/>
        </w:rPr>
      </w:pPr>
      <w:r w:rsidRPr="008B1F42">
        <w:rPr>
          <w:rFonts w:ascii="Arial" w:hAnsi="Arial" w:cs="Arial"/>
          <w:b/>
          <w:bCs/>
          <w:color w:val="000000" w:themeColor="text1"/>
          <w:sz w:val="19"/>
          <w:szCs w:val="19"/>
        </w:rPr>
        <w:t xml:space="preserve">súlad projektu so špecifickým cieľom </w:t>
      </w:r>
      <w:r w:rsidR="00F043AE" w:rsidRPr="008B1F42">
        <w:rPr>
          <w:rFonts w:ascii="Arial" w:hAnsi="Arial" w:cs="Arial"/>
          <w:b/>
          <w:bCs/>
          <w:color w:val="000000" w:themeColor="text1"/>
          <w:sz w:val="19"/>
          <w:szCs w:val="19"/>
        </w:rPr>
        <w:t>7.</w:t>
      </w:r>
      <w:r w:rsidR="00E5178B">
        <w:rPr>
          <w:rFonts w:ascii="Arial" w:hAnsi="Arial" w:cs="Arial"/>
          <w:b/>
          <w:bCs/>
          <w:color w:val="000000" w:themeColor="text1"/>
          <w:sz w:val="19"/>
          <w:szCs w:val="19"/>
        </w:rPr>
        <w:t>3</w:t>
      </w:r>
      <w:r w:rsidR="00F043AE" w:rsidRPr="008B1F42">
        <w:rPr>
          <w:rFonts w:ascii="Arial" w:hAnsi="Arial" w:cs="Arial"/>
          <w:b/>
          <w:bCs/>
          <w:color w:val="000000" w:themeColor="text1"/>
          <w:sz w:val="19"/>
          <w:szCs w:val="19"/>
        </w:rPr>
        <w:t xml:space="preserve"> </w:t>
      </w:r>
    </w:p>
    <w:p w14:paraId="6E8C17EB" w14:textId="03F8A3A5" w:rsidR="00EA7014" w:rsidRDefault="00621A84" w:rsidP="00216F21">
      <w:pPr>
        <w:spacing w:before="120" w:after="120" w:line="288" w:lineRule="auto"/>
        <w:ind w:left="426"/>
        <w:jc w:val="both"/>
        <w:rPr>
          <w:rFonts w:ascii="Arial" w:hAnsi="Arial" w:cs="Arial"/>
          <w:color w:val="000000" w:themeColor="text1"/>
          <w:sz w:val="19"/>
          <w:szCs w:val="19"/>
        </w:rPr>
      </w:pPr>
      <w:r w:rsidRPr="008B1F42">
        <w:rPr>
          <w:rFonts w:ascii="Arial" w:hAnsi="Arial" w:cs="Arial"/>
          <w:color w:val="000000" w:themeColor="text1"/>
          <w:sz w:val="19"/>
          <w:szCs w:val="19"/>
        </w:rPr>
        <w:t xml:space="preserve">Hodnotí </w:t>
      </w:r>
      <w:r w:rsidRPr="00FB4F69">
        <w:rPr>
          <w:rFonts w:ascii="Arial" w:hAnsi="Arial" w:cs="Arial"/>
          <w:color w:val="000000" w:themeColor="text1"/>
          <w:sz w:val="19"/>
          <w:szCs w:val="19"/>
        </w:rPr>
        <w:t xml:space="preserve">sa (áno/nie), či žiadosť o NFP prispieva k cieľom PO </w:t>
      </w:r>
      <w:r w:rsidR="00366F27" w:rsidRPr="00FB4F69">
        <w:rPr>
          <w:rFonts w:ascii="Arial" w:hAnsi="Arial" w:cs="Arial"/>
          <w:color w:val="000000" w:themeColor="text1"/>
          <w:sz w:val="19"/>
          <w:szCs w:val="19"/>
        </w:rPr>
        <w:t>7</w:t>
      </w:r>
      <w:r w:rsidRPr="00FB4F69">
        <w:rPr>
          <w:rFonts w:ascii="Arial" w:hAnsi="Arial" w:cs="Arial"/>
          <w:color w:val="000000" w:themeColor="text1"/>
          <w:sz w:val="19"/>
          <w:szCs w:val="19"/>
        </w:rPr>
        <w:t xml:space="preserve"> </w:t>
      </w:r>
      <w:r w:rsidR="00366F27" w:rsidRPr="00FB4F69">
        <w:rPr>
          <w:rFonts w:ascii="Arial" w:hAnsi="Arial" w:cs="Arial"/>
          <w:color w:val="000000" w:themeColor="text1"/>
          <w:sz w:val="19"/>
          <w:szCs w:val="19"/>
        </w:rPr>
        <w:t xml:space="preserve">REACT-EÚ </w:t>
      </w:r>
      <w:r w:rsidR="002B5927">
        <w:rPr>
          <w:rFonts w:ascii="Arial" w:hAnsi="Arial" w:cs="Arial"/>
          <w:color w:val="000000" w:themeColor="text1"/>
          <w:sz w:val="19"/>
          <w:szCs w:val="19"/>
        </w:rPr>
        <w:t xml:space="preserve">definovanom </w:t>
      </w:r>
      <w:r w:rsidR="002B5927" w:rsidRPr="00EC7466">
        <w:rPr>
          <w:rFonts w:ascii="Arial" w:hAnsi="Arial" w:cs="Arial"/>
          <w:color w:val="000000" w:themeColor="text1"/>
          <w:sz w:val="19"/>
          <w:szCs w:val="19"/>
        </w:rPr>
        <w:t xml:space="preserve">ako </w:t>
      </w:r>
      <w:r w:rsidR="002B5927" w:rsidRPr="004B5970">
        <w:rPr>
          <w:rFonts w:ascii="Arial" w:hAnsi="Arial" w:cs="Arial"/>
          <w:color w:val="000000" w:themeColor="text1"/>
          <w:sz w:val="19"/>
          <w:szCs w:val="19"/>
        </w:rPr>
        <w:t xml:space="preserve">zlepšenie kvality života v regiónoch s dôrazom na životné prostredie, ktorými sú podpora prechodu na </w:t>
      </w:r>
      <w:proofErr w:type="spellStart"/>
      <w:r w:rsidR="002B5927" w:rsidRPr="004B5970">
        <w:rPr>
          <w:rFonts w:ascii="Arial" w:hAnsi="Arial" w:cs="Arial"/>
          <w:color w:val="000000" w:themeColor="text1"/>
          <w:sz w:val="19"/>
          <w:szCs w:val="19"/>
        </w:rPr>
        <w:t>nízkouhlíkové</w:t>
      </w:r>
      <w:proofErr w:type="spellEnd"/>
      <w:r w:rsidR="002B5927" w:rsidRPr="004B5970">
        <w:rPr>
          <w:rFonts w:ascii="Arial" w:hAnsi="Arial" w:cs="Arial"/>
          <w:color w:val="000000" w:themeColor="text1"/>
          <w:sz w:val="19"/>
          <w:szCs w:val="19"/>
        </w:rPr>
        <w:t xml:space="preserve"> hospodárstvo vo všetkých sektoroch a ochrana životného prostredia a presadzovania efektívnosti zdrojov a</w:t>
      </w:r>
      <w:r w:rsidR="002B5927" w:rsidRPr="00C8207B">
        <w:rPr>
          <w:rFonts w:ascii="Arial" w:hAnsi="Arial" w:cs="Arial"/>
          <w:color w:val="000000" w:themeColor="text1"/>
          <w:sz w:val="19"/>
          <w:szCs w:val="19"/>
        </w:rPr>
        <w:t> je v súlade so špecifickým cieľom</w:t>
      </w:r>
      <w:r w:rsidR="002B5927">
        <w:rPr>
          <w:rFonts w:ascii="Arial" w:hAnsi="Arial" w:cs="Arial"/>
          <w:color w:val="000000" w:themeColor="text1"/>
          <w:sz w:val="19"/>
          <w:szCs w:val="19"/>
        </w:rPr>
        <w:t xml:space="preserve"> </w:t>
      </w:r>
      <w:r w:rsidR="002B5927">
        <w:rPr>
          <w:rFonts w:ascii="Arial" w:hAnsi="Arial" w:cs="Arial"/>
          <w:color w:val="000000" w:themeColor="text1"/>
          <w:sz w:val="19"/>
          <w:szCs w:val="19"/>
        </w:rPr>
        <w:lastRenderedPageBreak/>
        <w:t>7.3, ktorým je z</w:t>
      </w:r>
      <w:r w:rsidR="002B5927" w:rsidRPr="004971BB">
        <w:rPr>
          <w:rFonts w:ascii="Arial" w:hAnsi="Arial" w:cs="Arial"/>
          <w:color w:val="000000" w:themeColor="text1"/>
          <w:sz w:val="19"/>
          <w:szCs w:val="19"/>
        </w:rPr>
        <w:t>lepšenie environmentálnych aspektov v mestách a mestských oblastiach prostredníctvom budovania prvkov zelenej infraštruktúry a adaptáciou urbanizovaného prostredia na zmenu klímy ako aj zavádzaním systémových prvkov znižovania znečistenia ovzdušia a hluku</w:t>
      </w:r>
      <w:r w:rsidR="00EA7014" w:rsidRPr="00EA7014">
        <w:rPr>
          <w:rFonts w:ascii="Arial" w:hAnsi="Arial" w:cs="Arial"/>
          <w:color w:val="000000" w:themeColor="text1"/>
          <w:sz w:val="19"/>
          <w:szCs w:val="19"/>
        </w:rPr>
        <w:t>.</w:t>
      </w:r>
    </w:p>
    <w:p w14:paraId="38272AD5" w14:textId="77777777" w:rsidR="00621A84" w:rsidRPr="00FB4F69" w:rsidRDefault="00621A84" w:rsidP="00621A84">
      <w:pPr>
        <w:numPr>
          <w:ilvl w:val="0"/>
          <w:numId w:val="33"/>
        </w:numPr>
        <w:spacing w:before="120" w:after="120" w:line="288" w:lineRule="auto"/>
        <w:jc w:val="both"/>
        <w:rPr>
          <w:rFonts w:ascii="Arial" w:hAnsi="Arial" w:cs="Arial"/>
          <w:color w:val="000000" w:themeColor="text1"/>
          <w:sz w:val="19"/>
          <w:szCs w:val="19"/>
        </w:rPr>
      </w:pPr>
      <w:r w:rsidRPr="00FB4F69">
        <w:rPr>
          <w:rFonts w:ascii="Arial" w:hAnsi="Arial" w:cs="Arial"/>
          <w:b/>
          <w:color w:val="000000" w:themeColor="text1"/>
          <w:sz w:val="19"/>
          <w:szCs w:val="19"/>
        </w:rPr>
        <w:t xml:space="preserve">súlad cieľov projektu s očakávanými výsledkami IROP </w:t>
      </w:r>
    </w:p>
    <w:p w14:paraId="51A30FFC" w14:textId="3D1C6EAE" w:rsidR="00621A84" w:rsidRPr="00FB4F69" w:rsidRDefault="00621A84" w:rsidP="00216F21">
      <w:pPr>
        <w:ind w:left="426"/>
        <w:rPr>
          <w:rFonts w:ascii="Arial" w:hAnsi="Arial" w:cs="Arial"/>
          <w:bCs/>
          <w:color w:val="000000" w:themeColor="text1"/>
          <w:sz w:val="19"/>
          <w:szCs w:val="19"/>
        </w:rPr>
      </w:pPr>
      <w:r w:rsidRPr="00FB4F69">
        <w:rPr>
          <w:rFonts w:ascii="Arial" w:hAnsi="Arial" w:cs="Arial"/>
          <w:bCs/>
          <w:color w:val="000000" w:themeColor="text1"/>
          <w:sz w:val="19"/>
          <w:szCs w:val="19"/>
        </w:rPr>
        <w:t xml:space="preserve">Hodnotí sa </w:t>
      </w:r>
      <w:r w:rsidRPr="00FB4F69">
        <w:rPr>
          <w:rFonts w:ascii="Arial" w:hAnsi="Arial" w:cs="Arial"/>
          <w:color w:val="000000" w:themeColor="text1"/>
          <w:sz w:val="19"/>
          <w:szCs w:val="19"/>
        </w:rPr>
        <w:t>(áno/nie)</w:t>
      </w:r>
      <w:r w:rsidRPr="00FB4F69">
        <w:rPr>
          <w:rFonts w:ascii="Arial" w:hAnsi="Arial" w:cs="Arial"/>
          <w:bCs/>
          <w:color w:val="000000" w:themeColor="text1"/>
          <w:sz w:val="19"/>
          <w:szCs w:val="19"/>
        </w:rPr>
        <w:t xml:space="preserve">, či je </w:t>
      </w:r>
      <w:r w:rsidRPr="00FB4F69">
        <w:rPr>
          <w:rFonts w:ascii="Arial" w:hAnsi="Arial" w:cs="Arial"/>
          <w:color w:val="000000" w:themeColor="text1"/>
          <w:sz w:val="19"/>
          <w:szCs w:val="19"/>
        </w:rPr>
        <w:t xml:space="preserve">žiadosť o NFP svojimi aktivitami konzistentne zameraná na </w:t>
      </w:r>
      <w:r w:rsidRPr="00FB4F69">
        <w:rPr>
          <w:rFonts w:ascii="Arial" w:hAnsi="Arial" w:cs="Arial"/>
          <w:bCs/>
          <w:color w:val="000000" w:themeColor="text1"/>
          <w:sz w:val="19"/>
          <w:szCs w:val="19"/>
        </w:rPr>
        <w:t xml:space="preserve">dosiahnutie </w:t>
      </w:r>
      <w:r w:rsidR="008B1F42" w:rsidRPr="00FB4F69">
        <w:rPr>
          <w:rFonts w:ascii="Arial" w:hAnsi="Arial" w:cs="Arial"/>
          <w:bCs/>
          <w:color w:val="000000" w:themeColor="text1"/>
          <w:sz w:val="19"/>
          <w:szCs w:val="19"/>
        </w:rPr>
        <w:t>všetkých</w:t>
      </w:r>
      <w:r w:rsidRPr="00FB4F69">
        <w:rPr>
          <w:rFonts w:ascii="Arial" w:hAnsi="Arial" w:cs="Arial"/>
          <w:bCs/>
          <w:color w:val="000000" w:themeColor="text1"/>
          <w:sz w:val="19"/>
          <w:szCs w:val="19"/>
        </w:rPr>
        <w:t xml:space="preserve"> výsledkov </w:t>
      </w:r>
      <w:r w:rsidRPr="00FB4F69">
        <w:rPr>
          <w:rFonts w:ascii="Arial" w:hAnsi="Arial" w:cs="Arial"/>
          <w:color w:val="000000" w:themeColor="text1"/>
          <w:sz w:val="19"/>
          <w:szCs w:val="19"/>
        </w:rPr>
        <w:t xml:space="preserve">ŠC </w:t>
      </w:r>
      <w:r w:rsidR="008B1F42" w:rsidRPr="00FB4F69">
        <w:rPr>
          <w:rFonts w:ascii="Arial" w:hAnsi="Arial" w:cs="Arial"/>
          <w:color w:val="000000" w:themeColor="text1"/>
          <w:sz w:val="19"/>
          <w:szCs w:val="19"/>
        </w:rPr>
        <w:t>7.</w:t>
      </w:r>
      <w:r w:rsidR="00E5178B">
        <w:rPr>
          <w:rFonts w:ascii="Arial" w:hAnsi="Arial" w:cs="Arial"/>
          <w:color w:val="000000" w:themeColor="text1"/>
          <w:sz w:val="19"/>
          <w:szCs w:val="19"/>
        </w:rPr>
        <w:t>3</w:t>
      </w:r>
      <w:r w:rsidR="008B1F42" w:rsidRPr="00FB4F69">
        <w:rPr>
          <w:rFonts w:ascii="Arial" w:hAnsi="Arial" w:cs="Arial"/>
          <w:color w:val="000000" w:themeColor="text1"/>
          <w:sz w:val="19"/>
          <w:szCs w:val="19"/>
        </w:rPr>
        <w:t>.</w:t>
      </w:r>
      <w:r w:rsidRPr="00FB4F69">
        <w:rPr>
          <w:rFonts w:ascii="Arial" w:hAnsi="Arial" w:cs="Arial"/>
          <w:color w:val="000000" w:themeColor="text1"/>
          <w:sz w:val="19"/>
          <w:szCs w:val="19"/>
        </w:rPr>
        <w:t xml:space="preserve"> </w:t>
      </w:r>
      <w:r w:rsidR="008B1F42" w:rsidRPr="00FB4F69">
        <w:rPr>
          <w:rFonts w:ascii="Arial" w:hAnsi="Arial" w:cs="Arial"/>
          <w:color w:val="000000" w:themeColor="text1"/>
          <w:sz w:val="19"/>
          <w:szCs w:val="19"/>
        </w:rPr>
        <w:t xml:space="preserve">- </w:t>
      </w:r>
      <w:r w:rsidR="00E5178B" w:rsidRPr="00E5178B">
        <w:rPr>
          <w:rFonts w:ascii="Arial" w:hAnsi="Arial" w:cs="Arial"/>
          <w:color w:val="000000" w:themeColor="text1"/>
          <w:sz w:val="19"/>
          <w:szCs w:val="19"/>
        </w:rPr>
        <w:t>Zlepšenie environmentálnych aspektov v mestách a mestských oblastiach</w:t>
      </w:r>
      <w:r w:rsidR="008B1F42" w:rsidRPr="00FB4F69">
        <w:rPr>
          <w:rFonts w:ascii="Arial" w:hAnsi="Arial" w:cs="Arial"/>
          <w:color w:val="000000" w:themeColor="text1"/>
          <w:sz w:val="19"/>
          <w:szCs w:val="19"/>
        </w:rPr>
        <w:t xml:space="preserve">, ktoré sú </w:t>
      </w:r>
      <w:r w:rsidRPr="00FB4F69">
        <w:rPr>
          <w:rFonts w:ascii="Arial" w:hAnsi="Arial" w:cs="Arial"/>
          <w:color w:val="000000" w:themeColor="text1"/>
          <w:sz w:val="19"/>
          <w:szCs w:val="19"/>
        </w:rPr>
        <w:t>definované nasledovne: </w:t>
      </w:r>
    </w:p>
    <w:p w14:paraId="573326B3"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zlepšenie kvality ovzdušia, posilnenie ekologickej stability a zlepšenie sídelného prostredia prostredníctvom vybudovania prvkov zelenej infraštruktúry v mestách a zavádzaním systémových prvkov znižovania znečistenia ovzdušia a hluku,</w:t>
      </w:r>
    </w:p>
    <w:p w14:paraId="6060782B"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zníženie zraniteľnosti krajiny klimatickými rizikami prostredníctvom adaptačných opatrení,</w:t>
      </w:r>
    </w:p>
    <w:p w14:paraId="6FEEECF9"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budovanie adaptačnej kapacity,</w:t>
      </w:r>
    </w:p>
    <w:p w14:paraId="3C06071D"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zlepšenie kvality života obyvateľov sídlisk prostredníctvom regenerácie vnútroblokov.</w:t>
      </w:r>
    </w:p>
    <w:p w14:paraId="4AF5C3BE" w14:textId="77777777" w:rsidR="00621A84" w:rsidRPr="00FB4F69" w:rsidRDefault="00621A84" w:rsidP="00621A84">
      <w:pPr>
        <w:numPr>
          <w:ilvl w:val="0"/>
          <w:numId w:val="34"/>
        </w:numPr>
        <w:spacing w:before="120" w:after="120" w:line="288" w:lineRule="auto"/>
        <w:jc w:val="both"/>
        <w:rPr>
          <w:rFonts w:ascii="Arial" w:hAnsi="Arial" w:cs="Arial"/>
          <w:b/>
          <w:color w:val="000000" w:themeColor="text1"/>
          <w:sz w:val="19"/>
          <w:szCs w:val="19"/>
        </w:rPr>
      </w:pPr>
      <w:r w:rsidRPr="00FB4F69">
        <w:rPr>
          <w:rFonts w:ascii="Arial" w:hAnsi="Arial" w:cs="Arial"/>
          <w:b/>
          <w:bCs/>
          <w:color w:val="000000" w:themeColor="text1"/>
          <w:sz w:val="19"/>
          <w:szCs w:val="19"/>
        </w:rPr>
        <w:t>súlad hlavných aktivít projektu s definovanými oprávnenými aktivitami</w:t>
      </w:r>
      <w:r w:rsidRPr="00FB4F69" w:rsidDel="00926CF2">
        <w:rPr>
          <w:rFonts w:ascii="Arial" w:hAnsi="Arial" w:cs="Arial"/>
          <w:b/>
          <w:bCs/>
          <w:color w:val="000000" w:themeColor="text1"/>
          <w:sz w:val="19"/>
          <w:szCs w:val="19"/>
        </w:rPr>
        <w:t xml:space="preserve"> </w:t>
      </w:r>
      <w:r w:rsidRPr="00FB4F69">
        <w:rPr>
          <w:rFonts w:ascii="Arial" w:hAnsi="Arial" w:cs="Arial"/>
          <w:b/>
          <w:bCs/>
          <w:color w:val="000000" w:themeColor="text1"/>
          <w:sz w:val="19"/>
          <w:szCs w:val="19"/>
        </w:rPr>
        <w:t>IROP</w:t>
      </w:r>
    </w:p>
    <w:p w14:paraId="51631ACD" w14:textId="15C35DD7" w:rsidR="00621A84" w:rsidRPr="00FB4F69" w:rsidRDefault="00621A84" w:rsidP="00216F21">
      <w:pPr>
        <w:spacing w:before="120" w:after="120" w:line="288" w:lineRule="auto"/>
        <w:ind w:left="284"/>
        <w:jc w:val="both"/>
        <w:rPr>
          <w:rFonts w:ascii="Arial" w:hAnsi="Arial" w:cs="Arial"/>
          <w:b/>
          <w:color w:val="000000" w:themeColor="text1"/>
          <w:sz w:val="19"/>
          <w:szCs w:val="19"/>
        </w:rPr>
      </w:pPr>
      <w:r w:rsidRPr="00FB4F69">
        <w:rPr>
          <w:rFonts w:ascii="Arial" w:hAnsi="Arial" w:cs="Arial"/>
          <w:color w:val="000000" w:themeColor="text1"/>
          <w:sz w:val="19"/>
          <w:szCs w:val="19"/>
        </w:rPr>
        <w:t>Hodnotí sa (áno/nie), či je žiadosť o NFP v súlade s definovanými oprávnenými aktivitami IROP:</w:t>
      </w:r>
    </w:p>
    <w:p w14:paraId="185E2C30"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opatrenia pre zníženie hluku v urbanizovanom prostredí: protihlukové steny a bariéry, protihluková výsadba, protihlukové izolácie na zdroji  hluku, resp. vibrácií,</w:t>
      </w:r>
    </w:p>
    <w:p w14:paraId="6FD1DAC4"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prirodzené krajinné prvky ako napr. malé vodné plochy a toky, ostrovčeky lesa, živé ploty, mokrade;</w:t>
      </w:r>
    </w:p>
    <w:p w14:paraId="60C28D48"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 xml:space="preserve">mestské prvky napr. prvky drobnej infraštruktúry </w:t>
      </w:r>
      <w:proofErr w:type="spellStart"/>
      <w:r w:rsidRPr="002B5927">
        <w:rPr>
          <w:rFonts w:ascii="Arial" w:eastAsiaTheme="minorHAnsi" w:hAnsi="Arial" w:cs="Arial"/>
          <w:color w:val="000000" w:themeColor="text1"/>
          <w:sz w:val="19"/>
          <w:szCs w:val="19"/>
          <w:lang w:val="sk-SK" w:bidi="ar-SA"/>
        </w:rPr>
        <w:t>urbánneho</w:t>
      </w:r>
      <w:proofErr w:type="spellEnd"/>
      <w:r w:rsidRPr="002B5927">
        <w:rPr>
          <w:rFonts w:ascii="Arial" w:eastAsiaTheme="minorHAnsi" w:hAnsi="Arial" w:cs="Arial"/>
          <w:color w:val="000000" w:themeColor="text1"/>
          <w:sz w:val="19"/>
          <w:szCs w:val="19"/>
          <w:lang w:val="sk-SK" w:bidi="ar-SA"/>
        </w:rPr>
        <w:t xml:space="preserve"> dizajnu, zelené parky, zelené steny a zelené strechy;</w:t>
      </w:r>
    </w:p>
    <w:p w14:paraId="22B2FB91"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 xml:space="preserve">aktivity v oblasti dopravnej infraštruktúry: zelené koridory pozdĺž cyklotrás, tzv. </w:t>
      </w:r>
      <w:proofErr w:type="spellStart"/>
      <w:r w:rsidRPr="002B5927">
        <w:rPr>
          <w:rFonts w:ascii="Arial" w:eastAsiaTheme="minorHAnsi" w:hAnsi="Arial" w:cs="Arial"/>
          <w:color w:val="000000" w:themeColor="text1"/>
          <w:sz w:val="19"/>
          <w:szCs w:val="19"/>
          <w:lang w:val="sk-SK" w:bidi="ar-SA"/>
        </w:rPr>
        <w:t>greenways</w:t>
      </w:r>
      <w:proofErr w:type="spellEnd"/>
      <w:r w:rsidRPr="002B5927">
        <w:rPr>
          <w:rFonts w:ascii="Arial" w:eastAsiaTheme="minorHAnsi" w:hAnsi="Arial" w:cs="Arial"/>
          <w:color w:val="000000" w:themeColor="text1"/>
          <w:sz w:val="19"/>
          <w:szCs w:val="19"/>
          <w:lang w:val="sk-SK" w:bidi="ar-SA"/>
        </w:rPr>
        <w:t xml:space="preserve"> (aleje, živé ploty, remízky) v súvislosti s podporou biodiverzity, zelené steny na protihlukových stenách, vegetačné stredové pásy;</w:t>
      </w:r>
    </w:p>
    <w:p w14:paraId="4769BF8B"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zazelenanie miest (výsadba a regenerácia izolačnej zelene oddeľujúcej obytnú zástavbu od priemyselných stavieb, komerčných areálov alebo frekventovaných dopravných koridorov);</w:t>
      </w:r>
    </w:p>
    <w:p w14:paraId="3EE6177B"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 xml:space="preserve">zavedenie osobitných zberných systémov na odpadovú a dažďovú vodu – zachytávanie dažďových </w:t>
      </w:r>
      <w:proofErr w:type="spellStart"/>
      <w:r w:rsidRPr="002B5927">
        <w:rPr>
          <w:rFonts w:ascii="Arial" w:eastAsiaTheme="minorHAnsi" w:hAnsi="Arial" w:cs="Arial"/>
          <w:color w:val="000000" w:themeColor="text1"/>
          <w:sz w:val="19"/>
          <w:szCs w:val="19"/>
          <w:lang w:val="sk-SK" w:bidi="ar-SA"/>
        </w:rPr>
        <w:t>vôdformou</w:t>
      </w:r>
      <w:proofErr w:type="spellEnd"/>
      <w:r w:rsidRPr="002B5927">
        <w:rPr>
          <w:rFonts w:ascii="Arial" w:eastAsiaTheme="minorHAnsi" w:hAnsi="Arial" w:cs="Arial"/>
          <w:color w:val="000000" w:themeColor="text1"/>
          <w:sz w:val="19"/>
          <w:szCs w:val="19"/>
          <w:lang w:val="sk-SK" w:bidi="ar-SA"/>
        </w:rPr>
        <w:t xml:space="preserve"> zaústenia strešných a terasových zvodov do povrchového odtokového systému na zber dažďovej vody a odvádzať zachytenú vodu do </w:t>
      </w:r>
      <w:proofErr w:type="spellStart"/>
      <w:r w:rsidRPr="002B5927">
        <w:rPr>
          <w:rFonts w:ascii="Arial" w:eastAsiaTheme="minorHAnsi" w:hAnsi="Arial" w:cs="Arial"/>
          <w:color w:val="000000" w:themeColor="text1"/>
          <w:sz w:val="19"/>
          <w:szCs w:val="19"/>
          <w:lang w:val="sk-SK" w:bidi="ar-SA"/>
        </w:rPr>
        <w:t>vsaku</w:t>
      </w:r>
      <w:proofErr w:type="spellEnd"/>
      <w:r w:rsidRPr="002B5927">
        <w:rPr>
          <w:rFonts w:ascii="Arial" w:eastAsiaTheme="minorHAnsi" w:hAnsi="Arial" w:cs="Arial"/>
          <w:color w:val="000000" w:themeColor="text1"/>
          <w:sz w:val="19"/>
          <w:szCs w:val="19"/>
          <w:lang w:val="sk-SK" w:bidi="ar-SA"/>
        </w:rPr>
        <w:t xml:space="preserve"> a zberných jazierok, dažďových záhrad, zriaďovanie vegetačných striech;</w:t>
      </w:r>
    </w:p>
    <w:p w14:paraId="1C1F9750"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budovanie dažďových nádrží a predčisťovanie dažďových vôd, ochladzovacie koridory v urbanizovanom prostredí;</w:t>
      </w:r>
    </w:p>
    <w:p w14:paraId="3D62B658" w14:textId="4AFBE0F5" w:rsidR="008B1F42" w:rsidRPr="002B5927" w:rsidRDefault="002B5927" w:rsidP="00D85FAF">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regenerácia vnútroblokov sídlisk s uplatnením ekologických princípov tvorby a ochrany zelene.</w:t>
      </w:r>
      <w:r w:rsidR="008B1F42" w:rsidRPr="002B5927">
        <w:rPr>
          <w:rFonts w:ascii="Arial" w:eastAsiaTheme="minorHAnsi" w:hAnsi="Arial" w:cs="Arial"/>
          <w:color w:val="000000" w:themeColor="text1"/>
          <w:sz w:val="19"/>
          <w:szCs w:val="19"/>
          <w:lang w:val="sk-SK" w:bidi="ar-SA"/>
        </w:rPr>
        <w:t xml:space="preserve">; </w:t>
      </w:r>
    </w:p>
    <w:p w14:paraId="052F09FF" w14:textId="4CD3B314" w:rsidR="00621A84" w:rsidRPr="00FB4F69" w:rsidRDefault="00621A84" w:rsidP="00621A84">
      <w:pPr>
        <w:numPr>
          <w:ilvl w:val="0"/>
          <w:numId w:val="34"/>
        </w:numPr>
        <w:spacing w:before="120" w:after="120" w:line="288" w:lineRule="auto"/>
        <w:jc w:val="both"/>
        <w:rPr>
          <w:rFonts w:ascii="Arial" w:hAnsi="Arial" w:cs="Arial"/>
          <w:b/>
          <w:bCs/>
          <w:color w:val="000000" w:themeColor="text1"/>
          <w:sz w:val="19"/>
          <w:szCs w:val="19"/>
        </w:rPr>
      </w:pPr>
      <w:r w:rsidRPr="00FB4F69">
        <w:rPr>
          <w:rFonts w:ascii="Arial" w:hAnsi="Arial" w:cs="Arial"/>
          <w:b/>
          <w:bCs/>
          <w:color w:val="000000" w:themeColor="text1"/>
          <w:sz w:val="19"/>
          <w:szCs w:val="19"/>
        </w:rPr>
        <w:t xml:space="preserve">súlad projektu s hlavnými zásadami výberu operácií pre SC </w:t>
      </w:r>
      <w:r w:rsidR="008B1F42" w:rsidRPr="00FB4F69">
        <w:rPr>
          <w:rFonts w:ascii="Arial" w:hAnsi="Arial" w:cs="Arial"/>
          <w:b/>
          <w:bCs/>
          <w:color w:val="000000" w:themeColor="text1"/>
          <w:sz w:val="19"/>
          <w:szCs w:val="19"/>
        </w:rPr>
        <w:t>7.</w:t>
      </w:r>
      <w:r w:rsidR="002B5927">
        <w:rPr>
          <w:rFonts w:ascii="Arial" w:hAnsi="Arial" w:cs="Arial"/>
          <w:b/>
          <w:bCs/>
          <w:color w:val="000000" w:themeColor="text1"/>
          <w:sz w:val="19"/>
          <w:szCs w:val="19"/>
        </w:rPr>
        <w:t>3</w:t>
      </w:r>
      <w:r w:rsidR="008B1F42" w:rsidRPr="00FB4F69">
        <w:rPr>
          <w:rFonts w:ascii="Arial" w:hAnsi="Arial" w:cs="Arial"/>
          <w:b/>
          <w:bCs/>
          <w:color w:val="000000" w:themeColor="text1"/>
          <w:sz w:val="19"/>
          <w:szCs w:val="19"/>
        </w:rPr>
        <w:t>.</w:t>
      </w:r>
    </w:p>
    <w:p w14:paraId="789F230C" w14:textId="2BCFF66B" w:rsidR="00621A84" w:rsidRPr="00FB4F69" w:rsidRDefault="00621A84" w:rsidP="00216F21">
      <w:pPr>
        <w:pStyle w:val="Odsekzoznamu"/>
        <w:spacing w:before="120" w:after="120" w:line="288" w:lineRule="auto"/>
        <w:ind w:left="426"/>
        <w:jc w:val="both"/>
        <w:rPr>
          <w:rFonts w:ascii="Arial" w:hAnsi="Arial" w:cs="Arial"/>
          <w:color w:val="000000" w:themeColor="text1"/>
          <w:sz w:val="19"/>
          <w:szCs w:val="19"/>
          <w:lang w:val="sk-SK"/>
        </w:rPr>
      </w:pPr>
      <w:r w:rsidRPr="00FB4F69">
        <w:rPr>
          <w:rFonts w:ascii="Arial" w:hAnsi="Arial" w:cs="Arial"/>
          <w:color w:val="000000" w:themeColor="text1"/>
          <w:sz w:val="19"/>
          <w:szCs w:val="19"/>
          <w:lang w:val="sk-SK"/>
        </w:rPr>
        <w:t>Hodnotí sa (áno/nie), či je ŽoNFP v súlade s nižšie uvedenými zásadami výberu operácií. ŽoNFP musí byť v súlade so zásadami výberu operácií, ktoré sú relevantné pre projekt, a to primerane a v kontexte podmienok výzvy:</w:t>
      </w:r>
    </w:p>
    <w:p w14:paraId="01B84DA4" w14:textId="77777777" w:rsidR="002B5927" w:rsidRPr="00B80C91" w:rsidRDefault="002B5927" w:rsidP="002B5927">
      <w:pPr>
        <w:pStyle w:val="Odsekzoznamu"/>
        <w:numPr>
          <w:ilvl w:val="0"/>
          <w:numId w:val="49"/>
        </w:numPr>
        <w:spacing w:after="0" w:line="288" w:lineRule="auto"/>
        <w:ind w:left="1134"/>
        <w:contextualSpacing w:val="0"/>
        <w:jc w:val="both"/>
        <w:rPr>
          <w:rFonts w:ascii="Arial" w:eastAsiaTheme="minorHAnsi" w:hAnsi="Arial" w:cs="Arial"/>
          <w:color w:val="000000" w:themeColor="text1"/>
          <w:sz w:val="19"/>
          <w:szCs w:val="19"/>
          <w:lang w:val="sk-SK"/>
        </w:rPr>
      </w:pPr>
      <w:r w:rsidRPr="00B80C91">
        <w:rPr>
          <w:rFonts w:ascii="Arial" w:eastAsiaTheme="minorHAnsi" w:hAnsi="Arial" w:cs="Arial"/>
          <w:color w:val="000000" w:themeColor="text1"/>
          <w:sz w:val="19"/>
          <w:szCs w:val="19"/>
          <w:lang w:val="sk-SK"/>
        </w:rPr>
        <w:t>projekty výsadby a regenerácie izolačnej zelene na iných miestach ako pre tento účel vymedzených v platnej územnoplánovacej dokumentácii (v platnom územnom pláne) nie sú oprávnené,</w:t>
      </w:r>
    </w:p>
    <w:p w14:paraId="5EF03C67" w14:textId="77777777" w:rsidR="002B5927" w:rsidRPr="00B80C91" w:rsidRDefault="002B5927" w:rsidP="002B5927">
      <w:pPr>
        <w:pStyle w:val="Odsekzoznamu"/>
        <w:numPr>
          <w:ilvl w:val="0"/>
          <w:numId w:val="49"/>
        </w:numPr>
        <w:spacing w:after="0" w:line="288" w:lineRule="auto"/>
        <w:ind w:left="1134"/>
        <w:contextualSpacing w:val="0"/>
        <w:jc w:val="both"/>
        <w:rPr>
          <w:rFonts w:ascii="Arial" w:eastAsiaTheme="minorHAnsi" w:hAnsi="Arial" w:cs="Arial"/>
          <w:color w:val="000000" w:themeColor="text1"/>
          <w:sz w:val="19"/>
          <w:szCs w:val="19"/>
          <w:lang w:val="sk-SK"/>
        </w:rPr>
      </w:pPr>
      <w:r w:rsidRPr="00B80C91">
        <w:rPr>
          <w:rFonts w:ascii="Arial" w:eastAsiaTheme="minorHAnsi" w:hAnsi="Arial" w:cs="Arial"/>
          <w:color w:val="000000" w:themeColor="text1"/>
          <w:sz w:val="19"/>
          <w:szCs w:val="19"/>
          <w:lang w:val="sk-SK"/>
        </w:rPr>
        <w:t>projekt zohľadňuje výber správnej vegetácie ako i problém nakladania s dažďovými vodami a zároveň mať merateľné dopady na zníženie hlukového a prachového zaťaženia obyvateľstva.</w:t>
      </w:r>
    </w:p>
    <w:p w14:paraId="52D83B36" w14:textId="77777777" w:rsidR="002B5927" w:rsidRPr="002B5927" w:rsidRDefault="002B5927" w:rsidP="002B5927">
      <w:pPr>
        <w:spacing w:after="0" w:line="288" w:lineRule="auto"/>
        <w:jc w:val="both"/>
        <w:rPr>
          <w:rFonts w:ascii="Arial" w:hAnsi="Arial" w:cs="Arial"/>
          <w:color w:val="000000" w:themeColor="text1"/>
          <w:sz w:val="19"/>
          <w:szCs w:val="19"/>
        </w:rPr>
      </w:pPr>
    </w:p>
    <w:p w14:paraId="0262ADA0" w14:textId="77777777" w:rsidR="002B5927" w:rsidRPr="002B5927" w:rsidRDefault="002B5927" w:rsidP="002B5927">
      <w:pPr>
        <w:spacing w:after="0" w:line="288" w:lineRule="auto"/>
        <w:jc w:val="both"/>
        <w:rPr>
          <w:rFonts w:ascii="Arial" w:hAnsi="Arial" w:cs="Arial"/>
          <w:color w:val="000000" w:themeColor="text1"/>
          <w:sz w:val="19"/>
          <w:szCs w:val="19"/>
        </w:rPr>
      </w:pPr>
      <w:r w:rsidRPr="002B5927">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25682E55" w14:textId="13DC3825" w:rsidR="00BE7BB7" w:rsidRDefault="005B5940" w:rsidP="00BE7BB7">
      <w:pPr>
        <w:spacing w:before="120" w:after="120"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lastRenderedPageBreak/>
        <w:tab/>
      </w:r>
    </w:p>
    <w:tbl>
      <w:tblPr>
        <w:tblStyle w:val="TableGrid2"/>
        <w:tblW w:w="4973" w:type="pct"/>
        <w:tblLook w:val="04A0" w:firstRow="1" w:lastRow="0" w:firstColumn="1" w:lastColumn="0" w:noHBand="0" w:noVBand="1"/>
      </w:tblPr>
      <w:tblGrid>
        <w:gridCol w:w="578"/>
        <w:gridCol w:w="14627"/>
      </w:tblGrid>
      <w:tr w:rsidR="00BE7BB7" w:rsidRPr="003C6DE1" w14:paraId="1A0D45B7" w14:textId="77777777" w:rsidTr="00BE7BB7">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F533C41"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2.</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73B53DE" w14:textId="77777777" w:rsidR="00BE7BB7" w:rsidRPr="003C6DE1" w:rsidRDefault="00BE7BB7"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Navrhovaný spôsob realizácie projektu</w:t>
            </w:r>
          </w:p>
        </w:tc>
      </w:tr>
    </w:tbl>
    <w:p w14:paraId="4DF4BEEA" w14:textId="7FE593E8" w:rsidR="005B5940" w:rsidRPr="00BE7BB7" w:rsidRDefault="005B5940" w:rsidP="00BE7BB7">
      <w:pPr>
        <w:spacing w:before="120" w:after="120" w:line="288" w:lineRule="auto"/>
        <w:jc w:val="both"/>
        <w:rPr>
          <w:rFonts w:ascii="Arial" w:eastAsia="Helvetica" w:hAnsi="Arial" w:cs="Arial"/>
          <w:color w:val="000000" w:themeColor="text1"/>
          <w:sz w:val="10"/>
          <w:szCs w:val="10"/>
        </w:rPr>
      </w:pPr>
      <w:r w:rsidRPr="00F93B3F">
        <w:rPr>
          <w:rFonts w:ascii="Arial" w:eastAsia="Helvetica" w:hAnsi="Arial" w:cs="Arial"/>
          <w:color w:val="000000" w:themeColor="text1"/>
          <w:sz w:val="19"/>
          <w:szCs w:val="19"/>
          <w:u w:color="000000"/>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3E974740" w14:textId="77777777" w:rsidTr="00BE7BB7">
        <w:trPr>
          <w:trHeight w:val="1024"/>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00F341D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2.1</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0F32A29D" w14:textId="15129EC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Vhodnosť a prepojenosť navrhovaných aktivít projektu vo vzťahu k východiskovej situácii a k stanoveným cieľom projektu</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24952705" w14:textId="1D6DD8CD"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906C2D3"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Bodové</w:t>
            </w:r>
          </w:p>
          <w:p w14:paraId="636CC5DF"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kritérium</w:t>
            </w:r>
          </w:p>
        </w:tc>
        <w:tc>
          <w:tcPr>
            <w:tcW w:w="850" w:type="dxa"/>
            <w:tcBorders>
              <w:top w:val="single" w:sz="4" w:space="0" w:color="auto"/>
              <w:left w:val="single" w:sz="4" w:space="0" w:color="auto"/>
              <w:bottom w:val="single" w:sz="4" w:space="0" w:color="auto"/>
              <w:right w:val="single" w:sz="4" w:space="0" w:color="auto"/>
            </w:tcBorders>
            <w:vAlign w:val="center"/>
            <w:hideMark/>
          </w:tcPr>
          <w:p w14:paraId="5EEFDA75" w14:textId="079FBA7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CA5F4" w14:textId="4946555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D67CD2" w:rsidRPr="00F93B3F" w14:paraId="65D3AC25" w14:textId="77777777" w:rsidTr="00BE7BB7">
        <w:trPr>
          <w:trHeight w:val="41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C953246"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12B680F9"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7E7E8641"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6F1557C"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3696937" w14:textId="1C105CE2"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7DF61D6C" w14:textId="512BA33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F93B3F">
              <w:rPr>
                <w:rFonts w:ascii="Arial" w:eastAsia="Helvetica" w:hAnsi="Arial" w:cs="Arial"/>
                <w:color w:val="000000" w:themeColor="text1"/>
                <w:sz w:val="19"/>
                <w:szCs w:val="19"/>
              </w:rPr>
              <w:t xml:space="preserve">. Nedostatky nie sú závažného charakteru, neohrozujú jeho úspešnú realizáciu. </w:t>
            </w:r>
          </w:p>
        </w:tc>
      </w:tr>
      <w:tr w:rsidR="00D67CD2" w:rsidRPr="00F93B3F" w14:paraId="1745B73B" w14:textId="77777777" w:rsidTr="00BE7BB7">
        <w:trPr>
          <w:trHeight w:val="103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048007A6"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3EB2169D"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511A5E6D"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BA549D2"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F0DEF68"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4A634D6" w14:textId="226C201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Minimálne jedna z hlavných aktivít projektu nie je odôvodnená z pohľadu východiskovej situácie, nie je potrebná/neprispieva k dosahovaniu plánovaných cieľov projektu, resp. projekt neobsahuje aktivity, ktoré sú nevyhnutné pre jeho realizáciu. Nedostatky sú závažného charakteru, ohrozujú jeho úspešnú realizáciu.</w:t>
            </w:r>
          </w:p>
        </w:tc>
      </w:tr>
    </w:tbl>
    <w:p w14:paraId="7169B062" w14:textId="77777777" w:rsidR="00621A84" w:rsidRPr="00D952E3"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najmä </w:t>
      </w:r>
      <w:r w:rsidRPr="00D952E3">
        <w:rPr>
          <w:rFonts w:ascii="Arial" w:hAnsi="Arial" w:cs="Arial"/>
          <w:color w:val="000000" w:themeColor="text1"/>
          <w:sz w:val="19"/>
          <w:szCs w:val="19"/>
        </w:rPr>
        <w:t>informácie uvedené</w:t>
      </w:r>
      <w:r>
        <w:rPr>
          <w:rFonts w:ascii="Arial" w:hAnsi="Arial" w:cs="Arial"/>
          <w:color w:val="000000" w:themeColor="text1"/>
          <w:sz w:val="19"/>
          <w:szCs w:val="19"/>
        </w:rPr>
        <w:t xml:space="preserve"> v častiach ŽoNFP: 7. Popis projektu</w:t>
      </w:r>
      <w:r w:rsidRPr="00D952E3">
        <w:rPr>
          <w:rFonts w:ascii="Arial" w:hAnsi="Arial" w:cs="Arial"/>
          <w:color w:val="000000" w:themeColor="text1"/>
          <w:sz w:val="19"/>
          <w:szCs w:val="19"/>
        </w:rPr>
        <w:t>, 10.1 Aktivity projektu a očakávané merateľné ukazovatele, 10.2. Prehľad merateľných ukazovateľov projektu.</w:t>
      </w:r>
    </w:p>
    <w:p w14:paraId="7EA095E9" w14:textId="77777777" w:rsidR="00621A84" w:rsidRPr="00D952E3" w:rsidRDefault="00621A84" w:rsidP="00621A84">
      <w:pPr>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Hodnotiteľ posudzuje najmä plnenie nasledovných oblastí:</w:t>
      </w:r>
    </w:p>
    <w:p w14:paraId="71A404A7" w14:textId="77777777" w:rsidR="00621A84" w:rsidRPr="00D952E3" w:rsidRDefault="00621A84" w:rsidP="00621A84">
      <w:pPr>
        <w:pStyle w:val="Odsekzoznamu"/>
        <w:numPr>
          <w:ilvl w:val="0"/>
          <w:numId w:val="36"/>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navrhované aktivity projektu sú dostatočne odôvodnené a vychádzajú z definovaných potrieb ži</w:t>
      </w:r>
      <w:r>
        <w:rPr>
          <w:rFonts w:ascii="Arial" w:hAnsi="Arial" w:cs="Arial"/>
          <w:color w:val="000000" w:themeColor="text1"/>
          <w:sz w:val="19"/>
          <w:szCs w:val="19"/>
          <w:lang w:val="sk-SK"/>
        </w:rPr>
        <w:t>adateľa,</w:t>
      </w:r>
    </w:p>
    <w:p w14:paraId="3C5361FF" w14:textId="77777777" w:rsidR="00621A84" w:rsidRPr="00D952E3"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všetky aktivity smer</w:t>
      </w:r>
      <w:r>
        <w:rPr>
          <w:rFonts w:ascii="Arial" w:hAnsi="Arial" w:cs="Arial"/>
          <w:color w:val="000000" w:themeColor="text1"/>
          <w:sz w:val="19"/>
          <w:szCs w:val="19"/>
          <w:lang w:val="sk-SK"/>
        </w:rPr>
        <w:t>ujú k napĺňaniu cieľov projektu,</w:t>
      </w:r>
    </w:p>
    <w:p w14:paraId="65E339B1" w14:textId="77777777" w:rsidR="00621A84" w:rsidRPr="00D952E3"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59293522" w14:textId="77777777" w:rsidR="00621A84" w:rsidRPr="00D952E3" w:rsidRDefault="00621A84" w:rsidP="00621A84">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Pr>
          <w:rFonts w:ascii="Arial" w:hAnsi="Arial" w:cs="Arial"/>
          <w:color w:val="000000" w:themeColor="text1"/>
          <w:sz w:val="19"/>
          <w:szCs w:val="19"/>
        </w:rPr>
        <w:t>výdavky</w:t>
      </w:r>
      <w:r w:rsidRPr="00D952E3">
        <w:rPr>
          <w:rFonts w:ascii="Arial" w:hAnsi="Arial" w:cs="Arial"/>
          <w:color w:val="000000" w:themeColor="text1"/>
          <w:sz w:val="19"/>
          <w:szCs w:val="19"/>
        </w:rPr>
        <w:t xml:space="preserve"> medzi neoprávnené </w:t>
      </w:r>
      <w:r>
        <w:rPr>
          <w:rFonts w:ascii="Arial" w:hAnsi="Arial" w:cs="Arial"/>
          <w:color w:val="000000" w:themeColor="text1"/>
          <w:sz w:val="19"/>
          <w:szCs w:val="19"/>
        </w:rPr>
        <w:t>výdavky</w:t>
      </w:r>
      <w:r w:rsidRPr="00D952E3">
        <w:rPr>
          <w:rFonts w:ascii="Arial" w:hAnsi="Arial" w:cs="Arial"/>
          <w:color w:val="000000" w:themeColor="text1"/>
          <w:sz w:val="19"/>
          <w:szCs w:val="19"/>
        </w:rPr>
        <w:t xml:space="preserve"> (tie následne vyhodnotí a vyčísli v hodnotiacich kritériách 4.1, 4.2 a 4.4.). </w:t>
      </w:r>
    </w:p>
    <w:p w14:paraId="1CE84088" w14:textId="77777777" w:rsidR="00621A84" w:rsidRPr="00D952E3" w:rsidRDefault="00621A84" w:rsidP="00621A84">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V prípade, ak hodnotiteľ vyhodnotí niektorú z hlavných aktivít projektu ako nevhodnú, resp. neúčelnú (napr. z titulu neexistencie logického prepojenia na východiskovú situáciu alebo ciele projektu) a tieto tvoria menej ako 30%</w:t>
      </w:r>
      <w:r>
        <w:rPr>
          <w:rFonts w:ascii="Arial" w:hAnsi="Arial" w:cs="Arial"/>
          <w:color w:val="000000" w:themeColor="text1"/>
          <w:sz w:val="19"/>
          <w:szCs w:val="19"/>
        </w:rPr>
        <w:t xml:space="preserve"> (vrátane)</w:t>
      </w:r>
      <w:r w:rsidRPr="00D952E3">
        <w:rPr>
          <w:rFonts w:ascii="Arial" w:hAnsi="Arial" w:cs="Arial"/>
          <w:color w:val="000000" w:themeColor="text1"/>
          <w:sz w:val="19"/>
          <w:szCs w:val="19"/>
        </w:rPr>
        <w:t xml:space="preserve"> 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6F2A50BA" w14:textId="49182913" w:rsidR="005B5940" w:rsidRPr="00F93B3F" w:rsidRDefault="00621A84" w:rsidP="00BE7BB7">
      <w:pPr>
        <w:spacing w:before="120" w:after="120" w:line="288" w:lineRule="auto"/>
        <w:jc w:val="both"/>
        <w:rPr>
          <w:rFonts w:ascii="Arial" w:eastAsia="Helvetica"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 </w:t>
      </w:r>
      <w:r w:rsidR="005B5940" w:rsidRPr="00F93B3F">
        <w:rPr>
          <w:rFonts w:ascii="Arial" w:eastAsia="Helvetica" w:hAnsi="Arial" w:cs="Arial"/>
          <w:color w:val="000000" w:themeColor="text1"/>
          <w:sz w:val="19"/>
          <w:szCs w:val="19"/>
        </w:rPr>
        <w:tab/>
      </w:r>
      <w:r w:rsidR="005B5940"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4A089C94" w14:textId="77777777" w:rsidTr="00BE7BB7">
        <w:trPr>
          <w:trHeight w:val="1082"/>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89322D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2.2</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6FAC1B65" w14:textId="1F6D58B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vhodnosti navrhovaných aktivít z vecného a časového hľadiska</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38A3DF9D" w14:textId="55573A25"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 xml:space="preserve">Posudzuje sa kvalitatívna úroveň a využiteľnosť výstupov projektu, účinnosť a logická previazanosť aktivít projektu, chronologická </w:t>
            </w:r>
            <w:r w:rsidRPr="00F93B3F">
              <w:rPr>
                <w:rFonts w:ascii="Arial" w:hAnsi="Arial" w:cs="Arial"/>
                <w:color w:val="000000" w:themeColor="text1"/>
                <w:sz w:val="19"/>
                <w:szCs w:val="19"/>
              </w:rPr>
              <w:lastRenderedPageBreak/>
              <w:t>nadväznosť aktivít projektu, vhodnosť a reálnosť dĺžky trvania jednotlivých aktivít, súlad časového plánu s ďalšou súvisiacou dokumentáciou.</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0E5E87D8" w14:textId="77777777" w:rsidR="00D67CD2" w:rsidRPr="00F93B3F" w:rsidRDefault="00D67CD2" w:rsidP="007735BD">
            <w:pPr>
              <w:widowControl w:val="0"/>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lastRenderedPageBreak/>
              <w:t>Bodové kritérium</w:t>
            </w:r>
          </w:p>
          <w:p w14:paraId="2FE47D3A"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6BA4D57D" w14:textId="7591C63D"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D9F0ED4" w14:textId="634B951A"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D67CD2" w:rsidRPr="00F93B3F" w14:paraId="65AD73A8" w14:textId="77777777" w:rsidTr="00BE7BB7">
        <w:trPr>
          <w:trHeight w:val="589"/>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76BB122"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09773740"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3D8F5A2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F837EF0"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D226F97" w14:textId="5B925A2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1D1FBD4A" w14:textId="6E401198"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D67CD2" w:rsidRPr="00F93B3F" w14:paraId="4E02BBA5" w14:textId="77777777" w:rsidTr="00BE7BB7">
        <w:trPr>
          <w:trHeight w:val="764"/>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A3AE193"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4FECB3AC"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46B59D35"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05CDE49"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45C85CCD" w14:textId="522A68D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D0CD9" w14:textId="342A658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2D411C5D" w14:textId="651D288F" w:rsidR="00621A84" w:rsidRPr="00D96F1C"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7.2 Spôsob realizácie aktivít projektu, </w:t>
      </w:r>
      <w:r>
        <w:rPr>
          <w:rFonts w:ascii="Arial" w:hAnsi="Arial" w:cs="Arial"/>
          <w:color w:val="000000" w:themeColor="text1"/>
          <w:sz w:val="19"/>
          <w:szCs w:val="19"/>
        </w:rPr>
        <w:t>9.</w:t>
      </w:r>
      <w:r w:rsidRPr="00D96F1C">
        <w:rPr>
          <w:rFonts w:ascii="Arial" w:hAnsi="Arial" w:cs="Arial"/>
          <w:color w:val="000000" w:themeColor="text1"/>
          <w:sz w:val="19"/>
          <w:szCs w:val="19"/>
        </w:rPr>
        <w:t xml:space="preserve"> Harmonogram realizácie aktivít</w:t>
      </w:r>
      <w:r w:rsidR="00E60372">
        <w:rPr>
          <w:rFonts w:ascii="Arial" w:hAnsi="Arial" w:cs="Arial"/>
          <w:color w:val="000000" w:themeColor="text1"/>
          <w:sz w:val="19"/>
          <w:szCs w:val="19"/>
        </w:rPr>
        <w:t>,</w:t>
      </w:r>
    </w:p>
    <w:p w14:paraId="35E9D6AE" w14:textId="77777777" w:rsidR="00621A84" w:rsidRPr="003C6DE1" w:rsidRDefault="00621A84" w:rsidP="00621A84">
      <w:pPr>
        <w:spacing w:after="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66DDA235"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w:t>
      </w:r>
      <w:r>
        <w:rPr>
          <w:rFonts w:ascii="Arial" w:hAnsi="Arial" w:cs="Arial"/>
          <w:color w:val="000000" w:themeColor="text1"/>
          <w:sz w:val="19"/>
          <w:szCs w:val="19"/>
          <w:lang w:val="sk-SK"/>
        </w:rPr>
        <w:t>, resp. čiastkové práce na</w:t>
      </w:r>
      <w:r w:rsidRPr="003C6DE1">
        <w:rPr>
          <w:rFonts w:ascii="Arial" w:hAnsi="Arial" w:cs="Arial"/>
          <w:color w:val="000000" w:themeColor="text1"/>
          <w:sz w:val="19"/>
          <w:szCs w:val="19"/>
          <w:lang w:val="sk-SK"/>
        </w:rPr>
        <w:t xml:space="preserve"> projekt</w:t>
      </w:r>
      <w:r>
        <w:rPr>
          <w:rFonts w:ascii="Arial" w:hAnsi="Arial" w:cs="Arial"/>
          <w:color w:val="000000" w:themeColor="text1"/>
          <w:sz w:val="19"/>
          <w:szCs w:val="19"/>
          <w:lang w:val="sk-SK"/>
        </w:rPr>
        <w:t>e</w:t>
      </w:r>
      <w:r w:rsidRPr="003C6DE1">
        <w:rPr>
          <w:rFonts w:ascii="Arial" w:hAnsi="Arial" w:cs="Arial"/>
          <w:color w:val="000000" w:themeColor="text1"/>
          <w:sz w:val="19"/>
          <w:szCs w:val="19"/>
          <w:lang w:val="sk-SK"/>
        </w:rPr>
        <w:t xml:space="preserve"> na</w:t>
      </w:r>
      <w:r>
        <w:rPr>
          <w:rFonts w:ascii="Arial" w:hAnsi="Arial" w:cs="Arial"/>
          <w:color w:val="000000" w:themeColor="text1"/>
          <w:sz w:val="19"/>
          <w:szCs w:val="19"/>
          <w:lang w:val="sk-SK"/>
        </w:rPr>
        <w:t xml:space="preserve"> seba vecne a logicky nadväzujú,</w:t>
      </w:r>
    </w:p>
    <w:p w14:paraId="5FA4B2A7"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w:t>
      </w:r>
      <w:r>
        <w:rPr>
          <w:rFonts w:ascii="Arial" w:hAnsi="Arial" w:cs="Arial"/>
          <w:color w:val="000000" w:themeColor="text1"/>
          <w:sz w:val="19"/>
          <w:szCs w:val="19"/>
          <w:lang w:val="sk-SK"/>
        </w:rPr>
        <w:t xml:space="preserve"> v správnej časovej nadväznosti,</w:t>
      </w:r>
    </w:p>
    <w:p w14:paraId="4C66A3FB"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dĺžka trvania jednotlivých aktivít je realistická (napr. v zmysle sta</w:t>
      </w:r>
      <w:r>
        <w:rPr>
          <w:rFonts w:ascii="Arial" w:hAnsi="Arial" w:cs="Arial"/>
          <w:color w:val="000000" w:themeColor="text1"/>
          <w:sz w:val="19"/>
          <w:szCs w:val="19"/>
          <w:lang w:val="sk-SK"/>
        </w:rPr>
        <w:t>vebno-technologických postupov),</w:t>
      </w:r>
    </w:p>
    <w:p w14:paraId="18ADC2EE"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časové obdobie realizácie projektu</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je v súlade s ďalšími lehotami vyplývajúcimi z legislatívy SR, relevantnými zmluvnými vzťahmi, resp. relevantnými povoleniami súvisiacimi s realizáciou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w:t>
      </w:r>
    </w:p>
    <w:p w14:paraId="5D1BE9C5" w14:textId="77777777" w:rsidR="00621A84" w:rsidRPr="00D96F1C"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(6,3,0) v zmysle popisu aplikácie hodnotiaceho kritéria.</w:t>
      </w:r>
    </w:p>
    <w:p w14:paraId="12E40515" w14:textId="77777777" w:rsidR="00621A84"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5E9645F"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09EB65A2"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781894CB"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E64A2E4" w14:textId="57E49AEF"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eastAsia="Helvetica" w:hAnsi="Arial" w:cs="Arial"/>
          <w:color w:val="000000" w:themeColor="text1"/>
          <w:sz w:val="19"/>
          <w:szCs w:val="19"/>
          <w:u w:color="000000"/>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08D6FCD8" w14:textId="77777777" w:rsidTr="009F59B5">
        <w:trPr>
          <w:trHeight w:val="1705"/>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9E5887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2.3</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5B17A80"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14B55399" w14:textId="679182E2"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1127C06" w14:textId="5BD1DD9D" w:rsidR="00D67CD2" w:rsidRPr="00EF5FEC" w:rsidRDefault="00D67CD2" w:rsidP="00EF5FEC">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tcPr>
          <w:p w14:paraId="49905984" w14:textId="516F46BB" w:rsidR="00D67CD2" w:rsidRPr="00F93B3F" w:rsidRDefault="00D67CD2" w:rsidP="00EF5FEC">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1C6F5F8"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w:t>
            </w:r>
            <w:proofErr w:type="spellStart"/>
            <w:r w:rsidRPr="00F93B3F">
              <w:rPr>
                <w:rFonts w:ascii="Arial" w:eastAsia="Helvetica" w:hAnsi="Arial" w:cs="Arial"/>
                <w:color w:val="000000" w:themeColor="text1"/>
                <w:sz w:val="19"/>
                <w:szCs w:val="19"/>
              </w:rPr>
              <w:t>Value</w:t>
            </w:r>
            <w:proofErr w:type="spellEnd"/>
            <w:r w:rsidRPr="00F93B3F">
              <w:rPr>
                <w:rFonts w:ascii="Arial" w:eastAsia="Helvetica" w:hAnsi="Arial" w:cs="Arial"/>
                <w:color w:val="000000" w:themeColor="text1"/>
                <w:sz w:val="19"/>
                <w:szCs w:val="19"/>
              </w:rPr>
              <w:t xml:space="preserve"> </w:t>
            </w:r>
            <w:proofErr w:type="spellStart"/>
            <w:r w:rsidRPr="00F93B3F">
              <w:rPr>
                <w:rFonts w:ascii="Arial" w:eastAsia="Helvetica" w:hAnsi="Arial" w:cs="Arial"/>
                <w:color w:val="000000" w:themeColor="text1"/>
                <w:sz w:val="19"/>
                <w:szCs w:val="19"/>
              </w:rPr>
              <w:t>for</w:t>
            </w:r>
            <w:proofErr w:type="spellEnd"/>
            <w:r w:rsidRPr="00F93B3F">
              <w:rPr>
                <w:rFonts w:ascii="Arial" w:eastAsia="Helvetica" w:hAnsi="Arial" w:cs="Arial"/>
                <w:color w:val="000000" w:themeColor="text1"/>
                <w:sz w:val="19"/>
                <w:szCs w:val="19"/>
              </w:rPr>
              <w:t xml:space="preserve"> </w:t>
            </w:r>
            <w:proofErr w:type="spellStart"/>
            <w:r w:rsidRPr="00F93B3F">
              <w:rPr>
                <w:rFonts w:ascii="Arial" w:eastAsia="Helvetica" w:hAnsi="Arial" w:cs="Arial"/>
                <w:color w:val="000000" w:themeColor="text1"/>
                <w:sz w:val="19"/>
                <w:szCs w:val="19"/>
              </w:rPr>
              <w:t>money</w:t>
            </w:r>
            <w:proofErr w:type="spellEnd"/>
            <w:r w:rsidRPr="00F93B3F">
              <w:rPr>
                <w:rFonts w:ascii="Arial" w:eastAsia="Helvetica" w:hAnsi="Arial" w:cs="Arial"/>
                <w:color w:val="000000" w:themeColor="text1"/>
                <w:sz w:val="19"/>
                <w:szCs w:val="19"/>
              </w:rPr>
              <w:t>“. Prípadné nedostatky nepredstavujú vážne ohrozenie dosiahnutia cieľov projektu.</w:t>
            </w:r>
          </w:p>
        </w:tc>
      </w:tr>
      <w:tr w:rsidR="00D67CD2" w:rsidRPr="00F93B3F" w14:paraId="01FC6265" w14:textId="77777777" w:rsidTr="009F59B5">
        <w:trPr>
          <w:trHeight w:val="67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AAEA47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8E83355"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F06365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C60A2F9"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7258D05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543EA2E7" w14:textId="2CA5D04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3021FE65" w14:textId="77777777" w:rsidR="00621A84" w:rsidRPr="00D96F1C" w:rsidRDefault="00621A84" w:rsidP="00621A84">
      <w:pPr>
        <w:spacing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10.1. Aktivity projektu a očakávané merateľné ukazovatele a 10.2. Prehľad merateľných ukazovateľov projekt</w:t>
      </w:r>
      <w:r>
        <w:rPr>
          <w:rFonts w:ascii="Arial" w:hAnsi="Arial" w:cs="Arial"/>
          <w:color w:val="000000" w:themeColor="text1"/>
          <w:sz w:val="19"/>
          <w:szCs w:val="19"/>
        </w:rPr>
        <w:t>u</w:t>
      </w:r>
      <w:r w:rsidRPr="00D96F1C">
        <w:rPr>
          <w:rFonts w:ascii="Arial" w:hAnsi="Arial" w:cs="Arial"/>
          <w:color w:val="000000" w:themeColor="text1"/>
          <w:sz w:val="19"/>
          <w:szCs w:val="19"/>
        </w:rPr>
        <w:t>.</w:t>
      </w:r>
    </w:p>
    <w:p w14:paraId="23293053" w14:textId="77777777" w:rsidR="00621A84" w:rsidRPr="00D96F1C" w:rsidRDefault="00621A84" w:rsidP="009F59B5">
      <w:pPr>
        <w:spacing w:after="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7E2FAC80" w14:textId="77777777" w:rsidR="00621A84" w:rsidRPr="003C6DE1"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05F9AE3A" w14:textId="77777777" w:rsidR="00621A84"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569DA722" w14:textId="77777777" w:rsidR="00621A84" w:rsidRPr="004F0628"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lastRenderedPageBreak/>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7921A8CD" w14:textId="77777777" w:rsidR="00621A84"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w:t>
      </w:r>
      <w:proofErr w:type="spellStart"/>
      <w:r>
        <w:rPr>
          <w:rFonts w:ascii="Arial" w:hAnsi="Arial" w:cs="Arial"/>
          <w:color w:val="000000" w:themeColor="text1"/>
          <w:sz w:val="19"/>
          <w:szCs w:val="19"/>
          <w:lang w:val="sk-SK"/>
        </w:rPr>
        <w:t>Value</w:t>
      </w:r>
      <w:proofErr w:type="spellEnd"/>
      <w:r>
        <w:rPr>
          <w:rFonts w:ascii="Arial" w:hAnsi="Arial" w:cs="Arial"/>
          <w:color w:val="000000" w:themeColor="text1"/>
          <w:sz w:val="19"/>
          <w:szCs w:val="19"/>
          <w:lang w:val="sk-SK"/>
        </w:rPr>
        <w:t xml:space="preserve"> </w:t>
      </w:r>
      <w:proofErr w:type="spellStart"/>
      <w:r>
        <w:rPr>
          <w:rFonts w:ascii="Arial" w:hAnsi="Arial" w:cs="Arial"/>
          <w:color w:val="000000" w:themeColor="text1"/>
          <w:sz w:val="19"/>
          <w:szCs w:val="19"/>
          <w:lang w:val="sk-SK"/>
        </w:rPr>
        <w:t>for</w:t>
      </w:r>
      <w:proofErr w:type="spellEnd"/>
      <w:r>
        <w:rPr>
          <w:rFonts w:ascii="Arial" w:hAnsi="Arial" w:cs="Arial"/>
          <w:color w:val="000000" w:themeColor="text1"/>
          <w:sz w:val="19"/>
          <w:szCs w:val="19"/>
          <w:lang w:val="sk-SK"/>
        </w:rPr>
        <w:t xml:space="preserve"> Money“).</w:t>
      </w:r>
    </w:p>
    <w:p w14:paraId="1B55BE6E" w14:textId="77777777" w:rsidR="00621A84" w:rsidRPr="00087C43" w:rsidRDefault="00621A84" w:rsidP="00621A84">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(3,0) v zmysle popisu aplikácie hodnotiaceho kritéria.</w:t>
      </w:r>
      <w:r>
        <w:rPr>
          <w:rFonts w:ascii="Arial" w:hAnsi="Arial" w:cs="Arial"/>
          <w:color w:val="000000" w:themeColor="text1"/>
          <w:sz w:val="19"/>
          <w:szCs w:val="19"/>
        </w:rPr>
        <w:t xml:space="preserve"> </w:t>
      </w:r>
      <w:r w:rsidRPr="00087C43">
        <w:rPr>
          <w:rFonts w:ascii="Arial" w:hAnsi="Arial" w:cs="Arial"/>
          <w:color w:val="000000" w:themeColor="text1"/>
          <w:sz w:val="19"/>
          <w:szCs w:val="19"/>
        </w:rPr>
        <w:t>V prípade, že žiadateľ neuviedol všetky povinné merateľné ukazovatele, hodnotiteľ priradí bodovú hodnotu (0).</w:t>
      </w:r>
    </w:p>
    <w:p w14:paraId="43774279" w14:textId="77777777"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2"/>
        <w:tblW w:w="4973" w:type="pct"/>
        <w:tblLayout w:type="fixed"/>
        <w:tblLook w:val="04A0" w:firstRow="1" w:lastRow="0" w:firstColumn="1" w:lastColumn="0" w:noHBand="0" w:noVBand="1"/>
      </w:tblPr>
      <w:tblGrid>
        <w:gridCol w:w="578"/>
        <w:gridCol w:w="14627"/>
      </w:tblGrid>
      <w:tr w:rsidR="009F59B5" w:rsidRPr="003C6DE1" w14:paraId="16798399" w14:textId="77777777" w:rsidTr="009F59B5">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E0B53E1"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3.</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39DC41E"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Administratívna a prevádzková kapacita žiadateľa</w:t>
            </w:r>
          </w:p>
        </w:tc>
      </w:tr>
    </w:tbl>
    <w:p w14:paraId="622FF7B9" w14:textId="13F82965"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2CDFFE6B" w14:textId="77777777" w:rsidTr="009F59B5">
        <w:trPr>
          <w:trHeight w:val="510"/>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4723BF16"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41668E4D"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administratívnych a odborných kapacít na riadenie a realizáciu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tcPr>
          <w:p w14:paraId="256CC2D6" w14:textId="49A7B844" w:rsidR="00D67CD2" w:rsidRPr="00EF7063"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 xml:space="preserve">Posudzuje sa zostavenie realizačného tímu </w:t>
            </w:r>
            <w:r>
              <w:rPr>
                <w:rFonts w:ascii="Arial" w:hAnsi="Arial" w:cs="Arial"/>
                <w:color w:val="000000" w:themeColor="text1"/>
                <w:sz w:val="19"/>
                <w:szCs w:val="19"/>
              </w:rPr>
              <w:t xml:space="preserve">s dostatočnými administratívnymi kapacitami na riadenie projektu </w:t>
            </w:r>
            <w:r w:rsidRPr="00EF7063">
              <w:rPr>
                <w:rFonts w:ascii="Arial" w:hAnsi="Arial" w:cs="Arial"/>
                <w:color w:val="000000" w:themeColor="text1"/>
                <w:sz w:val="19"/>
                <w:szCs w:val="19"/>
              </w:rPr>
              <w:t>(projektový manažment, monitorovanie, financovanie, publicita, dodržiavanie ustanovení zmluvy o NFP) a odborná kapacita pre realizáciu aktivít projektu (vrátane rozdelenia kompetencií, definovania potrebných odborných znalostí, vzdelania atď.).</w:t>
            </w:r>
          </w:p>
          <w:p w14:paraId="39489B0E" w14:textId="2B0C7F91" w:rsidR="00D67CD2" w:rsidRPr="00F93B3F"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F7F9AD8" w14:textId="6E504246" w:rsidR="00D67CD2" w:rsidRPr="00ED2706" w:rsidRDefault="00D67CD2" w:rsidP="00ED2706">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3D6427B0" w14:textId="37C75416"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6534EE6" w14:textId="24BFBBD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w:t>
            </w:r>
            <w:r w:rsidRPr="00F93B3F">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F93B3F">
              <w:rPr>
                <w:rFonts w:ascii="Arial" w:eastAsia="Helvetica" w:hAnsi="Arial" w:cs="Arial"/>
                <w:color w:val="000000" w:themeColor="text1"/>
                <w:sz w:val="19"/>
                <w:szCs w:val="19"/>
              </w:rPr>
              <w:t>ednotlivé kompetencie v rámci projektového tímu sú zadefinované komplexne a vytvárajú predpoklad pre správne riadenie a implementáciu projektu.</w:t>
            </w:r>
          </w:p>
          <w:p w14:paraId="05069DBB"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má zabezpečené, resp. deklaruje zabezpečenie riadenia projektu:</w:t>
            </w:r>
          </w:p>
          <w:p w14:paraId="69DDD00B" w14:textId="77777777" w:rsidR="00D67CD2" w:rsidRPr="00F93B3F" w:rsidRDefault="00D67CD2" w:rsidP="007735BD">
            <w:pPr>
              <w:numPr>
                <w:ilvl w:val="0"/>
                <w:numId w:val="23"/>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7D833047" w14:textId="2E4ADB82" w:rsidR="00D67CD2" w:rsidRPr="00F93B3F" w:rsidRDefault="00D67CD2" w:rsidP="00E44C86">
            <w:pPr>
              <w:numPr>
                <w:ilvl w:val="0"/>
                <w:numId w:val="23"/>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internými kapacitami primeranými rozsahu projektu, ktoré majú skúsenosti </w:t>
            </w:r>
            <w:r>
              <w:rPr>
                <w:rFonts w:ascii="Arial" w:eastAsia="Helvetica" w:hAnsi="Arial" w:cs="Arial"/>
                <w:color w:val="000000" w:themeColor="text1"/>
                <w:sz w:val="19"/>
                <w:szCs w:val="19"/>
                <w:lang w:bidi="en-US"/>
              </w:rPr>
              <w:t xml:space="preserve">v oblasti riadenia </w:t>
            </w:r>
            <w:r w:rsidRPr="00F93B3F">
              <w:rPr>
                <w:rFonts w:ascii="Arial" w:eastAsia="Helvetica" w:hAnsi="Arial" w:cs="Arial"/>
                <w:color w:val="000000" w:themeColor="text1"/>
                <w:sz w:val="19"/>
                <w:szCs w:val="19"/>
                <w:lang w:bidi="en-US"/>
              </w:rPr>
              <w:t>obdobn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/porovnateľn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 xml:space="preserve"> projekt</w:t>
            </w:r>
            <w:r>
              <w:rPr>
                <w:rFonts w:ascii="Arial" w:eastAsia="Helvetica" w:hAnsi="Arial" w:cs="Arial"/>
                <w:color w:val="000000" w:themeColor="text1"/>
                <w:sz w:val="19"/>
                <w:szCs w:val="19"/>
                <w:lang w:bidi="en-US"/>
              </w:rPr>
              <w:t>ov</w:t>
            </w:r>
            <w:r w:rsidRPr="00F93B3F">
              <w:rPr>
                <w:rFonts w:ascii="Arial" w:eastAsia="Helvetica" w:hAnsi="Arial" w:cs="Arial"/>
                <w:color w:val="000000" w:themeColor="text1"/>
                <w:sz w:val="19"/>
                <w:szCs w:val="19"/>
                <w:lang w:bidi="en-US"/>
              </w:rPr>
              <w:t>.</w:t>
            </w:r>
          </w:p>
        </w:tc>
      </w:tr>
      <w:tr w:rsidR="00D67CD2" w:rsidRPr="00F93B3F" w14:paraId="0E6FB8A1" w14:textId="77777777" w:rsidTr="009F59B5">
        <w:trPr>
          <w:trHeight w:val="49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283014A2"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794427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DC60712"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10A40D0"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1654E64" w14:textId="73893F0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067D4293" w14:textId="60B350DC"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xml:space="preserve">. Žiadateľ má zabezpečené, resp. deklaruje zabezpečenie riadenia projektu internými alebo externými kapacitami, avšak v niektorej z oblastí ako napr. počet administratívnych a odborných kapacít žiadateľa, zadefinovanie jednotlivých kompetencií v rámci projektového tímu a pod. sa objavujú nedostatky, ktoré však nemajú rozhodujúci vplyv na správne riadenie a implementáciu projektu. </w:t>
            </w:r>
          </w:p>
        </w:tc>
      </w:tr>
      <w:tr w:rsidR="00D67CD2" w:rsidRPr="00F93B3F" w14:paraId="2B1C1063" w14:textId="77777777" w:rsidTr="009F59B5">
        <w:trPr>
          <w:trHeight w:val="420"/>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6F0AA6F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6B35D1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2A063636"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B5A71B6"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7C9208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29F15A25" w14:textId="5A3200DB"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skúsenosti</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nekompletný projektový tím. Nedostatky administratívnych kapacít vytvárajú ohrozenie pre správne riadenie a implementáciu projektu.</w:t>
            </w:r>
          </w:p>
        </w:tc>
      </w:tr>
    </w:tbl>
    <w:p w14:paraId="4AA711F5" w14:textId="77777777"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0668CCE8"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7D899F25" w14:textId="77777777" w:rsidR="00621A84" w:rsidRPr="00D06955"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23AB377E" w14:textId="77777777" w:rsidR="00621A84" w:rsidRPr="00857CFE"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lastRenderedPageBreak/>
        <w:t xml:space="preserve">zabezpečenie administratívnych a odborných kapacít pre realizáciu projektu: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7A7CA9B9"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a to najmä:</w:t>
      </w:r>
    </w:p>
    <w:p w14:paraId="1B880CF4" w14:textId="77777777" w:rsidR="00621A84" w:rsidRPr="003C6DE1"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Pr>
          <w:rFonts w:ascii="Arial" w:hAnsi="Arial" w:cs="Arial"/>
          <w:color w:val="000000" w:themeColor="text1"/>
          <w:sz w:val="19"/>
          <w:szCs w:val="19"/>
          <w:lang w:val="sk-SK"/>
        </w:rPr>
        <w:t>, manažér pre verejné obstarávanie a pod.),</w:t>
      </w:r>
    </w:p>
    <w:p w14:paraId="4D65B219"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konkrétnym obsadením jednotlivých pozícií projektového tímu (uvedenie</w:t>
      </w:r>
      <w:r>
        <w:rPr>
          <w:rFonts w:ascii="Arial" w:hAnsi="Arial" w:cs="Arial"/>
          <w:color w:val="000000" w:themeColor="text1"/>
          <w:sz w:val="19"/>
          <w:szCs w:val="19"/>
          <w:lang w:val="sk-SK"/>
        </w:rPr>
        <w:t xml:space="preserve"> konkrétnych osôb</w:t>
      </w:r>
      <w:r w:rsidRPr="003C6DE1">
        <w:rPr>
          <w:rFonts w:ascii="Arial" w:hAnsi="Arial" w:cs="Arial"/>
          <w:color w:val="000000" w:themeColor="text1"/>
          <w:sz w:val="19"/>
          <w:szCs w:val="19"/>
          <w:lang w:val="sk-SK"/>
        </w:rPr>
        <w:t xml:space="preserve"> jednotlivých členo</w:t>
      </w:r>
      <w:r>
        <w:rPr>
          <w:rFonts w:ascii="Arial" w:hAnsi="Arial" w:cs="Arial"/>
          <w:color w:val="000000" w:themeColor="text1"/>
          <w:sz w:val="19"/>
          <w:szCs w:val="19"/>
          <w:lang w:val="sk-SK"/>
        </w:rPr>
        <w:t>v</w:t>
      </w:r>
      <w:r w:rsidRPr="003C6DE1">
        <w:rPr>
          <w:rFonts w:ascii="Arial" w:hAnsi="Arial" w:cs="Arial"/>
          <w:color w:val="000000" w:themeColor="text1"/>
          <w:sz w:val="19"/>
          <w:szCs w:val="19"/>
          <w:lang w:val="sk-SK"/>
        </w:rPr>
        <w:t xml:space="preserve"> tímu</w:t>
      </w:r>
      <w:r>
        <w:rPr>
          <w:rFonts w:ascii="Arial" w:hAnsi="Arial" w:cs="Arial"/>
          <w:color w:val="000000" w:themeColor="text1"/>
          <w:sz w:val="19"/>
          <w:szCs w:val="19"/>
          <w:lang w:val="sk-SK"/>
        </w:rPr>
        <w:t>, resp. uvedenie kvalifikačných požiadaviek na jednotlivé pozície),</w:t>
      </w:r>
    </w:p>
    <w:p w14:paraId="516E5188"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103AB03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3685FCDA" w14:textId="77777777" w:rsidR="00621A84"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1B8A4B2"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0C7283CA"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6A25467A"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DEF7D92"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415B64AE"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247604E"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3DED920D" w14:textId="6A322F24"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49253CF1" w14:textId="77777777" w:rsidTr="009F59B5">
        <w:trPr>
          <w:trHeight w:val="857"/>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EAD82B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3.2</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117CEE78"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prevádzkovej  a technickej udržateľnosti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00D51D6E"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AD6C268" w14:textId="77777777" w:rsidR="00D67CD2" w:rsidRPr="00F93B3F" w:rsidRDefault="00D67CD2" w:rsidP="007735BD">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6BECC128" w14:textId="350C2F3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4BB1BC5"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D67CD2" w:rsidRPr="00F93B3F" w14:paraId="0F912F61" w14:textId="77777777" w:rsidTr="009F59B5">
        <w:trPr>
          <w:trHeight w:val="177"/>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49FC47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03FE330"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DFB94DB"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78A8F78"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9AEB660" w14:textId="470B286A"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E975B29" w14:textId="2BB706B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D67CD2" w:rsidRPr="00F93B3F" w14:paraId="07DDEC82" w14:textId="77777777" w:rsidTr="009F59B5">
        <w:trPr>
          <w:trHeight w:val="101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FD35CE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A9FDA63"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18A0B50"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7E0E5F1"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59E1F4EA"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C7D8ED9"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6347E031" w14:textId="2CA81302"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p>
    <w:p w14:paraId="5770907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14621452"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11B25C64" w14:textId="77777777" w:rsidR="00621A84" w:rsidRPr="00AE2CE5"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028F3090" w14:textId="77777777" w:rsidR="00621A84" w:rsidRPr="00AE2CE5"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4A46BBAF" w14:textId="7D21FE51"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2"/>
        <w:tblW w:w="4973" w:type="pct"/>
        <w:tblLayout w:type="fixed"/>
        <w:tblLook w:val="04A0" w:firstRow="1" w:lastRow="0" w:firstColumn="1" w:lastColumn="0" w:noHBand="0" w:noVBand="1"/>
      </w:tblPr>
      <w:tblGrid>
        <w:gridCol w:w="599"/>
        <w:gridCol w:w="14606"/>
      </w:tblGrid>
      <w:tr w:rsidR="009F59B5" w:rsidRPr="003C6DE1" w14:paraId="0BF68CAC" w14:textId="77777777" w:rsidTr="009F59B5">
        <w:trPr>
          <w:trHeight w:val="418"/>
        </w:trPr>
        <w:tc>
          <w:tcPr>
            <w:tcW w:w="19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044F8C5"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4.</w:t>
            </w:r>
          </w:p>
        </w:tc>
        <w:tc>
          <w:tcPr>
            <w:tcW w:w="4803"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08717D"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Finančná a ekonomická stránka projektu</w:t>
            </w:r>
          </w:p>
        </w:tc>
      </w:tr>
    </w:tbl>
    <w:p w14:paraId="5464F40D" w14:textId="45A62C74"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083"/>
        <w:gridCol w:w="4819"/>
        <w:gridCol w:w="1275"/>
        <w:gridCol w:w="850"/>
        <w:gridCol w:w="5671"/>
      </w:tblGrid>
      <w:tr w:rsidR="00D67CD2" w:rsidRPr="00F93B3F" w14:paraId="0FF17377" w14:textId="77777777" w:rsidTr="009F59B5">
        <w:trPr>
          <w:trHeight w:val="429"/>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12FE8FE7" w14:textId="5BD8B5B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4.1</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4AE34B70" w14:textId="23BFC130" w:rsidR="00D67CD2" w:rsidRPr="00F93B3F" w:rsidRDefault="00D67CD2" w:rsidP="007735BD">
            <w:pPr>
              <w:rPr>
                <w:rFonts w:ascii="Arial" w:hAnsi="Arial" w:cs="Arial"/>
                <w:color w:val="000000" w:themeColor="text1"/>
                <w:sz w:val="19"/>
                <w:szCs w:val="19"/>
              </w:rPr>
            </w:pPr>
            <w:r w:rsidRPr="00F93B3F">
              <w:rPr>
                <w:rFonts w:ascii="Arial" w:eastAsia="Helvetica" w:hAnsi="Arial" w:cs="Arial"/>
                <w:color w:val="000000" w:themeColor="text1"/>
                <w:sz w:val="19"/>
                <w:szCs w:val="19"/>
              </w:rPr>
              <w:t>Vecná oprávnenosť výdavkov projektu - obsahová oprávnenosť, účelnosť a účinnosť</w:t>
            </w:r>
          </w:p>
        </w:tc>
        <w:tc>
          <w:tcPr>
            <w:tcW w:w="4819" w:type="dxa"/>
            <w:vMerge w:val="restart"/>
            <w:tcBorders>
              <w:top w:val="single" w:sz="4" w:space="0" w:color="auto"/>
              <w:left w:val="single" w:sz="4" w:space="0" w:color="auto"/>
              <w:bottom w:val="single" w:sz="4" w:space="0" w:color="auto"/>
              <w:right w:val="single" w:sz="4" w:space="0" w:color="auto"/>
            </w:tcBorders>
            <w:vAlign w:val="center"/>
          </w:tcPr>
          <w:p w14:paraId="0E631F83" w14:textId="17BBB69F" w:rsidR="00D67CD2" w:rsidRPr="00F93B3F" w:rsidRDefault="00D67CD2" w:rsidP="007735BD">
            <w:pPr>
              <w:pStyle w:val="Normlnywebov"/>
              <w:rPr>
                <w:rFonts w:ascii="Arial" w:hAnsi="Arial" w:cs="Arial"/>
                <w:color w:val="000000" w:themeColor="text1"/>
                <w:sz w:val="19"/>
                <w:szCs w:val="19"/>
              </w:rPr>
            </w:pPr>
            <w:r w:rsidRPr="00F93B3F">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F93B3F">
              <w:rPr>
                <w:rFonts w:ascii="Arial" w:hAnsi="Arial" w:cs="Arial"/>
                <w:color w:val="000000" w:themeColor="text1"/>
                <w:sz w:val="19"/>
                <w:szCs w:val="19"/>
              </w:rPr>
              <w:t>účinnosti (t.j. plnenie stanovených cieľov a dosahovanie plánovaných výsledkov).</w:t>
            </w:r>
          </w:p>
          <w:p w14:paraId="0BBCAC99" w14:textId="77777777"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 xml:space="preserve">Pozn.: </w:t>
            </w:r>
          </w:p>
          <w:p w14:paraId="2B50ECA2" w14:textId="60363269"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V prípade identifikácie neoprávnených výdavkov projektu sa v procese odborného hodnotenia výška celkových oprávnených výdavkov projektu adekvátne zníži.</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5A92DCD7" w14:textId="1A38D54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4F2F03B7" w14:textId="115A537E"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áno</w:t>
            </w:r>
          </w:p>
        </w:tc>
        <w:tc>
          <w:tcPr>
            <w:tcW w:w="5671" w:type="dxa"/>
            <w:tcBorders>
              <w:top w:val="single" w:sz="4" w:space="0" w:color="auto"/>
              <w:left w:val="single" w:sz="4" w:space="0" w:color="auto"/>
              <w:bottom w:val="single" w:sz="4" w:space="0" w:color="auto"/>
              <w:right w:val="single" w:sz="4" w:space="0" w:color="auto"/>
            </w:tcBorders>
            <w:vAlign w:val="center"/>
          </w:tcPr>
          <w:p w14:paraId="59AE54A0" w14:textId="5AB67D10"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70% a viac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 </w:t>
            </w:r>
          </w:p>
        </w:tc>
      </w:tr>
      <w:tr w:rsidR="00D67CD2" w:rsidRPr="00F93B3F" w14:paraId="4A9250A9" w14:textId="77777777" w:rsidTr="009F59B5">
        <w:trPr>
          <w:trHeight w:val="1096"/>
        </w:trPr>
        <w:tc>
          <w:tcPr>
            <w:tcW w:w="606" w:type="dxa"/>
            <w:vMerge/>
            <w:tcBorders>
              <w:top w:val="single" w:sz="4" w:space="0" w:color="auto"/>
              <w:left w:val="single" w:sz="4" w:space="0" w:color="auto"/>
              <w:bottom w:val="single" w:sz="4" w:space="0" w:color="auto"/>
              <w:right w:val="single" w:sz="4" w:space="0" w:color="auto"/>
            </w:tcBorders>
            <w:vAlign w:val="center"/>
          </w:tcPr>
          <w:p w14:paraId="3CE760F1" w14:textId="77777777" w:rsidR="00D67CD2" w:rsidRPr="00F93B3F"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137EC6AF" w14:textId="77777777" w:rsidR="00D67CD2" w:rsidRPr="00F93B3F" w:rsidRDefault="00D67CD2" w:rsidP="007735BD">
            <w:pPr>
              <w:rPr>
                <w:rFonts w:ascii="Arial" w:hAnsi="Arial" w:cs="Arial"/>
                <w:color w:val="000000" w:themeColor="text1"/>
                <w:sz w:val="19"/>
                <w:szCs w:val="19"/>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0198E5D8" w14:textId="77777777" w:rsidR="00D67CD2" w:rsidRPr="00F93B3F" w:rsidRDefault="00D67CD2" w:rsidP="007735BD">
            <w:pPr>
              <w:rPr>
                <w:rFonts w:ascii="Arial" w:hAnsi="Arial" w:cs="Arial"/>
                <w:i/>
                <w:color w:val="000000" w:themeColor="text1"/>
                <w:sz w:val="19"/>
                <w:szCs w:val="19"/>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61B640C5"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7DFB357" w14:textId="64A2D51B"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nie</w:t>
            </w:r>
          </w:p>
        </w:tc>
        <w:tc>
          <w:tcPr>
            <w:tcW w:w="5671" w:type="dxa"/>
            <w:tcBorders>
              <w:top w:val="single" w:sz="4" w:space="0" w:color="auto"/>
              <w:left w:val="single" w:sz="4" w:space="0" w:color="auto"/>
              <w:bottom w:val="single" w:sz="4" w:space="0" w:color="auto"/>
              <w:right w:val="single" w:sz="4" w:space="0" w:color="auto"/>
            </w:tcBorders>
            <w:vAlign w:val="center"/>
          </w:tcPr>
          <w:p w14:paraId="4BEFD384" w14:textId="25E8BC23"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Menej ako 70%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w:t>
            </w:r>
          </w:p>
        </w:tc>
      </w:tr>
    </w:tbl>
    <w:p w14:paraId="7D5A39C6" w14:textId="4630FB64" w:rsidR="00621A84" w:rsidRPr="003C6DE1" w:rsidRDefault="00621A84" w:rsidP="00621A84">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w:t>
      </w:r>
      <w:r w:rsidRPr="003538F4">
        <w:rPr>
          <w:rFonts w:ascii="Arial" w:hAnsi="Arial" w:cs="Arial"/>
          <w:color w:val="000000" w:themeColor="text1"/>
          <w:sz w:val="19"/>
          <w:szCs w:val="19"/>
        </w:rPr>
        <w:t>príloha Rozpočet projektu.</w:t>
      </w:r>
    </w:p>
    <w:p w14:paraId="096769AD"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5F4DD85B"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4871F1FA"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Pr>
          <w:rFonts w:ascii="Arial" w:eastAsiaTheme="minorHAnsi" w:hAnsi="Arial" w:cs="Arial"/>
          <w:color w:val="000000" w:themeColor="text1"/>
          <w:sz w:val="19"/>
          <w:szCs w:val="19"/>
          <w:bdr w:val="none" w:sz="0" w:space="0" w:color="auto"/>
          <w:lang w:val="sk-SK"/>
        </w:rPr>
        <w:t xml:space="preserve">o </w:t>
      </w:r>
      <w:r w:rsidRPr="009E04ED">
        <w:rPr>
          <w:rFonts w:ascii="Arial" w:eastAsiaTheme="minorHAnsi" w:hAnsi="Arial" w:cs="Arial"/>
          <w:color w:val="000000" w:themeColor="text1"/>
          <w:sz w:val="19"/>
          <w:szCs w:val="19"/>
          <w:bdr w:val="none" w:sz="0" w:space="0" w:color="auto"/>
          <w:lang w:val="sk-SK"/>
        </w:rPr>
        <w:t>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565CD245"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lastRenderedPageBreak/>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41FB81B9" w14:textId="77777777" w:rsidR="00621A84" w:rsidRPr="000E2D66"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68AC7C2F"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342FE5">
        <w:rPr>
          <w:rFonts w:ascii="Arial" w:hAnsi="Arial" w:cs="Arial"/>
          <w:color w:val="000000" w:themeColor="text1"/>
          <w:sz w:val="19"/>
          <w:szCs w:val="19"/>
          <w:lang w:val="sk-SK"/>
        </w:rPr>
        <w:t>V prípade identifikácie neoprávnených výdavkov projektu z dôvodu matematickej chyby vzniknut</w:t>
      </w:r>
      <w:r>
        <w:rPr>
          <w:rFonts w:ascii="Arial" w:hAnsi="Arial" w:cs="Arial"/>
          <w:color w:val="000000" w:themeColor="text1"/>
          <w:sz w:val="19"/>
          <w:szCs w:val="19"/>
          <w:lang w:val="sk-SK"/>
        </w:rPr>
        <w:t>ej vo výpočte finančnej analýzy</w:t>
      </w:r>
      <w:r w:rsidRPr="00342FE5">
        <w:rPr>
          <w:rFonts w:ascii="Arial" w:hAnsi="Arial" w:cs="Arial"/>
          <w:color w:val="000000" w:themeColor="text1"/>
          <w:sz w:val="19"/>
          <w:szCs w:val="19"/>
          <w:lang w:val="sk-SK"/>
        </w:rPr>
        <w:t xml:space="preserve"> sa v procese odborného hodnotenia výška celkových oprávnených výdavkov projektu adekvát</w:t>
      </w:r>
      <w:r>
        <w:rPr>
          <w:rFonts w:ascii="Arial" w:hAnsi="Arial" w:cs="Arial"/>
          <w:color w:val="000000" w:themeColor="text1"/>
          <w:sz w:val="19"/>
          <w:szCs w:val="19"/>
          <w:lang w:val="sk-SK"/>
        </w:rPr>
        <w:t>ne zníži.</w:t>
      </w:r>
    </w:p>
    <w:p w14:paraId="3C24F91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w:t>
      </w:r>
      <w:r>
        <w:rPr>
          <w:rFonts w:ascii="Arial" w:eastAsiaTheme="minorHAnsi" w:hAnsi="Arial" w:cs="Arial"/>
          <w:color w:val="000000" w:themeColor="text1"/>
          <w:sz w:val="19"/>
          <w:szCs w:val="19"/>
          <w:bdr w:val="none" w:sz="0" w:space="0" w:color="auto"/>
          <w:lang w:val="sk-SK"/>
        </w:rPr>
        <w:t xml:space="preserve"> </w:t>
      </w:r>
      <w:r w:rsidRPr="00342FE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hodnotiteľ uvedie </w:t>
      </w:r>
      <w:r w:rsidRPr="00342FE5">
        <w:rPr>
          <w:rFonts w:ascii="Arial" w:hAnsi="Arial" w:cs="Arial"/>
          <w:color w:val="000000" w:themeColor="text1"/>
          <w:sz w:val="19"/>
          <w:szCs w:val="19"/>
          <w:lang w:val="sk-SK"/>
        </w:rPr>
        <w:t>identifikáciu neoprávnených výdavkov, sumu identifikovaných neoprávnených výdavkov a zdôvodnenie v komentári hodnotiaceho hárku.</w:t>
      </w:r>
    </w:p>
    <w:p w14:paraId="7174649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3752A4D4" w14:textId="7F787701" w:rsidR="005B5940" w:rsidRDefault="00621A84" w:rsidP="00E60372">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r w:rsidR="005B5940" w:rsidRPr="00F93B3F">
        <w:rPr>
          <w:rFonts w:ascii="Arial" w:hAnsi="Arial" w:cs="Arial"/>
          <w:color w:val="000000" w:themeColor="text1"/>
          <w:sz w:val="19"/>
          <w:szCs w:val="19"/>
        </w:rPr>
        <w:tab/>
      </w:r>
    </w:p>
    <w:p w14:paraId="4B7A5FC4" w14:textId="30B8CC87" w:rsidR="009F59B5" w:rsidRDefault="009F59B5" w:rsidP="00E60372">
      <w:pPr>
        <w:spacing w:before="120" w:after="120" w:line="288" w:lineRule="auto"/>
        <w:jc w:val="both"/>
        <w:rPr>
          <w:rFonts w:ascii="Arial" w:hAnsi="Arial" w:cs="Arial"/>
          <w:color w:val="000000" w:themeColor="text1"/>
          <w:sz w:val="19"/>
          <w:szCs w:val="19"/>
        </w:rPr>
      </w:pPr>
    </w:p>
    <w:p w14:paraId="3C8B2737" w14:textId="416C5075" w:rsidR="009F59B5" w:rsidRDefault="009F59B5" w:rsidP="00E60372">
      <w:pPr>
        <w:spacing w:before="120" w:after="120" w:line="288" w:lineRule="auto"/>
        <w:jc w:val="both"/>
        <w:rPr>
          <w:rFonts w:ascii="Arial" w:hAnsi="Arial" w:cs="Arial"/>
          <w:color w:val="000000" w:themeColor="text1"/>
          <w:sz w:val="19"/>
          <w:szCs w:val="19"/>
        </w:rPr>
      </w:pPr>
    </w:p>
    <w:p w14:paraId="73576C6C" w14:textId="7BE755DB" w:rsidR="009F59B5" w:rsidRDefault="009F59B5" w:rsidP="00E60372">
      <w:pPr>
        <w:spacing w:before="120" w:after="120" w:line="288" w:lineRule="auto"/>
        <w:jc w:val="both"/>
        <w:rPr>
          <w:rFonts w:ascii="Arial" w:hAnsi="Arial" w:cs="Arial"/>
          <w:color w:val="000000" w:themeColor="text1"/>
          <w:sz w:val="19"/>
          <w:szCs w:val="19"/>
        </w:rPr>
      </w:pPr>
    </w:p>
    <w:p w14:paraId="74D59EAD" w14:textId="4235573F" w:rsidR="009F59B5" w:rsidRDefault="009F59B5" w:rsidP="00E60372">
      <w:pPr>
        <w:spacing w:before="120" w:after="120" w:line="288" w:lineRule="auto"/>
        <w:jc w:val="both"/>
        <w:rPr>
          <w:rFonts w:ascii="Arial" w:hAnsi="Arial" w:cs="Arial"/>
          <w:color w:val="000000" w:themeColor="text1"/>
          <w:sz w:val="19"/>
          <w:szCs w:val="19"/>
        </w:rPr>
      </w:pPr>
    </w:p>
    <w:p w14:paraId="1360E43B" w14:textId="072064D5" w:rsidR="009F59B5" w:rsidRDefault="009F59B5" w:rsidP="00E60372">
      <w:pPr>
        <w:spacing w:before="120" w:after="120" w:line="288" w:lineRule="auto"/>
        <w:jc w:val="both"/>
        <w:rPr>
          <w:rFonts w:ascii="Arial" w:hAnsi="Arial" w:cs="Arial"/>
          <w:color w:val="000000" w:themeColor="text1"/>
          <w:sz w:val="19"/>
          <w:szCs w:val="19"/>
        </w:rPr>
      </w:pPr>
    </w:p>
    <w:p w14:paraId="00C8F81B" w14:textId="38E2C42E" w:rsidR="009F59B5" w:rsidRDefault="009F59B5" w:rsidP="00E60372">
      <w:pPr>
        <w:spacing w:before="120" w:after="120" w:line="288" w:lineRule="auto"/>
        <w:jc w:val="both"/>
        <w:rPr>
          <w:rFonts w:ascii="Arial" w:hAnsi="Arial" w:cs="Arial"/>
          <w:color w:val="000000" w:themeColor="text1"/>
          <w:sz w:val="19"/>
          <w:szCs w:val="19"/>
        </w:rPr>
      </w:pPr>
    </w:p>
    <w:p w14:paraId="6E8CDE2B" w14:textId="2D340B89" w:rsidR="009F59B5" w:rsidRDefault="009F59B5" w:rsidP="00E60372">
      <w:pPr>
        <w:spacing w:before="120" w:after="120" w:line="288" w:lineRule="auto"/>
        <w:jc w:val="both"/>
        <w:rPr>
          <w:rFonts w:ascii="Arial" w:hAnsi="Arial" w:cs="Arial"/>
          <w:color w:val="000000" w:themeColor="text1"/>
          <w:sz w:val="19"/>
          <w:szCs w:val="19"/>
        </w:rPr>
      </w:pPr>
    </w:p>
    <w:p w14:paraId="40AB609C" w14:textId="77777777" w:rsidR="009F59B5" w:rsidRPr="00E60372" w:rsidRDefault="009F59B5" w:rsidP="00E60372">
      <w:pPr>
        <w:spacing w:before="120" w:after="120" w:line="288" w:lineRule="auto"/>
        <w:jc w:val="both"/>
        <w:rPr>
          <w:rFonts w:ascii="Arial" w:hAnsi="Arial" w:cs="Arial"/>
          <w:color w:val="000000" w:themeColor="text1"/>
          <w:sz w:val="19"/>
          <w:szCs w:val="19"/>
        </w:rPr>
      </w:pPr>
    </w:p>
    <w:tbl>
      <w:tblPr>
        <w:tblStyle w:val="TableGrid6"/>
        <w:tblW w:w="15304" w:type="dxa"/>
        <w:tblLayout w:type="fixed"/>
        <w:tblLook w:val="04A0" w:firstRow="1" w:lastRow="0" w:firstColumn="1" w:lastColumn="0" w:noHBand="0" w:noVBand="1"/>
      </w:tblPr>
      <w:tblGrid>
        <w:gridCol w:w="606"/>
        <w:gridCol w:w="1799"/>
        <w:gridCol w:w="6521"/>
        <w:gridCol w:w="1276"/>
        <w:gridCol w:w="850"/>
        <w:gridCol w:w="4252"/>
      </w:tblGrid>
      <w:tr w:rsidR="00D67CD2" w:rsidRPr="00F93B3F" w14:paraId="13E445B8" w14:textId="77777777" w:rsidTr="009F59B5">
        <w:trPr>
          <w:trHeight w:val="2286"/>
        </w:trPr>
        <w:tc>
          <w:tcPr>
            <w:tcW w:w="606" w:type="dxa"/>
            <w:vMerge w:val="restart"/>
            <w:tcBorders>
              <w:top w:val="single" w:sz="4" w:space="0" w:color="auto"/>
              <w:left w:val="single" w:sz="4" w:space="0" w:color="auto"/>
              <w:right w:val="single" w:sz="4" w:space="0" w:color="auto"/>
            </w:tcBorders>
            <w:vAlign w:val="center"/>
          </w:tcPr>
          <w:p w14:paraId="6A2D37D6" w14:textId="1B9CFABC" w:rsidR="00D67CD2" w:rsidRPr="00F93B3F" w:rsidRDefault="00D67CD2" w:rsidP="007735BD">
            <w:pPr>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4.2</w:t>
            </w:r>
          </w:p>
        </w:tc>
        <w:tc>
          <w:tcPr>
            <w:tcW w:w="1799" w:type="dxa"/>
            <w:vMerge w:val="restart"/>
            <w:tcBorders>
              <w:top w:val="single" w:sz="4" w:space="0" w:color="auto"/>
              <w:left w:val="single" w:sz="4" w:space="0" w:color="auto"/>
              <w:right w:val="single" w:sz="4" w:space="0" w:color="auto"/>
            </w:tcBorders>
            <w:vAlign w:val="center"/>
          </w:tcPr>
          <w:p w14:paraId="63C401C7" w14:textId="704BB3B8" w:rsidR="00D67CD2" w:rsidRPr="00F93B3F" w:rsidRDefault="00D67CD2" w:rsidP="007735BD">
            <w:pPr>
              <w:rPr>
                <w:rFonts w:ascii="Arial" w:hAnsi="Arial" w:cs="Arial"/>
                <w:color w:val="000000" w:themeColor="text1"/>
                <w:sz w:val="19"/>
                <w:szCs w:val="19"/>
                <w:highlight w:val="yellow"/>
              </w:rPr>
            </w:pPr>
            <w:r w:rsidRPr="00F93B3F">
              <w:rPr>
                <w:rFonts w:ascii="Arial" w:hAnsi="Arial" w:cs="Arial"/>
                <w:color w:val="000000" w:themeColor="text1"/>
                <w:sz w:val="19"/>
                <w:szCs w:val="19"/>
              </w:rPr>
              <w:t>Efektívnosť a hospodárnosť výdavkov projektu</w:t>
            </w:r>
          </w:p>
        </w:tc>
        <w:tc>
          <w:tcPr>
            <w:tcW w:w="6521" w:type="dxa"/>
            <w:vMerge w:val="restart"/>
            <w:tcBorders>
              <w:top w:val="single" w:sz="4" w:space="0" w:color="auto"/>
              <w:left w:val="single" w:sz="4" w:space="0" w:color="auto"/>
              <w:right w:val="single" w:sz="4" w:space="0" w:color="auto"/>
            </w:tcBorders>
            <w:vAlign w:val="center"/>
          </w:tcPr>
          <w:p w14:paraId="233A873E" w14:textId="4E5F3560"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1763107F" w14:textId="77777777" w:rsidR="00D67CD2" w:rsidRPr="00F93B3F" w:rsidRDefault="00D67CD2" w:rsidP="007735BD">
            <w:pPr>
              <w:widowControl w:val="0"/>
              <w:rPr>
                <w:rFonts w:ascii="Arial" w:hAnsi="Arial" w:cs="Arial"/>
                <w:color w:val="000000" w:themeColor="text1"/>
                <w:sz w:val="19"/>
                <w:szCs w:val="19"/>
                <w:u w:color="000000"/>
              </w:rPr>
            </w:pPr>
          </w:p>
          <w:p w14:paraId="4E7C89BD" w14:textId="77777777"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1ABCFAF1" w14:textId="77777777" w:rsidR="00D67CD2" w:rsidRPr="00F93B3F" w:rsidRDefault="00D67CD2" w:rsidP="007735BD">
            <w:pPr>
              <w:rPr>
                <w:rFonts w:ascii="Arial" w:hAnsi="Arial" w:cs="Arial"/>
                <w:color w:val="000000" w:themeColor="text1"/>
                <w:sz w:val="19"/>
                <w:szCs w:val="19"/>
              </w:rPr>
            </w:pPr>
          </w:p>
          <w:p w14:paraId="7A06F016" w14:textId="4115A156" w:rsidR="00D67CD2" w:rsidRDefault="00D67CD2" w:rsidP="001B3DF2">
            <w:pPr>
              <w:jc w:val="both"/>
              <w:rPr>
                <w:rFonts w:ascii="Arial" w:hAnsi="Arial" w:cs="Arial"/>
                <w:i/>
                <w:iCs/>
                <w:color w:val="000000"/>
                <w:sz w:val="19"/>
                <w:szCs w:val="19"/>
                <w:bdr w:val="none" w:sz="0" w:space="0" w:color="auto" w:frame="1"/>
              </w:rPr>
            </w:pPr>
            <w:r w:rsidRPr="00F93B3F">
              <w:rPr>
                <w:rFonts w:ascii="Arial" w:hAnsi="Arial" w:cs="Arial"/>
                <w:i/>
                <w:color w:val="000000" w:themeColor="text1"/>
                <w:sz w:val="19"/>
                <w:szCs w:val="19"/>
                <w:bdr w:val="none" w:sz="0" w:space="0" w:color="auto" w:frame="1"/>
              </w:rPr>
              <w:lastRenderedPageBreak/>
              <w:t>Pozn.:</w:t>
            </w:r>
            <w:r w:rsidRPr="00F93B3F">
              <w:rPr>
                <w:rFonts w:ascii="Arial" w:hAnsi="Arial" w:cs="Arial"/>
                <w:i/>
                <w:color w:val="000000" w:themeColor="text1"/>
                <w:sz w:val="19"/>
                <w:szCs w:val="19"/>
                <w:bdr w:val="none" w:sz="0" w:space="0" w:color="auto" w:frame="1"/>
              </w:rPr>
              <w:br/>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73563C4" w14:textId="77777777" w:rsidR="00D67CD2" w:rsidRDefault="00D67CD2" w:rsidP="001B3DF2">
            <w:pPr>
              <w:jc w:val="both"/>
              <w:rPr>
                <w:rFonts w:ascii="Arial" w:hAnsi="Arial" w:cs="Arial"/>
                <w:i/>
                <w:iCs/>
                <w:color w:val="000000"/>
                <w:sz w:val="19"/>
                <w:szCs w:val="19"/>
                <w:bdr w:val="none" w:sz="0" w:space="0" w:color="auto" w:frame="1"/>
              </w:rPr>
            </w:pPr>
          </w:p>
          <w:p w14:paraId="1BE3BF2D" w14:textId="2CE9F8B1" w:rsidR="00D67CD2" w:rsidRPr="00F93B3F" w:rsidRDefault="00D67CD2" w:rsidP="007735BD">
            <w:pPr>
              <w:rPr>
                <w:rFonts w:ascii="Arial" w:hAnsi="Arial" w:cs="Arial"/>
                <w:color w:val="000000" w:themeColor="text1"/>
                <w:sz w:val="19"/>
                <w:szCs w:val="19"/>
              </w:rPr>
            </w:pPr>
            <w:r w:rsidRPr="00F93B3F">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276" w:type="dxa"/>
            <w:vMerge w:val="restart"/>
            <w:tcBorders>
              <w:top w:val="single" w:sz="4" w:space="0" w:color="auto"/>
              <w:left w:val="single" w:sz="4" w:space="0" w:color="auto"/>
              <w:right w:val="single" w:sz="4" w:space="0" w:color="auto"/>
            </w:tcBorders>
            <w:vAlign w:val="center"/>
          </w:tcPr>
          <w:p w14:paraId="0B29DE1E" w14:textId="26F676B8"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lastRenderedPageBreak/>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603AE449" w14:textId="5835313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áno</w:t>
            </w:r>
          </w:p>
        </w:tc>
        <w:tc>
          <w:tcPr>
            <w:tcW w:w="4252" w:type="dxa"/>
            <w:tcBorders>
              <w:top w:val="single" w:sz="4" w:space="0" w:color="auto"/>
              <w:left w:val="single" w:sz="4" w:space="0" w:color="auto"/>
              <w:bottom w:val="single" w:sz="4" w:space="0" w:color="auto"/>
              <w:right w:val="single" w:sz="4" w:space="0" w:color="auto"/>
            </w:tcBorders>
            <w:vAlign w:val="center"/>
          </w:tcPr>
          <w:p w14:paraId="232314DE" w14:textId="637E3882"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D67CD2" w:rsidRPr="00F93B3F" w14:paraId="220D7231" w14:textId="77777777" w:rsidTr="009F59B5">
        <w:trPr>
          <w:trHeight w:val="2505"/>
        </w:trPr>
        <w:tc>
          <w:tcPr>
            <w:tcW w:w="606" w:type="dxa"/>
            <w:vMerge/>
            <w:tcBorders>
              <w:left w:val="single" w:sz="4" w:space="0" w:color="auto"/>
              <w:right w:val="single" w:sz="4" w:space="0" w:color="auto"/>
            </w:tcBorders>
            <w:vAlign w:val="center"/>
          </w:tcPr>
          <w:p w14:paraId="375358BE" w14:textId="77777777" w:rsidR="00D67CD2" w:rsidRPr="00F93B3F" w:rsidRDefault="00D67CD2" w:rsidP="007735BD">
            <w:pPr>
              <w:jc w:val="center"/>
              <w:rPr>
                <w:rFonts w:ascii="Arial" w:hAnsi="Arial" w:cs="Arial"/>
                <w:color w:val="000000" w:themeColor="text1"/>
                <w:sz w:val="19"/>
                <w:szCs w:val="19"/>
                <w:highlight w:val="yellow"/>
              </w:rPr>
            </w:pPr>
          </w:p>
        </w:tc>
        <w:tc>
          <w:tcPr>
            <w:tcW w:w="1799" w:type="dxa"/>
            <w:vMerge/>
            <w:tcBorders>
              <w:left w:val="single" w:sz="4" w:space="0" w:color="auto"/>
              <w:right w:val="single" w:sz="4" w:space="0" w:color="auto"/>
            </w:tcBorders>
            <w:vAlign w:val="center"/>
          </w:tcPr>
          <w:p w14:paraId="13805402" w14:textId="77777777" w:rsidR="00D67CD2" w:rsidRPr="00F93B3F" w:rsidRDefault="00D67CD2" w:rsidP="007735BD">
            <w:pPr>
              <w:rPr>
                <w:rFonts w:ascii="Arial" w:hAnsi="Arial" w:cs="Arial"/>
                <w:color w:val="000000" w:themeColor="text1"/>
                <w:sz w:val="19"/>
                <w:szCs w:val="19"/>
                <w:highlight w:val="yellow"/>
              </w:rPr>
            </w:pPr>
          </w:p>
        </w:tc>
        <w:tc>
          <w:tcPr>
            <w:tcW w:w="6521" w:type="dxa"/>
            <w:vMerge/>
            <w:tcBorders>
              <w:left w:val="single" w:sz="4" w:space="0" w:color="auto"/>
              <w:right w:val="single" w:sz="4" w:space="0" w:color="auto"/>
            </w:tcBorders>
            <w:vAlign w:val="center"/>
          </w:tcPr>
          <w:p w14:paraId="3D23822E" w14:textId="77777777" w:rsidR="00D67CD2" w:rsidRPr="00F93B3F" w:rsidRDefault="00D67CD2" w:rsidP="007735BD">
            <w:pPr>
              <w:rPr>
                <w:rFonts w:ascii="Arial" w:hAnsi="Arial" w:cs="Arial"/>
                <w:color w:val="000000" w:themeColor="text1"/>
                <w:sz w:val="19"/>
                <w:szCs w:val="19"/>
              </w:rPr>
            </w:pPr>
          </w:p>
        </w:tc>
        <w:tc>
          <w:tcPr>
            <w:tcW w:w="1276" w:type="dxa"/>
            <w:vMerge/>
            <w:tcBorders>
              <w:left w:val="single" w:sz="4" w:space="0" w:color="auto"/>
              <w:right w:val="single" w:sz="4" w:space="0" w:color="auto"/>
            </w:tcBorders>
            <w:vAlign w:val="center"/>
          </w:tcPr>
          <w:p w14:paraId="1645F40F"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right w:val="single" w:sz="4" w:space="0" w:color="auto"/>
            </w:tcBorders>
            <w:vAlign w:val="center"/>
          </w:tcPr>
          <w:p w14:paraId="14B092A8" w14:textId="5CA4A71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nie</w:t>
            </w:r>
          </w:p>
        </w:tc>
        <w:tc>
          <w:tcPr>
            <w:tcW w:w="4252" w:type="dxa"/>
            <w:tcBorders>
              <w:top w:val="single" w:sz="4" w:space="0" w:color="auto"/>
              <w:left w:val="single" w:sz="4" w:space="0" w:color="auto"/>
              <w:right w:val="single" w:sz="4" w:space="0" w:color="auto"/>
            </w:tcBorders>
            <w:vAlign w:val="center"/>
          </w:tcPr>
          <w:p w14:paraId="54F6FB24" w14:textId="4CAB9C04"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F93B3F">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5CDA6932" w14:textId="3E4700A5"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w:t>
      </w:r>
      <w:r w:rsidRPr="003777AD">
        <w:rPr>
          <w:rFonts w:ascii="Arial" w:hAnsi="Arial" w:cs="Arial"/>
          <w:color w:val="000000" w:themeColor="text1"/>
          <w:sz w:val="19"/>
          <w:szCs w:val="19"/>
        </w:rPr>
        <w:t xml:space="preserve">. Rozpočet projektu, príloha Rozpočet projektu, príloha </w:t>
      </w:r>
      <w:r>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4202937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77E0BA3C" w14:textId="77777777" w:rsidR="00621A84" w:rsidRDefault="00621A84" w:rsidP="00621A84">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035586DD" w14:textId="77777777" w:rsidR="00621A84" w:rsidRDefault="00621A84" w:rsidP="00621A84">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03237187" w14:textId="77777777" w:rsidR="00621A84" w:rsidRPr="00FF5C24" w:rsidRDefault="00621A84" w:rsidP="00621A84">
      <w:pPr>
        <w:pStyle w:val="Predvolen"/>
        <w:numPr>
          <w:ilvl w:val="0"/>
          <w:numId w:val="38"/>
        </w:numPr>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či sú jednotkové ceny identifikované na základe dôveryhodného prieskumu trhu</w:t>
      </w:r>
      <w:r w:rsidRPr="00FF5C24">
        <w:rPr>
          <w:rFonts w:ascii="Arial" w:hAnsi="Arial" w:cs="Arial"/>
          <w:color w:val="000000" w:themeColor="text1"/>
          <w:sz w:val="19"/>
          <w:szCs w:val="19"/>
          <w:lang w:val="sk-SK"/>
        </w:rPr>
        <w:t xml:space="preserve">/ prieskumu trhových cien, relevantného znaleckého posudku, uzatvorenej zmluvy, rozpočtu overeného autorizovanou osobou alebo iných podkladov. </w:t>
      </w:r>
    </w:p>
    <w:p w14:paraId="01C70616"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4B413CC1" w14:textId="77777777" w:rsidR="00621A84" w:rsidRDefault="00621A84" w:rsidP="00621A84">
      <w:pPr>
        <w:widowControl w:val="0"/>
        <w:autoSpaceDE w:val="0"/>
        <w:autoSpaceDN w:val="0"/>
        <w:adjustRightInd w:val="0"/>
        <w:spacing w:after="0" w:line="288" w:lineRule="auto"/>
        <w:jc w:val="both"/>
        <w:rPr>
          <w:rFonts w:ascii="Arial" w:hAnsi="Arial" w:cs="Arial"/>
          <w:sz w:val="19"/>
          <w:szCs w:val="19"/>
        </w:rPr>
      </w:pPr>
      <w:r w:rsidRPr="00E33F54">
        <w:rPr>
          <w:rFonts w:ascii="Arial" w:hAnsi="Arial" w:cs="Arial"/>
          <w:sz w:val="19"/>
          <w:szCs w:val="19"/>
        </w:rPr>
        <w:t>Hodnotiteľ vyhodnotí, či navrhnuté výdavky projektu spĺňajú podmienku hospodárnosti a efektívnosti a či zodpovedajú obvyklým cenám v danom mieste a čase</w:t>
      </w:r>
      <w:r>
        <w:rPr>
          <w:rFonts w:ascii="Arial" w:hAnsi="Arial" w:cs="Arial"/>
          <w:sz w:val="19"/>
          <w:szCs w:val="19"/>
        </w:rPr>
        <w:t xml:space="preserve"> </w:t>
      </w:r>
      <w:r w:rsidRPr="004F2105">
        <w:rPr>
          <w:rFonts w:ascii="Arial" w:hAnsi="Arial" w:cs="Arial"/>
          <w:sz w:val="19"/>
          <w:szCs w:val="19"/>
        </w:rPr>
        <w:t>preukázanými niektorým z vyššie uvedených spôsobov</w:t>
      </w:r>
      <w:r>
        <w:rPr>
          <w:rFonts w:ascii="Arial" w:hAnsi="Arial" w:cs="Arial"/>
          <w:sz w:val="19"/>
          <w:szCs w:val="19"/>
        </w:rPr>
        <w:t>.</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Pr>
          <w:rFonts w:ascii="Arial" w:hAnsi="Arial" w:cs="Arial"/>
          <w:sz w:val="19"/>
          <w:szCs w:val="19"/>
        </w:rPr>
        <w:t>percentuálne/</w:t>
      </w:r>
      <w:r w:rsidRPr="00E33F54">
        <w:rPr>
          <w:rFonts w:ascii="Arial" w:hAnsi="Arial" w:cs="Arial"/>
          <w:sz w:val="19"/>
          <w:szCs w:val="19"/>
        </w:rPr>
        <w:t xml:space="preserve">finančné limity a /alebo </w:t>
      </w:r>
      <w:r>
        <w:rPr>
          <w:rFonts w:ascii="Arial" w:hAnsi="Arial" w:cs="Arial"/>
          <w:sz w:val="19"/>
          <w:szCs w:val="19"/>
        </w:rPr>
        <w:t xml:space="preserve">benchmarky, </w:t>
      </w:r>
      <w:r w:rsidRPr="00E33F54">
        <w:rPr>
          <w:rFonts w:ascii="Arial" w:hAnsi="Arial" w:cs="Arial"/>
          <w:sz w:val="19"/>
          <w:szCs w:val="19"/>
        </w:rPr>
        <w:t xml:space="preserve">bude hodnotiť kritérium podľa zrealizovaného verejného </w:t>
      </w:r>
      <w:r>
        <w:rPr>
          <w:rFonts w:ascii="Arial" w:hAnsi="Arial" w:cs="Arial"/>
          <w:sz w:val="19"/>
          <w:szCs w:val="19"/>
        </w:rPr>
        <w:t>obstarávania, prieskumu trhu  a</w:t>
      </w:r>
      <w:r w:rsidRPr="00E33F54">
        <w:rPr>
          <w:rFonts w:ascii="Arial" w:hAnsi="Arial" w:cs="Arial"/>
          <w:sz w:val="19"/>
          <w:szCs w:val="19"/>
        </w:rPr>
        <w:t>/alebo podľa expertízneho posúdenia (</w:t>
      </w:r>
      <w:r>
        <w:rPr>
          <w:rFonts w:ascii="Arial" w:hAnsi="Arial" w:cs="Arial"/>
          <w:sz w:val="19"/>
          <w:szCs w:val="19"/>
        </w:rPr>
        <w:t xml:space="preserve">napr. </w:t>
      </w:r>
      <w:r w:rsidRPr="00E33F54">
        <w:rPr>
          <w:rFonts w:ascii="Arial" w:hAnsi="Arial" w:cs="Arial"/>
          <w:sz w:val="19"/>
          <w:szCs w:val="19"/>
        </w:rPr>
        <w:t>znalecký posudok)</w:t>
      </w:r>
      <w:r>
        <w:rPr>
          <w:rFonts w:ascii="Arial" w:hAnsi="Arial" w:cs="Arial"/>
          <w:sz w:val="19"/>
          <w:szCs w:val="19"/>
        </w:rPr>
        <w:t>, alebo iným spôsobom uvedeným v Príručke pre žiadateľa</w:t>
      </w:r>
      <w:r w:rsidRPr="00E33F54">
        <w:rPr>
          <w:rFonts w:ascii="Arial" w:hAnsi="Arial" w:cs="Arial"/>
          <w:sz w:val="19"/>
          <w:szCs w:val="19"/>
        </w:rPr>
        <w:t>. </w:t>
      </w:r>
    </w:p>
    <w:p w14:paraId="20C4A2E2"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Limit výdavkov</w:t>
      </w:r>
      <w:r>
        <w:rPr>
          <w:rFonts w:ascii="Arial" w:hAnsi="Arial" w:cs="Arial"/>
          <w:sz w:val="19"/>
          <w:szCs w:val="19"/>
        </w:rPr>
        <w:t xml:space="preserve"> </w:t>
      </w:r>
      <w:r w:rsidRPr="00E33F54">
        <w:rPr>
          <w:rFonts w:ascii="Arial" w:hAnsi="Arial" w:cs="Arial"/>
          <w:sz w:val="19"/>
          <w:szCs w:val="19"/>
        </w:rPr>
        <w:t>je definovaný ako maximálny limit  na úrovni:</w:t>
      </w:r>
    </w:p>
    <w:p w14:paraId="32A98414" w14:textId="77777777" w:rsidR="00621A84" w:rsidRPr="00E33F54" w:rsidRDefault="00621A84" w:rsidP="00621A84">
      <w:pPr>
        <w:pStyle w:val="Odsekzoznamu"/>
        <w:widowControl w:val="0"/>
        <w:numPr>
          <w:ilvl w:val="0"/>
          <w:numId w:val="3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publicitu)</w:t>
      </w:r>
      <w:r>
        <w:rPr>
          <w:rFonts w:ascii="Arial" w:hAnsi="Arial" w:cs="Arial"/>
          <w:sz w:val="19"/>
          <w:szCs w:val="19"/>
          <w:lang w:val="sk-SK"/>
        </w:rPr>
        <w:t>,</w:t>
      </w:r>
    </w:p>
    <w:p w14:paraId="2C3CD426" w14:textId="77777777" w:rsidR="00621A84" w:rsidRDefault="00621A84" w:rsidP="00621A84">
      <w:pPr>
        <w:pStyle w:val="Odsekzoznamu"/>
        <w:widowControl w:val="0"/>
        <w:numPr>
          <w:ilvl w:val="0"/>
          <w:numId w:val="3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r>
        <w:rPr>
          <w:rFonts w:ascii="Arial" w:hAnsi="Arial" w:cs="Arial"/>
          <w:sz w:val="19"/>
          <w:szCs w:val="19"/>
          <w:lang w:val="sk-SK"/>
        </w:rPr>
        <w:t>.</w:t>
      </w:r>
    </w:p>
    <w:p w14:paraId="34A38A53"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V prípade finančných limitov, ktoré sa vzťahujú na konkrétne typy výdavkov (napr. informačná tabuľa a pod.), sú stanovené konkrétne hodnoty v prílohe 5 výzvy a v prílohe 2.b Príručky pre žiadateľa IROP</w:t>
      </w:r>
      <w:r w:rsidRPr="005D63D4">
        <w:rPr>
          <w:rFonts w:ascii="Arial" w:hAnsi="Arial" w:cs="Arial"/>
          <w:b/>
          <w:sz w:val="19"/>
          <w:szCs w:val="19"/>
        </w:rPr>
        <w:t>. V prípade prekročenia stanovených finančných limitov</w:t>
      </w:r>
      <w:r w:rsidRPr="005D63D4">
        <w:rPr>
          <w:rFonts w:ascii="Arial" w:hAnsi="Arial" w:cs="Arial"/>
          <w:sz w:val="19"/>
          <w:szCs w:val="19"/>
        </w:rPr>
        <w:t xml:space="preserve"> hodnotiteľ vyhodnotí výdavky nad stanovený limit ako neoprávnené a bude adekvátne znížená výška výdavku do úrovne limitu.</w:t>
      </w:r>
    </w:p>
    <w:p w14:paraId="3AE0C830" w14:textId="53EDCBDF" w:rsidR="00621A8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Prieskum trhu/prieskum trhových cien</w:t>
      </w:r>
      <w:r w:rsidRPr="004F2105">
        <w:rPr>
          <w:rFonts w:ascii="Arial" w:hAnsi="Arial" w:cs="Arial"/>
          <w:sz w:val="19"/>
          <w:szCs w:val="19"/>
        </w:rPr>
        <w:t> </w:t>
      </w:r>
      <w:r w:rsidRPr="00E33F54">
        <w:rPr>
          <w:rFonts w:ascii="Arial" w:hAnsi="Arial" w:cs="Arial"/>
          <w:sz w:val="19"/>
          <w:szCs w:val="19"/>
        </w:rPr>
        <w:t xml:space="preserve">je definovaný ako činnosť, pri ktorej žiadateľ zistí a vyhodnotí  informácie o aktuálnych cenách  tovarov, prác alebo služieb na trhu v danom čase a v danom mieste.  </w:t>
      </w:r>
      <w:r w:rsidRPr="004F2105">
        <w:rPr>
          <w:rFonts w:ascii="Arial" w:hAnsi="Arial" w:cs="Arial"/>
          <w:sz w:val="19"/>
          <w:szCs w:val="19"/>
        </w:rPr>
        <w:t>Prieskum trhových cien sa vykonáva  s cieľom stanovenia cien v rozpočte projektu. Prieskum trhu sa vykonáva za účelom získania PHZ a predkladá sa v prípade, že VO v čase predloženia žiadosti o NFP nebolo ukončené</w:t>
      </w:r>
      <w:r>
        <w:rPr>
          <w:rFonts w:ascii="Arial" w:hAnsi="Arial" w:cs="Arial"/>
          <w:sz w:val="19"/>
          <w:szCs w:val="19"/>
        </w:rPr>
        <w:t>.</w:t>
      </w:r>
    </w:p>
    <w:p w14:paraId="5C6CB36D"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 xml:space="preserve">V prípade </w:t>
      </w:r>
      <w:r w:rsidRPr="005D63D4">
        <w:rPr>
          <w:rFonts w:ascii="Arial" w:hAnsi="Arial" w:cs="Arial"/>
          <w:b/>
          <w:sz w:val="19"/>
          <w:szCs w:val="19"/>
        </w:rPr>
        <w:t>zrealizovaného verejného obstarávania</w:t>
      </w:r>
      <w:r w:rsidRPr="005D63D4">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512C47AB" w14:textId="77777777" w:rsidR="00621A84" w:rsidRDefault="00621A84" w:rsidP="00621A84">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2AC65A9E"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E33F54">
        <w:rPr>
          <w:rFonts w:ascii="Arial" w:hAnsi="Arial" w:cs="Arial"/>
          <w:sz w:val="19"/>
          <w:szCs w:val="19"/>
        </w:rPr>
        <w:lastRenderedPageBreak/>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Pr="004F2105">
        <w:rPr>
          <w:rFonts w:ascii="Arial" w:hAnsi="Arial" w:cs="Arial"/>
          <w:sz w:val="19"/>
          <w:szCs w:val="19"/>
        </w:rPr>
        <w:t xml:space="preserve"> (v závislosti od typu výdavkov)</w:t>
      </w:r>
      <w:r w:rsidRPr="00E33F54">
        <w:rPr>
          <w:rFonts w:ascii="Arial" w:hAnsi="Arial" w:cs="Arial"/>
          <w:sz w:val="19"/>
          <w:szCs w:val="19"/>
        </w:rPr>
        <w:t>.</w:t>
      </w:r>
    </w:p>
    <w:p w14:paraId="168F1DA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w:t>
      </w:r>
      <w:r>
        <w:rPr>
          <w:rFonts w:ascii="Arial" w:eastAsiaTheme="minorHAnsi" w:hAnsi="Arial" w:cs="Arial"/>
          <w:color w:val="000000" w:themeColor="text1"/>
          <w:sz w:val="19"/>
          <w:szCs w:val="19"/>
          <w:bdr w:val="none" w:sz="0" w:space="0" w:color="auto"/>
          <w:lang w:val="sk-SK"/>
        </w:rPr>
        <w:t>,</w:t>
      </w:r>
      <w:r w:rsidRPr="008A52DD">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0B71DA6D" w14:textId="77777777" w:rsidR="00621A84" w:rsidRPr="00FF5C24" w:rsidRDefault="00621A84" w:rsidP="00621A84">
      <w:pPr>
        <w:pStyle w:val="Predvolen"/>
        <w:spacing w:after="60" w:line="288" w:lineRule="auto"/>
        <w:ind w:right="-2"/>
        <w:jc w:val="both"/>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Pr="00FF5C24">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 Ak identifikované </w:t>
      </w:r>
      <w:r w:rsidRPr="00FF5C24">
        <w:rPr>
          <w:rFonts w:ascii="Arial" w:hAnsi="Arial" w:cs="Arial"/>
          <w:color w:val="auto"/>
          <w:sz w:val="19"/>
          <w:szCs w:val="19"/>
          <w:lang w:val="sk-SK"/>
        </w:rPr>
        <w:t xml:space="preserve">vecne neoprávnené výdavky tvoria viac ako 30% </w:t>
      </w:r>
      <w:r w:rsidRPr="00FF5C24">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29D54F02"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7744B72C"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2233FCB6"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9B070E">
        <w:rPr>
          <w:rFonts w:ascii="Arial" w:hAnsi="Arial" w:cs="Arial"/>
          <w:sz w:val="19"/>
          <w:szCs w:val="19"/>
        </w:rPr>
        <w:t xml:space="preserve">Hodnotiteľ je povinný popísať a uviesť v časti Komentár </w:t>
      </w:r>
      <w:r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ich podloží aj s odvolaním sa na konkrétne pravidlá, t.j. konkrétne číselné hodnoty posudzovaných finančných limitov, benchmarkov, percentuálnych limitov, iných výdavkov, resp. odvolaním sa na konkrétne právne predpisy (tam, kde je to relevantné) atď., ktoré boli posudzované v rámci overovania efektívnosti a hospodárnosti výdavkov a uvedie výsledok posúdenia. </w:t>
      </w:r>
      <w:r w:rsidRPr="003C6DE1">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3F7290FB"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2930D63C"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01F4EA22" w14:textId="6FF1E6AE" w:rsidR="005B5940" w:rsidRPr="00F93B3F"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u w:color="000000"/>
        </w:rPr>
      </w:pPr>
      <w:r w:rsidRPr="005B5940">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u w:color="000000"/>
        </w:rPr>
        <w:tab/>
      </w:r>
    </w:p>
    <w:tbl>
      <w:tblPr>
        <w:tblStyle w:val="TableGrid6"/>
        <w:tblW w:w="15304" w:type="dxa"/>
        <w:tblLayout w:type="fixed"/>
        <w:tblLook w:val="04A0" w:firstRow="1" w:lastRow="0" w:firstColumn="1" w:lastColumn="0" w:noHBand="0" w:noVBand="1"/>
      </w:tblPr>
      <w:tblGrid>
        <w:gridCol w:w="606"/>
        <w:gridCol w:w="2083"/>
        <w:gridCol w:w="5216"/>
        <w:gridCol w:w="1162"/>
        <w:gridCol w:w="851"/>
        <w:gridCol w:w="5386"/>
      </w:tblGrid>
      <w:tr w:rsidR="00D67CD2" w:rsidRPr="00E60372" w14:paraId="13815979" w14:textId="77777777" w:rsidTr="00FF5C24">
        <w:trPr>
          <w:trHeight w:val="2031"/>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78E27AAB" w14:textId="5F114ED2"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4.3</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388ED28" w14:textId="3609A4E8" w:rsidR="00D67CD2" w:rsidRPr="00E60372" w:rsidRDefault="00D67CD2" w:rsidP="007735BD">
            <w:pPr>
              <w:rPr>
                <w:rFonts w:ascii="Arial" w:hAnsi="Arial" w:cs="Arial"/>
                <w:color w:val="000000" w:themeColor="text1"/>
                <w:sz w:val="19"/>
                <w:szCs w:val="19"/>
              </w:rPr>
            </w:pPr>
            <w:r w:rsidRPr="00E60372">
              <w:rPr>
                <w:rFonts w:ascii="Arial" w:hAnsi="Arial" w:cs="Arial"/>
                <w:color w:val="000000" w:themeColor="text1"/>
                <w:sz w:val="19"/>
                <w:szCs w:val="19"/>
              </w:rPr>
              <w:t>Finančná udržateľnosť projektu</w:t>
            </w:r>
          </w:p>
        </w:tc>
        <w:tc>
          <w:tcPr>
            <w:tcW w:w="5216" w:type="dxa"/>
            <w:vMerge w:val="restart"/>
            <w:tcBorders>
              <w:top w:val="single" w:sz="4" w:space="0" w:color="auto"/>
              <w:left w:val="single" w:sz="4" w:space="0" w:color="auto"/>
              <w:bottom w:val="single" w:sz="4" w:space="0" w:color="auto"/>
              <w:right w:val="single" w:sz="4" w:space="0" w:color="auto"/>
            </w:tcBorders>
            <w:vAlign w:val="center"/>
          </w:tcPr>
          <w:p w14:paraId="2B083139" w14:textId="77777777" w:rsidR="00D67CD2" w:rsidRPr="00E60372" w:rsidRDefault="00D67CD2" w:rsidP="007735BD">
            <w:pPr>
              <w:widowControl w:val="0"/>
              <w:rPr>
                <w:rFonts w:ascii="Arial" w:eastAsia="Arial Unicode MS"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 xml:space="preserve">Posudzuje sa zabezpečenie udržateľnosti projektu, t.j. finančného krytia prevádzky projektu (CF - cash </w:t>
            </w:r>
            <w:proofErr w:type="spellStart"/>
            <w:r w:rsidRPr="00E60372">
              <w:rPr>
                <w:rFonts w:ascii="Arial" w:eastAsia="Arial Unicode MS" w:hAnsi="Arial" w:cs="Arial"/>
                <w:color w:val="000000" w:themeColor="text1"/>
                <w:sz w:val="19"/>
                <w:szCs w:val="19"/>
                <w:u w:color="000000"/>
              </w:rPr>
              <w:t>flow</w:t>
            </w:r>
            <w:proofErr w:type="spellEnd"/>
            <w:r w:rsidRPr="00E60372">
              <w:rPr>
                <w:rFonts w:ascii="Arial" w:eastAsia="Arial Unicode MS" w:hAnsi="Arial" w:cs="Arial"/>
                <w:color w:val="000000" w:themeColor="text1"/>
                <w:sz w:val="19"/>
                <w:szCs w:val="19"/>
                <w:u w:color="000000"/>
              </w:rPr>
              <w:t>) počas celého obdobia udržateľnosti projektu podľa čl. 71 všeobecného nariadenia.</w:t>
            </w:r>
          </w:p>
          <w:p w14:paraId="7455227C" w14:textId="77777777" w:rsidR="00D67CD2" w:rsidRPr="00E60372" w:rsidRDefault="00D67CD2" w:rsidP="007735BD">
            <w:pPr>
              <w:widowControl w:val="0"/>
              <w:rPr>
                <w:rFonts w:ascii="Arial" w:eastAsia="Arial Unicode MS"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5669DD81" w14:textId="0118D388" w:rsidR="00D67CD2" w:rsidRPr="00E60372" w:rsidRDefault="00D67CD2" w:rsidP="007735BD">
            <w:pPr>
              <w:widowControl w:val="0"/>
              <w:rPr>
                <w:rFonts w:ascii="Arial"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 xml:space="preserve">Zároveň sa </w:t>
            </w:r>
            <w:r w:rsidRPr="00E60372">
              <w:rPr>
                <w:rFonts w:ascii="Arial" w:hAnsi="Arial" w:cs="Arial"/>
                <w:color w:val="000000" w:themeColor="text1"/>
                <w:sz w:val="19"/>
                <w:szCs w:val="19"/>
                <w:u w:color="000000"/>
              </w:rPr>
              <w:t xml:space="preserve">posudzuje finančná situácia/stabilita žiadateľa a to podľa vypočítaných hodnôt finančných ukazovateľov v rámci finančnej analýzy (napr. v prípade verejného sektora </w:t>
            </w:r>
            <w:r w:rsidRPr="00E60372">
              <w:rPr>
                <w:rFonts w:ascii="Arial" w:hAnsi="Arial" w:cs="Arial"/>
                <w:color w:val="000000" w:themeColor="text1"/>
                <w:sz w:val="19"/>
                <w:szCs w:val="19"/>
                <w:u w:color="000000"/>
              </w:rPr>
              <w:lastRenderedPageBreak/>
              <w:t xml:space="preserve">na základe ukazovateľa likvidity a ukazovateľa zadlženosti, v prípade súkromného sektora na základe modelu hodnotenia firmy, napr. </w:t>
            </w:r>
            <w:proofErr w:type="spellStart"/>
            <w:r w:rsidRPr="00E60372">
              <w:rPr>
                <w:rFonts w:ascii="Arial" w:hAnsi="Arial" w:cs="Arial"/>
                <w:color w:val="000000" w:themeColor="text1"/>
                <w:sz w:val="19"/>
                <w:szCs w:val="19"/>
                <w:u w:color="000000"/>
              </w:rPr>
              <w:t>Altmanov</w:t>
            </w:r>
            <w:proofErr w:type="spellEnd"/>
            <w:r w:rsidRPr="00E60372">
              <w:rPr>
                <w:rFonts w:ascii="Arial" w:hAnsi="Arial" w:cs="Arial"/>
                <w:color w:val="000000" w:themeColor="text1"/>
                <w:sz w:val="19"/>
                <w:szCs w:val="19"/>
                <w:u w:color="000000"/>
              </w:rPr>
              <w:t xml:space="preserve"> index, index bonity).</w:t>
            </w:r>
          </w:p>
        </w:tc>
        <w:tc>
          <w:tcPr>
            <w:tcW w:w="1162" w:type="dxa"/>
            <w:vMerge w:val="restart"/>
            <w:tcBorders>
              <w:top w:val="single" w:sz="4" w:space="0" w:color="auto"/>
              <w:left w:val="single" w:sz="4" w:space="0" w:color="auto"/>
              <w:bottom w:val="single" w:sz="4" w:space="0" w:color="auto"/>
              <w:right w:val="single" w:sz="4" w:space="0" w:color="auto"/>
            </w:tcBorders>
            <w:vAlign w:val="center"/>
          </w:tcPr>
          <w:p w14:paraId="36638FD5" w14:textId="3077ABD9"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lastRenderedPageBreak/>
              <w:t>Vylučujúce kritérium</w:t>
            </w:r>
          </w:p>
        </w:tc>
        <w:tc>
          <w:tcPr>
            <w:tcW w:w="851" w:type="dxa"/>
            <w:tcBorders>
              <w:top w:val="single" w:sz="4" w:space="0" w:color="auto"/>
              <w:left w:val="single" w:sz="4" w:space="0" w:color="auto"/>
              <w:right w:val="single" w:sz="4" w:space="0" w:color="auto"/>
            </w:tcBorders>
            <w:vAlign w:val="center"/>
          </w:tcPr>
          <w:p w14:paraId="24919C6C" w14:textId="7A087A72"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áno</w:t>
            </w:r>
          </w:p>
        </w:tc>
        <w:tc>
          <w:tcPr>
            <w:tcW w:w="5386" w:type="dxa"/>
            <w:tcBorders>
              <w:top w:val="single" w:sz="4" w:space="0" w:color="auto"/>
              <w:left w:val="single" w:sz="4" w:space="0" w:color="auto"/>
              <w:right w:val="single" w:sz="4" w:space="0" w:color="auto"/>
            </w:tcBorders>
            <w:vAlign w:val="center"/>
          </w:tcPr>
          <w:p w14:paraId="5AFC1368" w14:textId="57C9F2FB" w:rsidR="00D67CD2" w:rsidRPr="00E60372" w:rsidRDefault="00D67CD2" w:rsidP="007735BD">
            <w:pPr>
              <w:rPr>
                <w:rFonts w:ascii="Arial" w:eastAsia="Helvetica" w:hAnsi="Arial" w:cs="Arial"/>
                <w:color w:val="000000" w:themeColor="text1"/>
                <w:sz w:val="19"/>
                <w:szCs w:val="19"/>
              </w:rPr>
            </w:pPr>
            <w:r w:rsidRPr="00E60372">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D67CD2" w:rsidRPr="00E60372" w14:paraId="19E30414" w14:textId="77777777" w:rsidTr="00FF5C24">
        <w:trPr>
          <w:trHeight w:val="185"/>
        </w:trPr>
        <w:tc>
          <w:tcPr>
            <w:tcW w:w="606" w:type="dxa"/>
            <w:vMerge/>
            <w:tcBorders>
              <w:top w:val="single" w:sz="4" w:space="0" w:color="auto"/>
              <w:left w:val="single" w:sz="4" w:space="0" w:color="auto"/>
              <w:bottom w:val="single" w:sz="4" w:space="0" w:color="auto"/>
              <w:right w:val="single" w:sz="4" w:space="0" w:color="auto"/>
            </w:tcBorders>
            <w:vAlign w:val="center"/>
          </w:tcPr>
          <w:p w14:paraId="6A58D867" w14:textId="77777777" w:rsidR="00D67CD2" w:rsidRPr="00E60372"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D72E7B1" w14:textId="77777777" w:rsidR="00D67CD2" w:rsidRPr="00E60372" w:rsidRDefault="00D67CD2" w:rsidP="007735BD">
            <w:pPr>
              <w:rPr>
                <w:rFonts w:ascii="Arial" w:hAnsi="Arial" w:cs="Arial"/>
                <w:color w:val="000000" w:themeColor="text1"/>
                <w:sz w:val="19"/>
                <w:szCs w:val="19"/>
              </w:rPr>
            </w:pPr>
          </w:p>
        </w:tc>
        <w:tc>
          <w:tcPr>
            <w:tcW w:w="5216" w:type="dxa"/>
            <w:vMerge/>
            <w:tcBorders>
              <w:top w:val="single" w:sz="4" w:space="0" w:color="auto"/>
              <w:left w:val="single" w:sz="4" w:space="0" w:color="auto"/>
              <w:bottom w:val="single" w:sz="4" w:space="0" w:color="auto"/>
              <w:right w:val="single" w:sz="4" w:space="0" w:color="auto"/>
            </w:tcBorders>
            <w:vAlign w:val="center"/>
          </w:tcPr>
          <w:p w14:paraId="6C2F704D" w14:textId="77777777" w:rsidR="00D67CD2" w:rsidRPr="00E60372" w:rsidRDefault="00D67CD2" w:rsidP="007735BD">
            <w:pPr>
              <w:rPr>
                <w:rFonts w:ascii="Arial" w:hAnsi="Arial" w:cs="Arial"/>
                <w:color w:val="000000" w:themeColor="text1"/>
                <w:sz w:val="19"/>
                <w:szCs w:val="19"/>
                <w:u w:color="000000"/>
              </w:rPr>
            </w:pPr>
          </w:p>
        </w:tc>
        <w:tc>
          <w:tcPr>
            <w:tcW w:w="1162" w:type="dxa"/>
            <w:vMerge/>
            <w:tcBorders>
              <w:top w:val="single" w:sz="4" w:space="0" w:color="auto"/>
              <w:left w:val="single" w:sz="4" w:space="0" w:color="auto"/>
              <w:bottom w:val="single" w:sz="4" w:space="0" w:color="auto"/>
              <w:right w:val="single" w:sz="4" w:space="0" w:color="auto"/>
            </w:tcBorders>
            <w:vAlign w:val="center"/>
          </w:tcPr>
          <w:p w14:paraId="72F435AD" w14:textId="77777777" w:rsidR="00D67CD2" w:rsidRPr="00E60372" w:rsidRDefault="00D67CD2" w:rsidP="007735BD">
            <w:pPr>
              <w:jc w:val="center"/>
              <w:rPr>
                <w:rFonts w:ascii="Arial" w:hAnsi="Arial" w:cs="Arial"/>
                <w:color w:val="000000" w:themeColor="text1"/>
                <w:sz w:val="19"/>
                <w:szCs w:val="19"/>
              </w:rPr>
            </w:pPr>
          </w:p>
        </w:tc>
        <w:tc>
          <w:tcPr>
            <w:tcW w:w="851" w:type="dxa"/>
            <w:tcBorders>
              <w:top w:val="single" w:sz="4" w:space="0" w:color="auto"/>
              <w:left w:val="single" w:sz="4" w:space="0" w:color="auto"/>
              <w:bottom w:val="single" w:sz="4" w:space="0" w:color="auto"/>
              <w:right w:val="single" w:sz="4" w:space="0" w:color="auto"/>
            </w:tcBorders>
            <w:vAlign w:val="center"/>
          </w:tcPr>
          <w:p w14:paraId="1DBC29DB" w14:textId="0680A7E3"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nie</w:t>
            </w:r>
          </w:p>
        </w:tc>
        <w:tc>
          <w:tcPr>
            <w:tcW w:w="5386" w:type="dxa"/>
            <w:tcBorders>
              <w:top w:val="single" w:sz="4" w:space="0" w:color="auto"/>
              <w:left w:val="single" w:sz="4" w:space="0" w:color="auto"/>
              <w:bottom w:val="single" w:sz="4" w:space="0" w:color="auto"/>
              <w:right w:val="single" w:sz="4" w:space="0" w:color="auto"/>
            </w:tcBorders>
            <w:vAlign w:val="center"/>
          </w:tcPr>
          <w:p w14:paraId="569E81B6" w14:textId="10B56544"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w:t>
            </w:r>
            <w:r w:rsidRPr="00E60372">
              <w:rPr>
                <w:rFonts w:ascii="Arial" w:eastAsia="Helvetica" w:hAnsi="Arial" w:cs="Arial"/>
                <w:color w:val="000000" w:themeColor="text1"/>
                <w:sz w:val="19"/>
                <w:szCs w:val="19"/>
              </w:rPr>
              <w:lastRenderedPageBreak/>
              <w:t xml:space="preserve">zdroje/spôsoby finančného krytia prevádzky (napr. preukázaný záväzok samosprávy dofinancovať prevádzku projektu).  </w:t>
            </w:r>
            <w:r w:rsidRPr="00E60372">
              <w:rPr>
                <w:rFonts w:ascii="Arial" w:eastAsia="Arial Unicode MS" w:hAnsi="Arial" w:cs="Arial"/>
                <w:color w:val="000000" w:themeColor="text1"/>
                <w:sz w:val="19"/>
                <w:szCs w:val="19"/>
                <w:u w:color="000000"/>
              </w:rPr>
              <w:t>Finančná situácia žiadateľa je zlá a predstavuje riziko pre realizáciu projektu.</w:t>
            </w:r>
          </w:p>
        </w:tc>
      </w:tr>
    </w:tbl>
    <w:p w14:paraId="019097AD" w14:textId="195DBFA7" w:rsidR="00621A84" w:rsidRPr="00E60372" w:rsidRDefault="00621A84" w:rsidP="00FF5C24">
      <w:pPr>
        <w:rPr>
          <w:rFonts w:ascii="Arial" w:hAnsi="Arial" w:cs="Arial"/>
          <w:color w:val="000000" w:themeColor="text1"/>
          <w:sz w:val="19"/>
          <w:szCs w:val="19"/>
        </w:rPr>
      </w:pPr>
      <w:r w:rsidRPr="00E60372">
        <w:rPr>
          <w:rFonts w:ascii="Arial" w:hAnsi="Arial" w:cs="Arial"/>
          <w:color w:val="000000" w:themeColor="text1"/>
          <w:sz w:val="19"/>
          <w:szCs w:val="19"/>
        </w:rPr>
        <w:lastRenderedPageBreak/>
        <w:t>Hodnotiteľ posudzuje najmä informácie uvedené v častiach ŽoNFP: príloha Index finančnej situácie žiadateľa</w:t>
      </w:r>
      <w:r w:rsidR="001D4456">
        <w:rPr>
          <w:rFonts w:ascii="Arial" w:hAnsi="Arial" w:cs="Arial"/>
          <w:color w:val="000000" w:themeColor="text1"/>
          <w:sz w:val="19"/>
          <w:szCs w:val="19"/>
        </w:rPr>
        <w:t xml:space="preserve"> a príloha </w:t>
      </w:r>
      <w:r w:rsidR="001D4456" w:rsidRPr="001B7F89">
        <w:rPr>
          <w:rFonts w:ascii="Arial" w:hAnsi="Arial" w:cs="Arial"/>
          <w:color w:val="000000" w:themeColor="text1"/>
          <w:sz w:val="19"/>
          <w:szCs w:val="19"/>
        </w:rPr>
        <w:t>Finančná udržateľnosť projektu</w:t>
      </w:r>
      <w:r w:rsidRPr="00E60372">
        <w:rPr>
          <w:rFonts w:ascii="Arial" w:hAnsi="Arial" w:cs="Arial"/>
          <w:color w:val="000000" w:themeColor="text1"/>
          <w:sz w:val="19"/>
          <w:szCs w:val="19"/>
        </w:rPr>
        <w:t xml:space="preserve">. </w:t>
      </w:r>
      <w:r w:rsidRPr="00E60372">
        <w:rPr>
          <w:rFonts w:ascii="Arial" w:hAnsi="Arial" w:cs="Arial"/>
          <w:b/>
          <w:color w:val="000000" w:themeColor="text1"/>
          <w:sz w:val="19"/>
          <w:szCs w:val="19"/>
        </w:rPr>
        <w:t>Hodnotiteľ posudzuje údaje za rok n.</w:t>
      </w:r>
      <w:r w:rsidRPr="00E60372">
        <w:rPr>
          <w:rFonts w:ascii="Arial" w:hAnsi="Arial" w:cs="Arial"/>
          <w:color w:val="000000" w:themeColor="text1"/>
          <w:sz w:val="19"/>
          <w:szCs w:val="19"/>
        </w:rPr>
        <w:t xml:space="preserve"> </w:t>
      </w:r>
    </w:p>
    <w:p w14:paraId="2317825E" w14:textId="77777777" w:rsidR="00621A84" w:rsidRPr="004E7F22" w:rsidRDefault="00621A84" w:rsidP="00621A84">
      <w:pPr>
        <w:spacing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w:t>
      </w:r>
      <w:proofErr w:type="spellStart"/>
      <w:r w:rsidRPr="00E60372">
        <w:rPr>
          <w:rFonts w:ascii="Arial" w:hAnsi="Arial" w:cs="Arial"/>
          <w:color w:val="000000" w:themeColor="text1"/>
          <w:sz w:val="19"/>
          <w:szCs w:val="19"/>
        </w:rPr>
        <w:t>flow</w:t>
      </w:r>
      <w:proofErr w:type="spellEnd"/>
      <w:r w:rsidRPr="00E60372">
        <w:rPr>
          <w:rFonts w:ascii="Arial" w:hAnsi="Arial" w:cs="Arial"/>
          <w:color w:val="000000" w:themeColor="text1"/>
          <w:sz w:val="19"/>
          <w:szCs w:val="19"/>
        </w:rPr>
        <w:t xml:space="preserve"> z finančnej analýzy</w:t>
      </w:r>
      <w:r w:rsidRPr="004E7F22">
        <w:rPr>
          <w:rFonts w:ascii="Arial" w:hAnsi="Arial" w:cs="Arial"/>
          <w:color w:val="000000" w:themeColor="text1"/>
          <w:sz w:val="19"/>
          <w:szCs w:val="19"/>
        </w:rPr>
        <w:t xml:space="preserve">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59189544" w14:textId="77777777" w:rsidR="00621A84" w:rsidRPr="004E7F22" w:rsidRDefault="00621A84" w:rsidP="00621A84">
      <w:pPr>
        <w:spacing w:after="120" w:line="288" w:lineRule="auto"/>
        <w:rPr>
          <w:rFonts w:ascii="Arial" w:hAnsi="Arial" w:cs="Arial"/>
          <w:b/>
          <w:color w:val="000000" w:themeColor="text1"/>
          <w:sz w:val="19"/>
          <w:szCs w:val="19"/>
        </w:rPr>
      </w:pPr>
      <w:r w:rsidRPr="004E7F22">
        <w:rPr>
          <w:rFonts w:ascii="Arial" w:hAnsi="Arial" w:cs="Arial"/>
          <w:b/>
          <w:color w:val="000000" w:themeColor="text1"/>
          <w:sz w:val="19"/>
          <w:szCs w:val="19"/>
        </w:rPr>
        <w:t>Posúdenie cash-</w:t>
      </w:r>
      <w:proofErr w:type="spellStart"/>
      <w:r w:rsidRPr="004E7F22">
        <w:rPr>
          <w:rFonts w:ascii="Arial" w:hAnsi="Arial" w:cs="Arial"/>
          <w:b/>
          <w:color w:val="000000" w:themeColor="text1"/>
          <w:sz w:val="19"/>
          <w:szCs w:val="19"/>
        </w:rPr>
        <w:t>flow</w:t>
      </w:r>
      <w:proofErr w:type="spellEnd"/>
      <w:r w:rsidRPr="004E7F22">
        <w:rPr>
          <w:rFonts w:ascii="Arial" w:hAnsi="Arial" w:cs="Arial"/>
          <w:b/>
          <w:color w:val="000000" w:themeColor="text1"/>
          <w:sz w:val="19"/>
          <w:szCs w:val="19"/>
        </w:rPr>
        <w:t xml:space="preserve"> projektu – finančná analýza</w:t>
      </w:r>
    </w:p>
    <w:p w14:paraId="1F232B78" w14:textId="1E726A1B"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 xml:space="preserve">Hodnotiteľ posudzuje správnosť výpočtu a samotnú hodnotu kumulovaného „cash </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(t.j. peňažného toku) v každom roku referenčného obdobia udržateľnosti projektu (analýza peňažných toko</w:t>
      </w:r>
      <w:r w:rsidR="00E60372">
        <w:rPr>
          <w:rFonts w:ascii="Arial" w:eastAsiaTheme="minorHAnsi" w:hAnsi="Arial" w:cs="Arial"/>
          <w:color w:val="000000" w:themeColor="text1"/>
          <w:sz w:val="19"/>
          <w:szCs w:val="19"/>
          <w:bdr w:val="none" w:sz="0" w:space="0" w:color="auto"/>
          <w:lang w:val="sk-SK"/>
        </w:rPr>
        <w:t>v je súčasťou finančnej analýzy</w:t>
      </w:r>
      <w:r w:rsidR="00366DF7">
        <w:rPr>
          <w:rFonts w:ascii="Arial" w:eastAsiaTheme="minorHAnsi" w:hAnsi="Arial" w:cs="Arial"/>
          <w:color w:val="000000" w:themeColor="text1"/>
          <w:sz w:val="19"/>
          <w:szCs w:val="19"/>
          <w:bdr w:val="none" w:sz="0" w:space="0" w:color="auto"/>
          <w:lang w:val="sk-SK"/>
        </w:rPr>
        <w:t xml:space="preserve"> resp. </w:t>
      </w:r>
      <w:r w:rsidR="00B80C91">
        <w:rPr>
          <w:rFonts w:ascii="Arial" w:eastAsiaTheme="minorHAnsi" w:hAnsi="Arial" w:cs="Arial"/>
          <w:color w:val="000000" w:themeColor="text1"/>
          <w:sz w:val="19"/>
          <w:szCs w:val="19"/>
          <w:bdr w:val="none" w:sz="0" w:space="0" w:color="auto"/>
          <w:lang w:val="sk-SK"/>
        </w:rPr>
        <w:t xml:space="preserve">príloha </w:t>
      </w:r>
      <w:r w:rsidR="001D4456" w:rsidRPr="001B7F89">
        <w:rPr>
          <w:rFonts w:ascii="Arial" w:eastAsiaTheme="minorHAnsi" w:hAnsi="Arial" w:cs="Arial"/>
          <w:color w:val="000000" w:themeColor="text1"/>
          <w:sz w:val="19"/>
          <w:szCs w:val="19"/>
          <w:bdr w:val="none" w:sz="0" w:space="0" w:color="auto"/>
          <w:lang w:val="sk-SK"/>
        </w:rPr>
        <w:t>Finančná udržateľnosť projektu</w:t>
      </w:r>
      <w:r w:rsidRPr="004E7F22">
        <w:rPr>
          <w:rFonts w:ascii="Arial" w:eastAsiaTheme="minorHAnsi" w:hAnsi="Arial" w:cs="Arial"/>
          <w:color w:val="000000" w:themeColor="text1"/>
          <w:sz w:val="19"/>
          <w:szCs w:val="19"/>
          <w:bdr w:val="none" w:sz="0" w:space="0" w:color="auto"/>
          <w:lang w:val="sk-SK"/>
        </w:rPr>
        <w:t>). V prípade nesprávneho výpočtu, resp. nejasností hodnotiteľ požiada žiadateľa o doplnenie/vysvetlenie.</w:t>
      </w:r>
    </w:p>
    <w:p w14:paraId="2347654D"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 xml:space="preserve">Poznámka: záporná hodnota „cash </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môže byť prirodzeným javom pri niektorých typoch projektov, najmä v prvom roku udržateľnosti projektu. Záporná hodnota „cash </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v prvom roku finančnej analýzy preto nie je sama o sebe dôvodom na pridelenie hodnotenia „nie“.</w:t>
      </w:r>
    </w:p>
    <w:p w14:paraId="0505F220"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w:t>
      </w:r>
      <w:proofErr w:type="spellStart"/>
      <w:r w:rsidRPr="004E7F22">
        <w:rPr>
          <w:rFonts w:ascii="Arial" w:eastAsiaTheme="minorHAnsi" w:hAnsi="Arial" w:cs="Arial"/>
          <w:b/>
          <w:color w:val="000000" w:themeColor="text1"/>
          <w:sz w:val="19"/>
          <w:szCs w:val="19"/>
          <w:bdr w:val="none" w:sz="0" w:space="0" w:color="auto"/>
          <w:lang w:val="sk-SK"/>
        </w:rPr>
        <w:t>flow</w:t>
      </w:r>
      <w:proofErr w:type="spellEnd"/>
      <w:r w:rsidRPr="004E7F22">
        <w:rPr>
          <w:rFonts w:ascii="Arial" w:eastAsiaTheme="minorHAnsi" w:hAnsi="Arial" w:cs="Arial"/>
          <w:b/>
          <w:color w:val="000000" w:themeColor="text1"/>
          <w:sz w:val="19"/>
          <w:szCs w:val="19"/>
          <w:bdr w:val="none" w:sz="0" w:space="0" w:color="auto"/>
          <w:lang w:val="sk-SK"/>
        </w:rPr>
        <w:t xml:space="preserve"> počas celej doby udržateľnosti projektu (s výnimkou prvého roku) a v prípade záporných hodnôt cash-</w:t>
      </w:r>
      <w:proofErr w:type="spellStart"/>
      <w:r w:rsidRPr="004E7F22">
        <w:rPr>
          <w:rFonts w:ascii="Arial" w:eastAsiaTheme="minorHAnsi" w:hAnsi="Arial" w:cs="Arial"/>
          <w:b/>
          <w:color w:val="000000" w:themeColor="text1"/>
          <w:sz w:val="19"/>
          <w:szCs w:val="19"/>
          <w:bdr w:val="none" w:sz="0" w:space="0" w:color="auto"/>
          <w:lang w:val="sk-SK"/>
        </w:rPr>
        <w:t>flow</w:t>
      </w:r>
      <w:proofErr w:type="spellEnd"/>
      <w:r w:rsidRPr="004E7F22">
        <w:rPr>
          <w:rFonts w:ascii="Arial" w:eastAsiaTheme="minorHAnsi" w:hAnsi="Arial" w:cs="Arial"/>
          <w:b/>
          <w:color w:val="000000" w:themeColor="text1"/>
          <w:sz w:val="19"/>
          <w:szCs w:val="19"/>
          <w:bdr w:val="none" w:sz="0" w:space="0" w:color="auto"/>
          <w:lang w:val="sk-SK"/>
        </w:rPr>
        <w:t xml:space="preserve"> nie sú tieto vierohodným spôsobom finančne vykryté</w:t>
      </w:r>
      <w:r w:rsidRPr="004E7F22">
        <w:rPr>
          <w:rFonts w:ascii="Arial" w:eastAsiaTheme="minorHAnsi" w:hAnsi="Arial" w:cs="Arial"/>
          <w:color w:val="000000" w:themeColor="text1"/>
          <w:sz w:val="19"/>
          <w:szCs w:val="19"/>
          <w:bdr w:val="none" w:sz="0" w:space="0" w:color="auto"/>
          <w:lang w:val="sk-SK"/>
        </w:rPr>
        <w:t>.</w:t>
      </w:r>
    </w:p>
    <w:p w14:paraId="50265D1D"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6ACEF0CF"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Vierohodný spôsob vykrytia záporného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je napr.:</w:t>
      </w:r>
    </w:p>
    <w:p w14:paraId="1FF915C9" w14:textId="77777777" w:rsidR="00621A84" w:rsidRPr="004E7F22" w:rsidRDefault="00621A84" w:rsidP="00621A84">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preukázaný záväzok samosprávy dofinancovať prevádzku projektu,</w:t>
      </w:r>
    </w:p>
    <w:p w14:paraId="31C578BE" w14:textId="77777777" w:rsidR="00621A84" w:rsidRPr="004E7F22" w:rsidRDefault="00621A84" w:rsidP="00621A84">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preklenovací úver v tom roku finančnej analýzy, v ktorom vzniká záporný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V tomto prípade však musí existovať predpoklad, že sa </w:t>
      </w:r>
      <w:proofErr w:type="spellStart"/>
      <w:r w:rsidRPr="004E7F22">
        <w:rPr>
          <w:rFonts w:ascii="Arial" w:eastAsiaTheme="minorHAnsi" w:hAnsi="Arial" w:cs="Arial"/>
          <w:color w:val="000000" w:themeColor="text1"/>
          <w:sz w:val="19"/>
          <w:szCs w:val="19"/>
          <w:bdr w:val="none" w:sz="0" w:space="0" w:color="auto"/>
          <w:lang w:val="sk-SK"/>
        </w:rPr>
        <w:t>prekleňovací</w:t>
      </w:r>
      <w:proofErr w:type="spellEnd"/>
      <w:r w:rsidRPr="004E7F22">
        <w:rPr>
          <w:rFonts w:ascii="Arial" w:eastAsiaTheme="minorHAnsi" w:hAnsi="Arial" w:cs="Arial"/>
          <w:color w:val="000000" w:themeColor="text1"/>
          <w:sz w:val="19"/>
          <w:szCs w:val="19"/>
          <w:bdr w:val="none" w:sz="0" w:space="0" w:color="auto"/>
          <w:lang w:val="sk-SK"/>
        </w:rPr>
        <w:t xml:space="preserve"> úver splatí s kladných tokov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v ďalších rokoch finančnej analýzy počas doby technicko-ekonomickej životaschopnosti investície (t.j. na splatenie tohto úveru možno použiť aj kladné toky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generované po období udržateľnosti, keďže možno predpokladať, že životaschopnosť investície je dlhšia ako štandardné obdobie udržateľnosti),</w:t>
      </w:r>
    </w:p>
    <w:p w14:paraId="7AA01C61" w14:textId="77777777" w:rsidR="00FF5C24" w:rsidRDefault="00FF5C2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67A62686" w14:textId="77777777" w:rsidR="00FF5C24" w:rsidRDefault="00FF5C2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7FB5D7C1" w14:textId="6B6DA029"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Posúdenie finančnej situácie – údaje z účtovnej závierky</w:t>
      </w:r>
    </w:p>
    <w:p w14:paraId="7E22F2E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 kontrola správnosti údajov a ich výpočtu v rámci Indexu finančnej situácie žiadateľa na základe účtovných závierok. V prípade, že údaje o finančnej situácii žiadateľa sú negatívne, hodnotiteľ zváži vzhľadom na modelovaný peňažný tok vo finančnej analýze, či existuje závažné riziko pre realizáciu projektu a/alebo riziko ohrozenia finančnej udržateľnosti projektu (t.j. finančnej schopnosti prevádzkovať výstupy projektu).</w:t>
      </w:r>
    </w:p>
    <w:p w14:paraId="1DCEA35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u w:val="single"/>
          <w:bdr w:val="none" w:sz="0" w:space="0" w:color="auto"/>
          <w:lang w:val="sk-SK"/>
        </w:rPr>
      </w:pPr>
      <w:r w:rsidRPr="004E7F22">
        <w:rPr>
          <w:rFonts w:ascii="Arial" w:eastAsiaTheme="minorHAnsi" w:hAnsi="Arial" w:cs="Arial"/>
          <w:color w:val="000000" w:themeColor="text1"/>
          <w:sz w:val="19"/>
          <w:szCs w:val="19"/>
          <w:u w:val="single"/>
          <w:bdr w:val="none" w:sz="0" w:space="0" w:color="auto"/>
          <w:lang w:val="sk-SK"/>
        </w:rPr>
        <w:t xml:space="preserve">Posúdenie finančnej situácie – </w:t>
      </w:r>
      <w:proofErr w:type="spellStart"/>
      <w:r w:rsidRPr="004E7F22">
        <w:rPr>
          <w:rFonts w:ascii="Arial" w:eastAsiaTheme="minorHAnsi" w:hAnsi="Arial" w:cs="Arial"/>
          <w:color w:val="000000" w:themeColor="text1"/>
          <w:sz w:val="19"/>
          <w:szCs w:val="19"/>
          <w:u w:val="single"/>
          <w:bdr w:val="none" w:sz="0" w:space="0" w:color="auto"/>
          <w:lang w:val="sk-SK"/>
        </w:rPr>
        <w:t>Altmanov</w:t>
      </w:r>
      <w:proofErr w:type="spellEnd"/>
      <w:r w:rsidRPr="004E7F22">
        <w:rPr>
          <w:rFonts w:ascii="Arial" w:eastAsiaTheme="minorHAnsi" w:hAnsi="Arial" w:cs="Arial"/>
          <w:color w:val="000000" w:themeColor="text1"/>
          <w:sz w:val="19"/>
          <w:szCs w:val="19"/>
          <w:u w:val="single"/>
          <w:bdr w:val="none" w:sz="0" w:space="0" w:color="auto"/>
          <w:lang w:val="sk-SK"/>
        </w:rPr>
        <w:t xml:space="preserve"> index - podniky</w:t>
      </w:r>
    </w:p>
    <w:p w14:paraId="1B5D7629"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proofErr w:type="spellStart"/>
      <w:r w:rsidRPr="004E7F22">
        <w:rPr>
          <w:rFonts w:ascii="Arial" w:eastAsiaTheme="minorHAnsi" w:hAnsi="Arial" w:cs="Arial"/>
          <w:color w:val="000000" w:themeColor="text1"/>
          <w:sz w:val="19"/>
          <w:szCs w:val="19"/>
          <w:bdr w:val="none" w:sz="0" w:space="0" w:color="auto"/>
          <w:lang w:val="sk-SK"/>
        </w:rPr>
        <w:t>Altmanov</w:t>
      </w:r>
      <w:proofErr w:type="spellEnd"/>
      <w:r w:rsidRPr="004E7F22">
        <w:rPr>
          <w:rFonts w:ascii="Arial" w:eastAsiaTheme="minorHAnsi" w:hAnsi="Arial" w:cs="Arial"/>
          <w:color w:val="000000" w:themeColor="text1"/>
          <w:sz w:val="19"/>
          <w:szCs w:val="19"/>
          <w:bdr w:val="none" w:sz="0" w:space="0" w:color="auto"/>
          <w:lang w:val="sk-SK"/>
        </w:rPr>
        <w:t xml:space="preserve">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6B8ABAC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lastRenderedPageBreak/>
        <w:t xml:space="preserve">Hodnotiteľ vyhodnotí túto časť kritéria ako „nie“ pokiaľ </w:t>
      </w:r>
      <w:proofErr w:type="spellStart"/>
      <w:r w:rsidRPr="004E7F22">
        <w:rPr>
          <w:rFonts w:ascii="Arial" w:eastAsiaTheme="minorHAnsi" w:hAnsi="Arial" w:cs="Arial"/>
          <w:b/>
          <w:color w:val="000000" w:themeColor="text1"/>
          <w:sz w:val="19"/>
          <w:szCs w:val="19"/>
          <w:bdr w:val="none" w:sz="0" w:space="0" w:color="auto"/>
          <w:lang w:val="sk-SK"/>
        </w:rPr>
        <w:t>Altmanov</w:t>
      </w:r>
      <w:proofErr w:type="spellEnd"/>
      <w:r w:rsidRPr="004E7F22">
        <w:rPr>
          <w:rFonts w:ascii="Arial" w:eastAsiaTheme="minorHAnsi" w:hAnsi="Arial" w:cs="Arial"/>
          <w:b/>
          <w:color w:val="000000" w:themeColor="text1"/>
          <w:sz w:val="19"/>
          <w:szCs w:val="19"/>
          <w:bdr w:val="none" w:sz="0" w:space="0" w:color="auto"/>
          <w:lang w:val="sk-SK"/>
        </w:rPr>
        <w:t xml:space="preserve"> index za rok n spadá do kategórie „Firma s veľmi silnými finančnými problémami“</w:t>
      </w:r>
    </w:p>
    <w:p w14:paraId="442CC48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047D4817"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p>
    <w:p w14:paraId="55435F4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14AB77EC"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 xml:space="preserve">Posúdenie finančnej situácie subjektov verejného sektora, resp. subjektov založených za iným účelom než je podnikanie a dosahovanie zisku nie je možné posúdiť na základe </w:t>
      </w:r>
      <w:proofErr w:type="spellStart"/>
      <w:r w:rsidRPr="004E7F22">
        <w:rPr>
          <w:rFonts w:ascii="Arial" w:eastAsiaTheme="minorHAnsi" w:hAnsi="Arial" w:cs="Arial"/>
          <w:color w:val="000000" w:themeColor="text1"/>
          <w:sz w:val="19"/>
          <w:szCs w:val="19"/>
          <w:bdr w:val="none" w:sz="0" w:space="0" w:color="auto"/>
          <w:lang w:val="sk-SK"/>
        </w:rPr>
        <w:t>Altmanovho</w:t>
      </w:r>
      <w:proofErr w:type="spellEnd"/>
      <w:r w:rsidRPr="004E7F22">
        <w:rPr>
          <w:rFonts w:ascii="Arial" w:eastAsiaTheme="minorHAnsi" w:hAnsi="Arial" w:cs="Arial"/>
          <w:color w:val="000000" w:themeColor="text1"/>
          <w:sz w:val="19"/>
          <w:szCs w:val="19"/>
          <w:bdr w:val="none" w:sz="0" w:space="0" w:color="auto"/>
          <w:lang w:val="sk-SK"/>
        </w:rPr>
        <w:t xml:space="preserve">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11244AA4"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RPr="004E7F22" w:rsidDel="005D6746">
        <w:rPr>
          <w:rFonts w:ascii="Arial" w:eastAsiaTheme="minorHAnsi" w:hAnsi="Arial" w:cs="Arial"/>
          <w:color w:val="000000" w:themeColor="text1"/>
          <w:sz w:val="19"/>
          <w:szCs w:val="19"/>
          <w:bdr w:val="none" w:sz="0" w:space="0" w:color="auto"/>
          <w:lang w:val="sk-SK"/>
        </w:rPr>
        <w:t xml:space="preserve"> </w:t>
      </w:r>
      <w:r w:rsidRPr="004E7F22">
        <w:rPr>
          <w:rFonts w:ascii="Arial" w:hAnsi="Arial" w:cs="Arial"/>
          <w:b/>
          <w:color w:val="000000" w:themeColor="text1"/>
          <w:sz w:val="19"/>
          <w:szCs w:val="19"/>
          <w:lang w:val="sk-SK"/>
        </w:rPr>
        <w:t>Hodnotiteľ posudzuje</w:t>
      </w:r>
      <w:r w:rsidRPr="004E7F22">
        <w:rPr>
          <w:rFonts w:ascii="Arial" w:hAnsi="Arial" w:cs="Arial"/>
          <w:b/>
          <w:color w:val="000000" w:themeColor="text1"/>
          <w:sz w:val="19"/>
          <w:szCs w:val="19"/>
        </w:rPr>
        <w:t xml:space="preserve"> údaje za rok n.</w:t>
      </w:r>
    </w:p>
    <w:p w14:paraId="761B9191"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hAnsi="Arial" w:cs="Arial"/>
          <w:b/>
          <w:color w:val="000000" w:themeColor="text1"/>
          <w:sz w:val="19"/>
          <w:szCs w:val="19"/>
          <w:u w:val="single"/>
          <w:lang w:val="sk-SK"/>
        </w:rPr>
        <w:t xml:space="preserve">Ukazovatele platobnej schopnosti – likvidity, </w:t>
      </w:r>
    </w:p>
    <w:p w14:paraId="1AAC5466"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hAnsi="Arial" w:cs="Arial"/>
          <w:color w:val="000000" w:themeColor="text1"/>
          <w:sz w:val="19"/>
          <w:szCs w:val="19"/>
          <w:lang w:val="sk-SK"/>
        </w:rPr>
      </w:pPr>
      <w:r w:rsidRPr="004E7F22">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602E961C"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76418DD4"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4BEB002A" w14:textId="5887CB51"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Vyhodnotí hodnotiteľ platobnú schopnosť ako nedostatočnú.</w:t>
      </w:r>
    </w:p>
    <w:p w14:paraId="63D6F01C" w14:textId="77777777" w:rsidR="00816C03" w:rsidRDefault="00816C03" w:rsidP="00816C03">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1FDE5861" w14:textId="77777777" w:rsidR="00816C03" w:rsidRDefault="00816C03"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p>
    <w:p w14:paraId="117238BB" w14:textId="47C65CAE"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Ukazovatele zadlženosti</w:t>
      </w:r>
    </w:p>
    <w:p w14:paraId="65F71FD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4E7F22">
        <w:rPr>
          <w:rFonts w:ascii="Arial" w:eastAsiaTheme="minorHAnsi" w:hAnsi="Arial" w:cs="Arial"/>
          <w:color w:val="000000" w:themeColor="text1"/>
          <w:sz w:val="19"/>
          <w:szCs w:val="19"/>
          <w:bdr w:val="none" w:sz="0" w:space="0" w:color="auto"/>
          <w:lang w:val="sk-SK"/>
        </w:rPr>
        <w:t>.</w:t>
      </w:r>
    </w:p>
    <w:p w14:paraId="548E81DB" w14:textId="77777777" w:rsidR="00621A84" w:rsidRPr="004E7F22" w:rsidRDefault="00621A84" w:rsidP="00621A84">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7A189236" w14:textId="77777777" w:rsidR="00621A84" w:rsidRPr="004E7F22" w:rsidRDefault="00621A84" w:rsidP="00621A84">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ostatných prípadoch uvedie hodnotenie „áno“</w:t>
      </w:r>
    </w:p>
    <w:p w14:paraId="2E613266" w14:textId="77777777" w:rsidR="0087199F" w:rsidRDefault="0087199F" w:rsidP="00621A84">
      <w:pPr>
        <w:spacing w:after="120" w:line="288" w:lineRule="auto"/>
        <w:jc w:val="both"/>
        <w:rPr>
          <w:rFonts w:ascii="Arial" w:hAnsi="Arial" w:cs="Arial"/>
          <w:b/>
          <w:color w:val="000000" w:themeColor="text1"/>
          <w:sz w:val="19"/>
          <w:szCs w:val="19"/>
          <w:u w:val="single"/>
        </w:rPr>
      </w:pPr>
    </w:p>
    <w:p w14:paraId="7FED22B5" w14:textId="2EB344BF" w:rsidR="00621A84" w:rsidRPr="0087199F" w:rsidRDefault="00621A84" w:rsidP="00621A84">
      <w:pPr>
        <w:spacing w:after="120" w:line="288" w:lineRule="auto"/>
        <w:jc w:val="both"/>
        <w:rPr>
          <w:rFonts w:ascii="Arial" w:hAnsi="Arial" w:cs="Arial"/>
          <w:b/>
          <w:color w:val="000000" w:themeColor="text1"/>
          <w:sz w:val="19"/>
          <w:szCs w:val="19"/>
          <w:u w:val="single"/>
        </w:rPr>
      </w:pPr>
      <w:r w:rsidRPr="0087199F">
        <w:rPr>
          <w:rFonts w:ascii="Arial" w:hAnsi="Arial" w:cs="Arial"/>
          <w:b/>
          <w:color w:val="000000" w:themeColor="text1"/>
          <w:sz w:val="19"/>
          <w:szCs w:val="19"/>
          <w:u w:val="single"/>
        </w:rPr>
        <w:t>Záver hodnotenia</w:t>
      </w:r>
    </w:p>
    <w:p w14:paraId="47598006"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4F915333"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z finančnej analýzy projektu ako aj pri posúdení finančnej situácie žiadateľa na základe údajov z účtovných závierok uviedol „áno“. Dvakrát „áno“ znamená, že projekt vyhovel kritériu.</w:t>
      </w:r>
    </w:p>
    <w:p w14:paraId="1531B062" w14:textId="77777777" w:rsidR="00621A84" w:rsidRPr="004E7F22" w:rsidRDefault="00621A84" w:rsidP="00621A84">
      <w:pPr>
        <w:spacing w:after="120" w:line="288" w:lineRule="auto"/>
        <w:jc w:val="both"/>
        <w:rPr>
          <w:rFonts w:ascii="Arial" w:hAnsi="Arial" w:cs="Arial"/>
          <w:color w:val="000000" w:themeColor="text1"/>
          <w:sz w:val="19"/>
          <w:szCs w:val="19"/>
        </w:rPr>
      </w:pPr>
      <w:r w:rsidRPr="004E7F22">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tbl>
      <w:tblPr>
        <w:tblStyle w:val="TableGrid6"/>
        <w:tblW w:w="15304" w:type="dxa"/>
        <w:tblLayout w:type="fixed"/>
        <w:tblLook w:val="04A0" w:firstRow="1" w:lastRow="0" w:firstColumn="1" w:lastColumn="0" w:noHBand="0" w:noVBand="1"/>
      </w:tblPr>
      <w:tblGrid>
        <w:gridCol w:w="606"/>
        <w:gridCol w:w="2083"/>
        <w:gridCol w:w="4677"/>
        <w:gridCol w:w="1417"/>
        <w:gridCol w:w="1474"/>
        <w:gridCol w:w="5047"/>
      </w:tblGrid>
      <w:tr w:rsidR="00D67CD2" w:rsidRPr="00E60372" w14:paraId="0A001158" w14:textId="77777777" w:rsidTr="0087199F">
        <w:trPr>
          <w:trHeight w:val="555"/>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35202864" w14:textId="19FAA537"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4.4</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DBA55DA" w14:textId="3FA0FBB5"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Miera vecnej oprávnenosti výdavkov projektu</w:t>
            </w:r>
          </w:p>
        </w:tc>
        <w:tc>
          <w:tcPr>
            <w:tcW w:w="4677" w:type="dxa"/>
            <w:vMerge w:val="restart"/>
            <w:tcBorders>
              <w:top w:val="single" w:sz="4" w:space="0" w:color="auto"/>
              <w:left w:val="single" w:sz="4" w:space="0" w:color="auto"/>
              <w:bottom w:val="single" w:sz="4" w:space="0" w:color="auto"/>
              <w:right w:val="single" w:sz="4" w:space="0" w:color="auto"/>
            </w:tcBorders>
            <w:vAlign w:val="center"/>
          </w:tcPr>
          <w:p w14:paraId="07BCE3F0" w14:textId="4EB3D171" w:rsidR="00D67CD2" w:rsidRPr="00E60372" w:rsidRDefault="00D67CD2" w:rsidP="007735BD">
            <w:pPr>
              <w:widowControl w:val="0"/>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 xml:space="preserve">Posudzuje sa miera správnosti rozpočtu projektu z pohľadu vecnej oprávnenosti (obsahová </w:t>
            </w:r>
            <w:r w:rsidRPr="00E60372">
              <w:rPr>
                <w:rFonts w:ascii="Arial" w:eastAsia="Helvetica" w:hAnsi="Arial" w:cs="Arial"/>
                <w:color w:val="000000" w:themeColor="text1"/>
                <w:sz w:val="19"/>
                <w:szCs w:val="19"/>
              </w:rPr>
              <w:lastRenderedPageBreak/>
              <w:t>oprávnenosť v zmysle riadiacej dokumentácie IROP, hospodárnosť, efektívnosť, účelnosť a účinnosť).</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74811AD8" w14:textId="7B5320E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lastRenderedPageBreak/>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17EFB433" w14:textId="3F21A438"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6</w:t>
            </w:r>
          </w:p>
        </w:tc>
        <w:tc>
          <w:tcPr>
            <w:tcW w:w="5047" w:type="dxa"/>
            <w:tcBorders>
              <w:top w:val="single" w:sz="4" w:space="0" w:color="auto"/>
              <w:left w:val="single" w:sz="4" w:space="0" w:color="auto"/>
              <w:bottom w:val="single" w:sz="4" w:space="0" w:color="auto"/>
              <w:right w:val="single" w:sz="4" w:space="0" w:color="auto"/>
            </w:tcBorders>
            <w:vAlign w:val="center"/>
          </w:tcPr>
          <w:p w14:paraId="61E0D960" w14:textId="1759B26D"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95% a viac z finančnej hodnoty navrhovaných celkových výdavkov je vecne oprávnených.</w:t>
            </w:r>
          </w:p>
        </w:tc>
      </w:tr>
      <w:tr w:rsidR="00D67CD2" w:rsidRPr="00E60372" w14:paraId="649AB9CD" w14:textId="77777777" w:rsidTr="0087199F">
        <w:trPr>
          <w:trHeight w:val="544"/>
        </w:trPr>
        <w:tc>
          <w:tcPr>
            <w:tcW w:w="606" w:type="dxa"/>
            <w:vMerge/>
            <w:tcBorders>
              <w:top w:val="single" w:sz="4" w:space="0" w:color="auto"/>
              <w:left w:val="single" w:sz="4" w:space="0" w:color="auto"/>
              <w:bottom w:val="single" w:sz="4" w:space="0" w:color="auto"/>
              <w:right w:val="single" w:sz="4" w:space="0" w:color="auto"/>
            </w:tcBorders>
            <w:vAlign w:val="center"/>
          </w:tcPr>
          <w:p w14:paraId="3FA60BCD"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01F7F1A"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335BFB29"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ABF3141"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43D170E4" w14:textId="5AC27AA9"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047" w:type="dxa"/>
            <w:tcBorders>
              <w:top w:val="single" w:sz="4" w:space="0" w:color="auto"/>
              <w:left w:val="single" w:sz="4" w:space="0" w:color="auto"/>
              <w:bottom w:val="single" w:sz="4" w:space="0" w:color="auto"/>
              <w:right w:val="single" w:sz="4" w:space="0" w:color="auto"/>
            </w:tcBorders>
            <w:vAlign w:val="center"/>
          </w:tcPr>
          <w:p w14:paraId="54E4B258" w14:textId="671ED012"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90% až do 95% z finančnej hodnoty navrhovaných celkových výdavkov je vecne oprávnených.</w:t>
            </w:r>
          </w:p>
        </w:tc>
      </w:tr>
      <w:tr w:rsidR="00D67CD2" w:rsidRPr="00E60372" w14:paraId="0F2343FB" w14:textId="77777777" w:rsidTr="0087199F">
        <w:trPr>
          <w:trHeight w:val="415"/>
        </w:trPr>
        <w:tc>
          <w:tcPr>
            <w:tcW w:w="606" w:type="dxa"/>
            <w:vMerge/>
            <w:tcBorders>
              <w:top w:val="single" w:sz="4" w:space="0" w:color="auto"/>
              <w:left w:val="single" w:sz="4" w:space="0" w:color="auto"/>
              <w:bottom w:val="single" w:sz="4" w:space="0" w:color="auto"/>
              <w:right w:val="single" w:sz="4" w:space="0" w:color="auto"/>
            </w:tcBorders>
            <w:vAlign w:val="center"/>
          </w:tcPr>
          <w:p w14:paraId="7FE4176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C62D93B"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27348E5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26466F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772533E5" w14:textId="0273CF4C"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2</w:t>
            </w:r>
          </w:p>
        </w:tc>
        <w:tc>
          <w:tcPr>
            <w:tcW w:w="5047" w:type="dxa"/>
            <w:tcBorders>
              <w:top w:val="single" w:sz="4" w:space="0" w:color="auto"/>
              <w:left w:val="single" w:sz="4" w:space="0" w:color="auto"/>
              <w:bottom w:val="single" w:sz="4" w:space="0" w:color="auto"/>
              <w:right w:val="single" w:sz="4" w:space="0" w:color="auto"/>
            </w:tcBorders>
            <w:vAlign w:val="center"/>
          </w:tcPr>
          <w:p w14:paraId="6944CAC1" w14:textId="24211F87"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80% až do 90% z finančnej hodnoty navrhovaných celkových výdavkov je vecne oprávnených.</w:t>
            </w:r>
          </w:p>
        </w:tc>
      </w:tr>
      <w:tr w:rsidR="00D67CD2" w:rsidRPr="00E60372" w14:paraId="5B83D83C" w14:textId="77777777" w:rsidTr="0087199F">
        <w:trPr>
          <w:trHeight w:val="536"/>
        </w:trPr>
        <w:tc>
          <w:tcPr>
            <w:tcW w:w="606" w:type="dxa"/>
            <w:vMerge/>
            <w:tcBorders>
              <w:top w:val="single" w:sz="4" w:space="0" w:color="auto"/>
              <w:left w:val="single" w:sz="4" w:space="0" w:color="auto"/>
              <w:bottom w:val="single" w:sz="4" w:space="0" w:color="auto"/>
              <w:right w:val="single" w:sz="4" w:space="0" w:color="auto"/>
            </w:tcBorders>
            <w:vAlign w:val="center"/>
          </w:tcPr>
          <w:p w14:paraId="1ED6D38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327DA4A8"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192286D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C9CB1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02475829" w14:textId="62AD8EAB"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0</w:t>
            </w:r>
          </w:p>
        </w:tc>
        <w:tc>
          <w:tcPr>
            <w:tcW w:w="5047" w:type="dxa"/>
            <w:tcBorders>
              <w:top w:val="single" w:sz="4" w:space="0" w:color="auto"/>
              <w:left w:val="single" w:sz="4" w:space="0" w:color="auto"/>
              <w:bottom w:val="single" w:sz="4" w:space="0" w:color="auto"/>
              <w:right w:val="single" w:sz="4" w:space="0" w:color="auto"/>
            </w:tcBorders>
            <w:vAlign w:val="center"/>
          </w:tcPr>
          <w:p w14:paraId="060DD3D2" w14:textId="25C3417B"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70% až do 80% z finančnej hodnoty navrhovaných celkových výdavkov je vecne oprávnených.</w:t>
            </w:r>
          </w:p>
        </w:tc>
      </w:tr>
    </w:tbl>
    <w:p w14:paraId="4F7ADEE1" w14:textId="55CCAE9B" w:rsidR="00621A84" w:rsidRPr="00E60372" w:rsidRDefault="00621A84" w:rsidP="00621A84">
      <w:pPr>
        <w:spacing w:before="120"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posudzuje najmä informácie uvedené v častiach ŽoNFP: 11. Rozpočet projektu, príloha Rozpočet projektu.</w:t>
      </w:r>
    </w:p>
    <w:p w14:paraId="37C549A3" w14:textId="77777777" w:rsidR="00621A84" w:rsidRPr="00E6037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26A6BB46" w14:textId="77777777" w:rsidR="00621A84" w:rsidRPr="00D96F1C"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Pri vyhodnotení tohto</w:t>
      </w:r>
      <w:r w:rsidRPr="00D96F1C">
        <w:rPr>
          <w:rFonts w:ascii="Arial" w:eastAsiaTheme="minorHAnsi" w:hAnsi="Arial" w:cs="Arial"/>
          <w:color w:val="000000" w:themeColor="text1"/>
          <w:sz w:val="19"/>
          <w:szCs w:val="19"/>
          <w:bdr w:val="none" w:sz="0" w:space="0" w:color="auto"/>
          <w:lang w:val="sk-SK"/>
        </w:rPr>
        <w:t xml:space="preserve">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656B23BA" w14:textId="77777777"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6"/>
        <w:tblW w:w="15304" w:type="dxa"/>
        <w:tblLayout w:type="fixed"/>
        <w:tblLook w:val="04A0" w:firstRow="1" w:lastRow="0" w:firstColumn="1" w:lastColumn="0" w:noHBand="0" w:noVBand="1"/>
      </w:tblPr>
      <w:tblGrid>
        <w:gridCol w:w="606"/>
        <w:gridCol w:w="2083"/>
        <w:gridCol w:w="4677"/>
        <w:gridCol w:w="1418"/>
        <w:gridCol w:w="1417"/>
        <w:gridCol w:w="5103"/>
      </w:tblGrid>
      <w:tr w:rsidR="00D67CD2" w:rsidRPr="00F93B3F" w14:paraId="0B439CB0" w14:textId="77777777" w:rsidTr="0087199F">
        <w:trPr>
          <w:trHeight w:val="331"/>
        </w:trPr>
        <w:tc>
          <w:tcPr>
            <w:tcW w:w="606" w:type="dxa"/>
            <w:vMerge w:val="restart"/>
            <w:tcBorders>
              <w:top w:val="single" w:sz="4" w:space="0" w:color="auto"/>
              <w:left w:val="single" w:sz="4" w:space="0" w:color="auto"/>
              <w:right w:val="single" w:sz="4" w:space="0" w:color="auto"/>
            </w:tcBorders>
            <w:vAlign w:val="center"/>
          </w:tcPr>
          <w:p w14:paraId="112B1FB8" w14:textId="3C83FECE" w:rsidR="00D67CD2" w:rsidRPr="00E60372" w:rsidRDefault="00D67CD2" w:rsidP="007735BD">
            <w:pPr>
              <w:rPr>
                <w:rFonts w:ascii="Arial" w:hAnsi="Arial" w:cs="Arial"/>
                <w:color w:val="000000" w:themeColor="text1"/>
                <w:sz w:val="19"/>
                <w:szCs w:val="19"/>
              </w:rPr>
            </w:pPr>
            <w:r w:rsidRPr="00E60372">
              <w:rPr>
                <w:rFonts w:ascii="Arial" w:hAnsi="Arial" w:cs="Arial"/>
                <w:color w:val="000000" w:themeColor="text1"/>
                <w:sz w:val="19"/>
                <w:szCs w:val="19"/>
              </w:rPr>
              <w:t>4.5</w:t>
            </w:r>
          </w:p>
        </w:tc>
        <w:tc>
          <w:tcPr>
            <w:tcW w:w="2083" w:type="dxa"/>
            <w:vMerge w:val="restart"/>
            <w:tcBorders>
              <w:top w:val="single" w:sz="4" w:space="0" w:color="auto"/>
              <w:left w:val="single" w:sz="4" w:space="0" w:color="auto"/>
              <w:right w:val="single" w:sz="4" w:space="0" w:color="auto"/>
            </w:tcBorders>
            <w:vAlign w:val="center"/>
          </w:tcPr>
          <w:p w14:paraId="3E6C831A" w14:textId="2ED30A4A"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Štruktúra a správnosť rozpočtu</w:t>
            </w:r>
          </w:p>
        </w:tc>
        <w:tc>
          <w:tcPr>
            <w:tcW w:w="4677" w:type="dxa"/>
            <w:vMerge w:val="restart"/>
            <w:tcBorders>
              <w:top w:val="single" w:sz="4" w:space="0" w:color="auto"/>
              <w:left w:val="single" w:sz="4" w:space="0" w:color="auto"/>
              <w:right w:val="single" w:sz="4" w:space="0" w:color="auto"/>
            </w:tcBorders>
            <w:vAlign w:val="center"/>
          </w:tcPr>
          <w:p w14:paraId="63EE4B31" w14:textId="6376BA02" w:rsidR="00D67CD2" w:rsidRPr="00E60372" w:rsidRDefault="00D67CD2" w:rsidP="007735BD">
            <w:pPr>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418" w:type="dxa"/>
            <w:vMerge w:val="restart"/>
            <w:tcBorders>
              <w:top w:val="single" w:sz="4" w:space="0" w:color="auto"/>
              <w:left w:val="single" w:sz="4" w:space="0" w:color="auto"/>
              <w:right w:val="single" w:sz="4" w:space="0" w:color="auto"/>
            </w:tcBorders>
            <w:vAlign w:val="center"/>
          </w:tcPr>
          <w:p w14:paraId="47C79355" w14:textId="5302E25D"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Bodové kritérium</w:t>
            </w:r>
          </w:p>
        </w:tc>
        <w:tc>
          <w:tcPr>
            <w:tcW w:w="1417" w:type="dxa"/>
            <w:tcBorders>
              <w:top w:val="single" w:sz="4" w:space="0" w:color="auto"/>
              <w:left w:val="single" w:sz="4" w:space="0" w:color="auto"/>
              <w:bottom w:val="single" w:sz="4" w:space="0" w:color="auto"/>
              <w:right w:val="single" w:sz="4" w:space="0" w:color="auto"/>
            </w:tcBorders>
            <w:vAlign w:val="center"/>
          </w:tcPr>
          <w:p w14:paraId="4E6BF95F" w14:textId="083958C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103" w:type="dxa"/>
            <w:tcBorders>
              <w:top w:val="single" w:sz="4" w:space="0" w:color="auto"/>
              <w:left w:val="single" w:sz="4" w:space="0" w:color="auto"/>
              <w:bottom w:val="single" w:sz="4" w:space="0" w:color="auto"/>
              <w:right w:val="single" w:sz="4" w:space="0" w:color="auto"/>
            </w:tcBorders>
            <w:vAlign w:val="center"/>
          </w:tcPr>
          <w:p w14:paraId="1F4A9505" w14:textId="1B0EEC69"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D67CD2" w:rsidRPr="00F93B3F" w14:paraId="0648C0CB" w14:textId="77777777" w:rsidTr="0087199F">
        <w:trPr>
          <w:trHeight w:val="405"/>
        </w:trPr>
        <w:tc>
          <w:tcPr>
            <w:tcW w:w="606" w:type="dxa"/>
            <w:vMerge/>
            <w:tcBorders>
              <w:left w:val="single" w:sz="4" w:space="0" w:color="auto"/>
              <w:right w:val="single" w:sz="4" w:space="0" w:color="auto"/>
            </w:tcBorders>
            <w:vAlign w:val="center"/>
          </w:tcPr>
          <w:p w14:paraId="280D61AA"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right w:val="single" w:sz="4" w:space="0" w:color="auto"/>
            </w:tcBorders>
            <w:vAlign w:val="center"/>
          </w:tcPr>
          <w:p w14:paraId="24687D4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right w:val="single" w:sz="4" w:space="0" w:color="auto"/>
            </w:tcBorders>
            <w:vAlign w:val="center"/>
          </w:tcPr>
          <w:p w14:paraId="579A709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right w:val="single" w:sz="4" w:space="0" w:color="auto"/>
            </w:tcBorders>
            <w:vAlign w:val="center"/>
          </w:tcPr>
          <w:p w14:paraId="5ADF5236"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4461C246" w14:textId="26903B22"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2</w:t>
            </w:r>
          </w:p>
        </w:tc>
        <w:tc>
          <w:tcPr>
            <w:tcW w:w="5103" w:type="dxa"/>
            <w:tcBorders>
              <w:top w:val="single" w:sz="4" w:space="0" w:color="auto"/>
              <w:left w:val="single" w:sz="4" w:space="0" w:color="auto"/>
              <w:bottom w:val="single" w:sz="4" w:space="0" w:color="auto"/>
              <w:right w:val="single" w:sz="4" w:space="0" w:color="auto"/>
            </w:tcBorders>
            <w:vAlign w:val="center"/>
          </w:tcPr>
          <w:p w14:paraId="7566DD67" w14:textId="063949AB"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D67CD2" w:rsidRPr="00F93B3F" w14:paraId="7D297BF8" w14:textId="77777777" w:rsidTr="0087199F">
        <w:trPr>
          <w:trHeight w:val="345"/>
        </w:trPr>
        <w:tc>
          <w:tcPr>
            <w:tcW w:w="606" w:type="dxa"/>
            <w:vMerge/>
            <w:tcBorders>
              <w:left w:val="single" w:sz="4" w:space="0" w:color="auto"/>
              <w:bottom w:val="single" w:sz="4" w:space="0" w:color="auto"/>
              <w:right w:val="single" w:sz="4" w:space="0" w:color="auto"/>
            </w:tcBorders>
            <w:vAlign w:val="center"/>
          </w:tcPr>
          <w:p w14:paraId="015E8E38"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bottom w:val="single" w:sz="4" w:space="0" w:color="auto"/>
              <w:right w:val="single" w:sz="4" w:space="0" w:color="auto"/>
            </w:tcBorders>
            <w:vAlign w:val="center"/>
          </w:tcPr>
          <w:p w14:paraId="2382A7D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bottom w:val="single" w:sz="4" w:space="0" w:color="auto"/>
              <w:right w:val="single" w:sz="4" w:space="0" w:color="auto"/>
            </w:tcBorders>
            <w:vAlign w:val="center"/>
          </w:tcPr>
          <w:p w14:paraId="666D2D4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bottom w:val="single" w:sz="4" w:space="0" w:color="auto"/>
              <w:right w:val="single" w:sz="4" w:space="0" w:color="auto"/>
            </w:tcBorders>
            <w:vAlign w:val="center"/>
          </w:tcPr>
          <w:p w14:paraId="05700502"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357CDCAB" w14:textId="5ECBCF14"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103" w:type="dxa"/>
            <w:tcBorders>
              <w:top w:val="single" w:sz="4" w:space="0" w:color="auto"/>
              <w:left w:val="single" w:sz="4" w:space="0" w:color="auto"/>
              <w:bottom w:val="single" w:sz="4" w:space="0" w:color="auto"/>
              <w:right w:val="single" w:sz="4" w:space="0" w:color="auto"/>
            </w:tcBorders>
            <w:vAlign w:val="center"/>
          </w:tcPr>
          <w:p w14:paraId="122A55C7" w14:textId="4BD427AE"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6EB8F07F" w14:textId="77777777" w:rsidR="00621A84" w:rsidRDefault="00621A84">
      <w:pPr>
        <w:rPr>
          <w:rFonts w:ascii="Arial" w:hAnsi="Arial" w:cs="Arial"/>
          <w:b/>
          <w:color w:val="000000" w:themeColor="text1"/>
          <w:sz w:val="19"/>
          <w:szCs w:val="19"/>
        </w:rPr>
      </w:pPr>
    </w:p>
    <w:p w14:paraId="6E2364DC" w14:textId="63631701"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5EE13126"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w:t>
      </w:r>
      <w:r w:rsidRPr="00613DDB">
        <w:rPr>
          <w:rFonts w:ascii="Arial" w:eastAsiaTheme="minorHAnsi" w:hAnsi="Arial" w:cs="Arial"/>
          <w:color w:val="000000" w:themeColor="text1"/>
          <w:sz w:val="19"/>
          <w:szCs w:val="19"/>
          <w:bdr w:val="none" w:sz="0" w:space="0" w:color="auto"/>
          <w:lang w:val="sk-SK"/>
        </w:rPr>
        <w:t>rozpočtu a podrobného položkového rozpočtu projektu. Jednotlivé položky rozpočtu</w:t>
      </w:r>
      <w:r w:rsidRPr="003C6DE1">
        <w:rPr>
          <w:rFonts w:ascii="Arial" w:eastAsiaTheme="minorHAnsi" w:hAnsi="Arial" w:cs="Arial"/>
          <w:color w:val="000000" w:themeColor="text1"/>
          <w:sz w:val="19"/>
          <w:szCs w:val="19"/>
          <w:bdr w:val="none" w:sz="0" w:space="0" w:color="auto"/>
          <w:lang w:val="sk-SK"/>
        </w:rPr>
        <w:t xml:space="preserve"> musia byť jednoznačné, zrozumiteľné a dostatočne podrobne špecifikované - t.j. vyjadrujúce hlavné parametre vystihujúce jednotlivý tovar, prácu alebo službu. Každá položka musí mať uvedenú </w:t>
      </w:r>
      <w:r w:rsidRPr="003C6DE1">
        <w:rPr>
          <w:rFonts w:ascii="Arial" w:eastAsiaTheme="minorHAnsi" w:hAnsi="Arial" w:cs="Arial"/>
          <w:color w:val="000000" w:themeColor="text1"/>
          <w:sz w:val="19"/>
          <w:szCs w:val="19"/>
          <w:bdr w:val="none" w:sz="0" w:space="0" w:color="auto"/>
          <w:lang w:val="sk-SK"/>
        </w:rPr>
        <w:lastRenderedPageBreak/>
        <w:t>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2F17F1DC" w14:textId="05805C13" w:rsidR="00C07730" w:rsidRDefault="00621A84" w:rsidP="0087199F">
      <w:pPr>
        <w:spacing w:before="120" w:after="120" w:line="288" w:lineRule="auto"/>
        <w:jc w:val="both"/>
        <w:rPr>
          <w:rFonts w:ascii="Arial" w:hAnsi="Arial" w:cs="Arial"/>
          <w:b/>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C07730" w:rsidSect="002B5927">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820" w:bottom="720" w:left="720" w:header="708" w:footer="1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DD397" w14:textId="77777777" w:rsidR="00BD4A93" w:rsidRDefault="00BD4A93" w:rsidP="006447D5">
      <w:pPr>
        <w:spacing w:after="0" w:line="240" w:lineRule="auto"/>
      </w:pPr>
      <w:r>
        <w:separator/>
      </w:r>
    </w:p>
  </w:endnote>
  <w:endnote w:type="continuationSeparator" w:id="0">
    <w:p w14:paraId="2E186CAF" w14:textId="77777777" w:rsidR="00BD4A93" w:rsidRDefault="00BD4A93"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rebuchet MS">
    <w:altName w:val="﷽﷽﷽﷽﷽﷽﷽﷽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D9898" w14:textId="77777777" w:rsidR="00C26401" w:rsidRDefault="00C2640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1188"/>
      <w:docPartObj>
        <w:docPartGallery w:val="Page Numbers (Bottom of Page)"/>
        <w:docPartUnique/>
      </w:docPartObj>
    </w:sdtPr>
    <w:sdtEndPr>
      <w:rPr>
        <w:noProof/>
      </w:rPr>
    </w:sdtEndPr>
    <w:sdtContent>
      <w:p w14:paraId="25FAFD45" w14:textId="084F845F" w:rsidR="008B1F42" w:rsidRDefault="009F59B5" w:rsidP="009F59B5">
        <w:pPr>
          <w:pStyle w:val="Pta"/>
        </w:pPr>
        <w:r w:rsidRPr="00BE7612">
          <w:rPr>
            <w:rFonts w:ascii="Arial" w:hAnsi="Arial" w:cs="Arial"/>
            <w:sz w:val="16"/>
            <w:szCs w:val="16"/>
          </w:rPr>
          <w:t xml:space="preserve">Príručka pre odborných hodnotiteľov IROP, verzia </w:t>
        </w:r>
        <w:del w:id="0" w:author="OM" w:date="2022-04-21T12:54:00Z">
          <w:r w:rsidR="00816C03" w:rsidDel="002551F7">
            <w:rPr>
              <w:rFonts w:ascii="Arial" w:hAnsi="Arial" w:cs="Arial"/>
              <w:sz w:val="16"/>
              <w:szCs w:val="16"/>
            </w:rPr>
            <w:delText>11.</w:delText>
          </w:r>
          <w:r w:rsidR="00C26401" w:rsidDel="002551F7">
            <w:rPr>
              <w:rFonts w:ascii="Arial" w:hAnsi="Arial" w:cs="Arial"/>
              <w:sz w:val="16"/>
              <w:szCs w:val="16"/>
            </w:rPr>
            <w:delText>1</w:delText>
          </w:r>
        </w:del>
        <w:ins w:id="1" w:author="OM" w:date="2022-04-21T12:54:00Z">
          <w:r w:rsidR="002551F7">
            <w:rPr>
              <w:rFonts w:ascii="Arial" w:hAnsi="Arial" w:cs="Arial"/>
              <w:sz w:val="16"/>
              <w:szCs w:val="16"/>
            </w:rPr>
            <w:t>12.0</w:t>
          </w:r>
        </w:ins>
      </w:p>
      <w:bookmarkStart w:id="2" w:name="_GoBack" w:displacedByCustomXml="next"/>
      <w:bookmarkEnd w:id="2" w:displacedByCustomXml="next"/>
    </w:sdtContent>
  </w:sdt>
  <w:p w14:paraId="5EA23281" w14:textId="77777777" w:rsidR="008B1F42" w:rsidRDefault="008B1F42">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9FF2A" w14:textId="5A16A7FA" w:rsidR="009F59B5" w:rsidRDefault="009F59B5">
    <w:pPr>
      <w:pStyle w:val="Pta"/>
    </w:pPr>
    <w:r w:rsidRPr="00BE7612">
      <w:rPr>
        <w:rFonts w:ascii="Arial" w:hAnsi="Arial" w:cs="Arial"/>
        <w:sz w:val="16"/>
        <w:szCs w:val="16"/>
      </w:rPr>
      <w:t xml:space="preserve">Príručka pre odborných hodnotiteľov IROP, verzia </w:t>
    </w:r>
    <w:r>
      <w:rPr>
        <w:rFonts w:ascii="Arial" w:hAnsi="Arial" w:cs="Arial"/>
        <w:sz w:val="16"/>
        <w:szCs w:val="16"/>
      </w:rPr>
      <w:t>11</w:t>
    </w:r>
  </w:p>
  <w:p w14:paraId="1311E9A0" w14:textId="77777777" w:rsidR="008B1F42" w:rsidRDefault="008B1F4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9B33C" w14:textId="77777777" w:rsidR="00BD4A93" w:rsidRDefault="00BD4A93" w:rsidP="006447D5">
      <w:pPr>
        <w:spacing w:after="0" w:line="240" w:lineRule="auto"/>
      </w:pPr>
      <w:r>
        <w:separator/>
      </w:r>
    </w:p>
  </w:footnote>
  <w:footnote w:type="continuationSeparator" w:id="0">
    <w:p w14:paraId="38E53393" w14:textId="77777777" w:rsidR="00BD4A93" w:rsidRDefault="00BD4A93"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E4956" w14:textId="77777777" w:rsidR="00C26401" w:rsidRDefault="00C26401">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54FE3" w14:textId="77777777" w:rsidR="00C26401" w:rsidRDefault="00C2640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E0E8C" w14:textId="7840DB7B" w:rsidR="008B1F42" w:rsidRDefault="008B1F42" w:rsidP="00D81429">
    <w:pPr>
      <w:pStyle w:val="Hlavika"/>
    </w:pPr>
    <w:r>
      <w:rPr>
        <w:noProof/>
        <w:lang w:eastAsia="sk-SK"/>
      </w:rPr>
      <w:drawing>
        <wp:anchor distT="0" distB="0" distL="114300" distR="114300" simplePos="0" relativeHeight="251662336" behindDoc="0" locked="0" layoutInCell="1" allowOverlap="1" wp14:anchorId="6B30FB7C" wp14:editId="532ACF59">
          <wp:simplePos x="0" y="0"/>
          <wp:positionH relativeFrom="column">
            <wp:posOffset>3917950</wp:posOffset>
          </wp:positionH>
          <wp:positionV relativeFrom="paragraph">
            <wp:posOffset>-57785</wp:posOffset>
          </wp:positionV>
          <wp:extent cx="1812651" cy="492760"/>
          <wp:effectExtent l="0" t="0" r="0" b="254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2651" cy="492760"/>
                  </a:xfrm>
                  <a:prstGeom prst="rect">
                    <a:avLst/>
                  </a:prstGeom>
                  <a:noFill/>
                </pic:spPr>
              </pic:pic>
            </a:graphicData>
          </a:graphic>
          <wp14:sizeRelH relativeFrom="page">
            <wp14:pctWidth>0</wp14:pctWidth>
          </wp14:sizeRelH>
          <wp14:sizeRelV relativeFrom="page">
            <wp14:pctHeight>0</wp14:pctHeight>
          </wp14:sizeRelV>
        </wp:anchor>
      </w:drawing>
    </w:r>
    <w:r w:rsidRPr="008D5FF3">
      <w:rPr>
        <w:noProof/>
        <w:lang w:eastAsia="sk-SK"/>
      </w:rPr>
      <w:drawing>
        <wp:anchor distT="0" distB="0" distL="114300" distR="114300" simplePos="0" relativeHeight="251660288" behindDoc="1" locked="0" layoutInCell="1" allowOverlap="1" wp14:anchorId="47AF09BF" wp14:editId="47BAD9B6">
          <wp:simplePos x="0" y="0"/>
          <wp:positionH relativeFrom="column">
            <wp:posOffset>7720330</wp:posOffset>
          </wp:positionH>
          <wp:positionV relativeFrom="paragraph">
            <wp:posOffset>52705</wp:posOffset>
          </wp:positionV>
          <wp:extent cx="1638935" cy="459740"/>
          <wp:effectExtent l="0" t="0" r="0" b="0"/>
          <wp:wrapTight wrapText="bothSides">
            <wp:wrapPolygon edited="0">
              <wp:start x="0" y="0"/>
              <wp:lineTo x="0" y="20586"/>
              <wp:lineTo x="21341" y="20586"/>
              <wp:lineTo x="21341" y="0"/>
              <wp:lineTo x="0" y="0"/>
            </wp:wrapPolygon>
          </wp:wrapTight>
          <wp:docPr id="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anchor>
      </w:drawing>
    </w:r>
    <w:r w:rsidRPr="008D5FF3">
      <w:rPr>
        <w:noProof/>
        <w:lang w:eastAsia="sk-SK"/>
      </w:rPr>
      <w:drawing>
        <wp:anchor distT="0" distB="0" distL="114300" distR="114300" simplePos="0" relativeHeight="251659264" behindDoc="1" locked="0" layoutInCell="1" allowOverlap="1" wp14:anchorId="579D465B" wp14:editId="47A10173">
          <wp:simplePos x="0" y="0"/>
          <wp:positionH relativeFrom="column">
            <wp:posOffset>958850</wp:posOffset>
          </wp:positionH>
          <wp:positionV relativeFrom="paragraph">
            <wp:posOffset>50165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3" name="Obrázok 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anchor>
      </w:drawing>
    </w:r>
  </w:p>
  <w:p w14:paraId="0E410873" w14:textId="77777777" w:rsidR="008B1F42" w:rsidRDefault="008B1F42" w:rsidP="00D81429">
    <w:pPr>
      <w:pStyle w:val="Hlavika"/>
      <w:tabs>
        <w:tab w:val="clear" w:pos="4680"/>
        <w:tab w:val="clear" w:pos="9360"/>
        <w:tab w:val="left" w:pos="6975"/>
      </w:tabs>
    </w:pPr>
    <w:r>
      <w:tab/>
    </w:r>
  </w:p>
  <w:p w14:paraId="056E5B1F" w14:textId="74060BFA" w:rsidR="008B1F42" w:rsidRDefault="008B1F42" w:rsidP="00C765F0">
    <w:pPr>
      <w:pStyle w:val="Hlavik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1F16"/>
    <w:multiLevelType w:val="hybridMultilevel"/>
    <w:tmpl w:val="9E0A5B3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500D04"/>
    <w:multiLevelType w:val="hybridMultilevel"/>
    <w:tmpl w:val="1E30A232"/>
    <w:lvl w:ilvl="0" w:tplc="840AE99A">
      <w:start w:val="3"/>
      <w:numFmt w:val="bullet"/>
      <w:lvlText w:val="-"/>
      <w:lvlJc w:val="left"/>
      <w:pPr>
        <w:tabs>
          <w:tab w:val="num" w:pos="1070"/>
        </w:tabs>
        <w:ind w:left="107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B34EB3"/>
    <w:multiLevelType w:val="hybridMultilevel"/>
    <w:tmpl w:val="C1E85566"/>
    <w:lvl w:ilvl="0" w:tplc="EFC0270A">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2EA4DD6"/>
    <w:multiLevelType w:val="hybridMultilevel"/>
    <w:tmpl w:val="5914E7D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8F7004D"/>
    <w:multiLevelType w:val="hybridMultilevel"/>
    <w:tmpl w:val="9648B7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FF1059B"/>
    <w:multiLevelType w:val="hybridMultilevel"/>
    <w:tmpl w:val="5D5CEC26"/>
    <w:lvl w:ilvl="0" w:tplc="631A4408">
      <w:numFmt w:val="bullet"/>
      <w:lvlText w:val="-"/>
      <w:lvlJc w:val="left"/>
      <w:pPr>
        <w:tabs>
          <w:tab w:val="num" w:pos="720"/>
        </w:tabs>
        <w:ind w:left="720" w:hanging="360"/>
      </w:pPr>
      <w:rPr>
        <w:rFonts w:ascii="Times New Roman" w:eastAsia="Calibri" w:hAnsi="Times New Roman" w:cs="Times New Roman" w:hint="default"/>
      </w:rPr>
    </w:lvl>
    <w:lvl w:ilvl="1" w:tplc="F16433F8" w:tentative="1">
      <w:start w:val="1"/>
      <w:numFmt w:val="bullet"/>
      <w:lvlText w:val=""/>
      <w:lvlJc w:val="left"/>
      <w:pPr>
        <w:tabs>
          <w:tab w:val="num" w:pos="1440"/>
        </w:tabs>
        <w:ind w:left="1440" w:hanging="360"/>
      </w:pPr>
      <w:rPr>
        <w:rFonts w:ascii="Wingdings" w:hAnsi="Wingdings" w:hint="default"/>
      </w:rPr>
    </w:lvl>
    <w:lvl w:ilvl="2" w:tplc="1A60478E" w:tentative="1">
      <w:start w:val="1"/>
      <w:numFmt w:val="bullet"/>
      <w:lvlText w:val=""/>
      <w:lvlJc w:val="left"/>
      <w:pPr>
        <w:tabs>
          <w:tab w:val="num" w:pos="2160"/>
        </w:tabs>
        <w:ind w:left="2160" w:hanging="360"/>
      </w:pPr>
      <w:rPr>
        <w:rFonts w:ascii="Wingdings" w:hAnsi="Wingdings" w:hint="default"/>
      </w:rPr>
    </w:lvl>
    <w:lvl w:ilvl="3" w:tplc="82963C80" w:tentative="1">
      <w:start w:val="1"/>
      <w:numFmt w:val="bullet"/>
      <w:lvlText w:val=""/>
      <w:lvlJc w:val="left"/>
      <w:pPr>
        <w:tabs>
          <w:tab w:val="num" w:pos="2880"/>
        </w:tabs>
        <w:ind w:left="2880" w:hanging="360"/>
      </w:pPr>
      <w:rPr>
        <w:rFonts w:ascii="Wingdings" w:hAnsi="Wingdings" w:hint="default"/>
      </w:rPr>
    </w:lvl>
    <w:lvl w:ilvl="4" w:tplc="63ECD76C" w:tentative="1">
      <w:start w:val="1"/>
      <w:numFmt w:val="bullet"/>
      <w:lvlText w:val=""/>
      <w:lvlJc w:val="left"/>
      <w:pPr>
        <w:tabs>
          <w:tab w:val="num" w:pos="3600"/>
        </w:tabs>
        <w:ind w:left="3600" w:hanging="360"/>
      </w:pPr>
      <w:rPr>
        <w:rFonts w:ascii="Wingdings" w:hAnsi="Wingdings" w:hint="default"/>
      </w:rPr>
    </w:lvl>
    <w:lvl w:ilvl="5" w:tplc="0C7AE62C" w:tentative="1">
      <w:start w:val="1"/>
      <w:numFmt w:val="bullet"/>
      <w:lvlText w:val=""/>
      <w:lvlJc w:val="left"/>
      <w:pPr>
        <w:tabs>
          <w:tab w:val="num" w:pos="4320"/>
        </w:tabs>
        <w:ind w:left="4320" w:hanging="360"/>
      </w:pPr>
      <w:rPr>
        <w:rFonts w:ascii="Wingdings" w:hAnsi="Wingdings" w:hint="default"/>
      </w:rPr>
    </w:lvl>
    <w:lvl w:ilvl="6" w:tplc="B7BE6F7A" w:tentative="1">
      <w:start w:val="1"/>
      <w:numFmt w:val="bullet"/>
      <w:lvlText w:val=""/>
      <w:lvlJc w:val="left"/>
      <w:pPr>
        <w:tabs>
          <w:tab w:val="num" w:pos="5040"/>
        </w:tabs>
        <w:ind w:left="5040" w:hanging="360"/>
      </w:pPr>
      <w:rPr>
        <w:rFonts w:ascii="Wingdings" w:hAnsi="Wingdings" w:hint="default"/>
      </w:rPr>
    </w:lvl>
    <w:lvl w:ilvl="7" w:tplc="FBAA2BBC" w:tentative="1">
      <w:start w:val="1"/>
      <w:numFmt w:val="bullet"/>
      <w:lvlText w:val=""/>
      <w:lvlJc w:val="left"/>
      <w:pPr>
        <w:tabs>
          <w:tab w:val="num" w:pos="5760"/>
        </w:tabs>
        <w:ind w:left="5760" w:hanging="360"/>
      </w:pPr>
      <w:rPr>
        <w:rFonts w:ascii="Wingdings" w:hAnsi="Wingdings" w:hint="default"/>
      </w:rPr>
    </w:lvl>
    <w:lvl w:ilvl="8" w:tplc="521685F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685600"/>
    <w:multiLevelType w:val="hybridMultilevel"/>
    <w:tmpl w:val="ED3A697E"/>
    <w:lvl w:ilvl="0" w:tplc="041B0003">
      <w:start w:val="1"/>
      <w:numFmt w:val="bullet"/>
      <w:lvlText w:val="o"/>
      <w:lvlJc w:val="left"/>
      <w:pPr>
        <w:ind w:left="1068" w:hanging="360"/>
      </w:pPr>
      <w:rPr>
        <w:rFonts w:ascii="Courier New" w:hAnsi="Courier New" w:cs="Courier New"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8" w15:restartNumberingAfterBreak="0">
    <w:nsid w:val="230061E7"/>
    <w:multiLevelType w:val="hybridMultilevel"/>
    <w:tmpl w:val="5D309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 w15:restartNumberingAfterBreak="0">
    <w:nsid w:val="26733DEB"/>
    <w:multiLevelType w:val="hybridMultilevel"/>
    <w:tmpl w:val="53F65D00"/>
    <w:lvl w:ilvl="0" w:tplc="840AE99A">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A4E108D"/>
    <w:multiLevelType w:val="hybridMultilevel"/>
    <w:tmpl w:val="59EC1374"/>
    <w:lvl w:ilvl="0" w:tplc="0A1C2AF2">
      <w:numFmt w:val="bullet"/>
      <w:lvlText w:val="-"/>
      <w:lvlJc w:val="left"/>
      <w:pPr>
        <w:ind w:left="720" w:hanging="360"/>
      </w:pPr>
      <w:rPr>
        <w:rFonts w:ascii="Arial" w:eastAsia="Trebuchet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A8955FE"/>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3E307663"/>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3EA328B9"/>
    <w:multiLevelType w:val="hybridMultilevel"/>
    <w:tmpl w:val="2962FEE6"/>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42D3263"/>
    <w:multiLevelType w:val="hybridMultilevel"/>
    <w:tmpl w:val="5CE07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7413C95"/>
    <w:multiLevelType w:val="hybridMultilevel"/>
    <w:tmpl w:val="ABF683DE"/>
    <w:lvl w:ilvl="0" w:tplc="3FF4ED68">
      <w:start w:val="3"/>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8342B5E"/>
    <w:multiLevelType w:val="hybridMultilevel"/>
    <w:tmpl w:val="917EF884"/>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9CE1F74"/>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CFC1511"/>
    <w:multiLevelType w:val="hybridMultilevel"/>
    <w:tmpl w:val="C352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8" w15:restartNumberingAfterBreak="0">
    <w:nsid w:val="54021966"/>
    <w:multiLevelType w:val="hybridMultilevel"/>
    <w:tmpl w:val="11E60112"/>
    <w:lvl w:ilvl="0" w:tplc="EA6CC044">
      <w:numFmt w:val="bullet"/>
      <w:lvlText w:val="-"/>
      <w:lvlJc w:val="left"/>
      <w:pPr>
        <w:ind w:left="720" w:hanging="360"/>
      </w:pPr>
      <w:rPr>
        <w:rFonts w:ascii="Times New Roman" w:eastAsia="Trebuchet MS"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92E7305"/>
    <w:multiLevelType w:val="hybridMultilevel"/>
    <w:tmpl w:val="AD5EA5E2"/>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32"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34" w15:restartNumberingAfterBreak="0">
    <w:nsid w:val="66977189"/>
    <w:multiLevelType w:val="hybridMultilevel"/>
    <w:tmpl w:val="EA264BAE"/>
    <w:lvl w:ilvl="0" w:tplc="0409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84E3A38"/>
    <w:multiLevelType w:val="hybridMultilevel"/>
    <w:tmpl w:val="88C43292"/>
    <w:lvl w:ilvl="0" w:tplc="CF884CB0">
      <w:start w:val="1"/>
      <w:numFmt w:val="bullet"/>
      <w:lvlText w:val="-"/>
      <w:lvlJc w:val="left"/>
      <w:pPr>
        <w:ind w:left="785" w:hanging="360"/>
      </w:pPr>
      <w:rPr>
        <w:rFonts w:ascii="Times New Roman" w:eastAsia="Times New Roman" w:hAnsi="Times New Roman" w:hint="default"/>
      </w:rPr>
    </w:lvl>
    <w:lvl w:ilvl="1" w:tplc="54C0BFF4">
      <w:numFmt w:val="bullet"/>
      <w:lvlText w:val="•"/>
      <w:lvlJc w:val="left"/>
      <w:pPr>
        <w:ind w:left="1850" w:hanging="705"/>
      </w:pPr>
      <w:rPr>
        <w:rFonts w:ascii="Arial" w:eastAsia="Trebuchet MS" w:hAnsi="Arial" w:cs="Arial"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7"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0" w15:restartNumberingAfterBreak="0">
    <w:nsid w:val="712A33B3"/>
    <w:multiLevelType w:val="hybridMultilevel"/>
    <w:tmpl w:val="1736E588"/>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41" w15:restartNumberingAfterBreak="0">
    <w:nsid w:val="7287683B"/>
    <w:multiLevelType w:val="hybridMultilevel"/>
    <w:tmpl w:val="7598D0D6"/>
    <w:lvl w:ilvl="0" w:tplc="8B608810">
      <w:start w:val="4"/>
      <w:numFmt w:val="bullet"/>
      <w:lvlText w:val="-"/>
      <w:lvlJc w:val="left"/>
      <w:pPr>
        <w:ind w:left="720" w:hanging="360"/>
      </w:pPr>
      <w:rPr>
        <w:rFonts w:ascii="Verdana" w:eastAsiaTheme="majorEastAsia" w:hAnsi="Verdan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67E2010"/>
    <w:multiLevelType w:val="hybridMultilevel"/>
    <w:tmpl w:val="A0A094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AE15589"/>
    <w:multiLevelType w:val="hybridMultilevel"/>
    <w:tmpl w:val="7AFEEAA8"/>
    <w:lvl w:ilvl="0" w:tplc="3804794A">
      <w:numFmt w:val="bullet"/>
      <w:lvlText w:val="-"/>
      <w:lvlJc w:val="left"/>
      <w:pPr>
        <w:ind w:left="1430" w:hanging="360"/>
      </w:pPr>
      <w:rPr>
        <w:rFonts w:ascii="Arial" w:eastAsia="Times New Roman" w:hAnsi="Arial" w:hint="default"/>
        <w:b w:val="0"/>
        <w:color w:val="auto"/>
      </w:rPr>
    </w:lvl>
    <w:lvl w:ilvl="1" w:tplc="041B0003" w:tentative="1">
      <w:start w:val="1"/>
      <w:numFmt w:val="bullet"/>
      <w:lvlText w:val="o"/>
      <w:lvlJc w:val="left"/>
      <w:pPr>
        <w:ind w:left="2150" w:hanging="360"/>
      </w:pPr>
      <w:rPr>
        <w:rFonts w:ascii="Courier New" w:hAnsi="Courier New" w:cs="Courier New" w:hint="default"/>
      </w:rPr>
    </w:lvl>
    <w:lvl w:ilvl="2" w:tplc="041B0005" w:tentative="1">
      <w:start w:val="1"/>
      <w:numFmt w:val="bullet"/>
      <w:lvlText w:val=""/>
      <w:lvlJc w:val="left"/>
      <w:pPr>
        <w:ind w:left="2870" w:hanging="360"/>
      </w:pPr>
      <w:rPr>
        <w:rFonts w:ascii="Wingdings" w:hAnsi="Wingdings" w:hint="default"/>
      </w:rPr>
    </w:lvl>
    <w:lvl w:ilvl="3" w:tplc="041B0001" w:tentative="1">
      <w:start w:val="1"/>
      <w:numFmt w:val="bullet"/>
      <w:lvlText w:val=""/>
      <w:lvlJc w:val="left"/>
      <w:pPr>
        <w:ind w:left="3590" w:hanging="360"/>
      </w:pPr>
      <w:rPr>
        <w:rFonts w:ascii="Symbol" w:hAnsi="Symbol" w:hint="default"/>
      </w:rPr>
    </w:lvl>
    <w:lvl w:ilvl="4" w:tplc="041B0003" w:tentative="1">
      <w:start w:val="1"/>
      <w:numFmt w:val="bullet"/>
      <w:lvlText w:val="o"/>
      <w:lvlJc w:val="left"/>
      <w:pPr>
        <w:ind w:left="4310" w:hanging="360"/>
      </w:pPr>
      <w:rPr>
        <w:rFonts w:ascii="Courier New" w:hAnsi="Courier New" w:cs="Courier New" w:hint="default"/>
      </w:rPr>
    </w:lvl>
    <w:lvl w:ilvl="5" w:tplc="041B0005" w:tentative="1">
      <w:start w:val="1"/>
      <w:numFmt w:val="bullet"/>
      <w:lvlText w:val=""/>
      <w:lvlJc w:val="left"/>
      <w:pPr>
        <w:ind w:left="5030" w:hanging="360"/>
      </w:pPr>
      <w:rPr>
        <w:rFonts w:ascii="Wingdings" w:hAnsi="Wingdings" w:hint="default"/>
      </w:rPr>
    </w:lvl>
    <w:lvl w:ilvl="6" w:tplc="041B0001" w:tentative="1">
      <w:start w:val="1"/>
      <w:numFmt w:val="bullet"/>
      <w:lvlText w:val=""/>
      <w:lvlJc w:val="left"/>
      <w:pPr>
        <w:ind w:left="5750" w:hanging="360"/>
      </w:pPr>
      <w:rPr>
        <w:rFonts w:ascii="Symbol" w:hAnsi="Symbol" w:hint="default"/>
      </w:rPr>
    </w:lvl>
    <w:lvl w:ilvl="7" w:tplc="041B0003" w:tentative="1">
      <w:start w:val="1"/>
      <w:numFmt w:val="bullet"/>
      <w:lvlText w:val="o"/>
      <w:lvlJc w:val="left"/>
      <w:pPr>
        <w:ind w:left="6470" w:hanging="360"/>
      </w:pPr>
      <w:rPr>
        <w:rFonts w:ascii="Courier New" w:hAnsi="Courier New" w:cs="Courier New" w:hint="default"/>
      </w:rPr>
    </w:lvl>
    <w:lvl w:ilvl="8" w:tplc="041B0005" w:tentative="1">
      <w:start w:val="1"/>
      <w:numFmt w:val="bullet"/>
      <w:lvlText w:val=""/>
      <w:lvlJc w:val="left"/>
      <w:pPr>
        <w:ind w:left="7190" w:hanging="360"/>
      </w:pPr>
      <w:rPr>
        <w:rFonts w:ascii="Wingdings" w:hAnsi="Wingdings" w:hint="default"/>
      </w:rPr>
    </w:lvl>
  </w:abstractNum>
  <w:abstractNum w:abstractNumId="45"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21"/>
  </w:num>
  <w:num w:numId="2">
    <w:abstractNumId w:val="6"/>
  </w:num>
  <w:num w:numId="3">
    <w:abstractNumId w:val="0"/>
  </w:num>
  <w:num w:numId="4">
    <w:abstractNumId w:val="42"/>
  </w:num>
  <w:num w:numId="5">
    <w:abstractNumId w:val="43"/>
  </w:num>
  <w:num w:numId="6">
    <w:abstractNumId w:val="11"/>
  </w:num>
  <w:num w:numId="7">
    <w:abstractNumId w:val="39"/>
  </w:num>
  <w:num w:numId="8">
    <w:abstractNumId w:val="15"/>
  </w:num>
  <w:num w:numId="9">
    <w:abstractNumId w:val="16"/>
  </w:num>
  <w:num w:numId="10">
    <w:abstractNumId w:val="7"/>
  </w:num>
  <w:num w:numId="11">
    <w:abstractNumId w:val="23"/>
  </w:num>
  <w:num w:numId="12">
    <w:abstractNumId w:val="19"/>
  </w:num>
  <w:num w:numId="13">
    <w:abstractNumId w:val="38"/>
  </w:num>
  <w:num w:numId="14">
    <w:abstractNumId w:val="29"/>
  </w:num>
  <w:num w:numId="15">
    <w:abstractNumId w:val="18"/>
  </w:num>
  <w:num w:numId="16">
    <w:abstractNumId w:val="13"/>
  </w:num>
  <w:num w:numId="17">
    <w:abstractNumId w:val="26"/>
  </w:num>
  <w:num w:numId="18">
    <w:abstractNumId w:val="41"/>
  </w:num>
  <w:num w:numId="19">
    <w:abstractNumId w:val="34"/>
  </w:num>
  <w:num w:numId="20">
    <w:abstractNumId w:val="5"/>
  </w:num>
  <w:num w:numId="21">
    <w:abstractNumId w:val="3"/>
  </w:num>
  <w:num w:numId="22">
    <w:abstractNumId w:val="45"/>
  </w:num>
  <w:num w:numId="23">
    <w:abstractNumId w:val="9"/>
  </w:num>
  <w:num w:numId="24">
    <w:abstractNumId w:val="45"/>
  </w:num>
  <w:num w:numId="25">
    <w:abstractNumId w:val="3"/>
  </w:num>
  <w:num w:numId="26">
    <w:abstractNumId w:val="9"/>
  </w:num>
  <w:num w:numId="27">
    <w:abstractNumId w:val="8"/>
  </w:num>
  <w:num w:numId="28">
    <w:abstractNumId w:val="36"/>
  </w:num>
  <w:num w:numId="29">
    <w:abstractNumId w:val="33"/>
  </w:num>
  <w:num w:numId="30">
    <w:abstractNumId w:val="44"/>
  </w:num>
  <w:num w:numId="31">
    <w:abstractNumId w:val="30"/>
  </w:num>
  <w:num w:numId="32">
    <w:abstractNumId w:val="22"/>
  </w:num>
  <w:num w:numId="33">
    <w:abstractNumId w:val="24"/>
  </w:num>
  <w:num w:numId="34">
    <w:abstractNumId w:val="4"/>
  </w:num>
  <w:num w:numId="35">
    <w:abstractNumId w:val="37"/>
  </w:num>
  <w:num w:numId="36">
    <w:abstractNumId w:val="27"/>
  </w:num>
  <w:num w:numId="37">
    <w:abstractNumId w:val="20"/>
  </w:num>
  <w:num w:numId="38">
    <w:abstractNumId w:val="12"/>
  </w:num>
  <w:num w:numId="39">
    <w:abstractNumId w:val="32"/>
  </w:num>
  <w:num w:numId="40">
    <w:abstractNumId w:val="35"/>
  </w:num>
  <w:num w:numId="41">
    <w:abstractNumId w:val="25"/>
  </w:num>
  <w:num w:numId="42">
    <w:abstractNumId w:val="40"/>
  </w:num>
  <w:num w:numId="43">
    <w:abstractNumId w:val="31"/>
  </w:num>
  <w:num w:numId="44">
    <w:abstractNumId w:val="2"/>
  </w:num>
  <w:num w:numId="45">
    <w:abstractNumId w:val="1"/>
  </w:num>
  <w:num w:numId="46">
    <w:abstractNumId w:val="14"/>
  </w:num>
  <w:num w:numId="47">
    <w:abstractNumId w:val="10"/>
  </w:num>
  <w:num w:numId="48">
    <w:abstractNumId w:val="28"/>
  </w:num>
  <w:num w:numId="49">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A22"/>
    <w:rsid w:val="00002283"/>
    <w:rsid w:val="000074F8"/>
    <w:rsid w:val="000079A8"/>
    <w:rsid w:val="0001325E"/>
    <w:rsid w:val="000143D8"/>
    <w:rsid w:val="0001588A"/>
    <w:rsid w:val="0001660D"/>
    <w:rsid w:val="000166D8"/>
    <w:rsid w:val="00023644"/>
    <w:rsid w:val="00023B1F"/>
    <w:rsid w:val="0002506C"/>
    <w:rsid w:val="00032EAB"/>
    <w:rsid w:val="00033031"/>
    <w:rsid w:val="000346F8"/>
    <w:rsid w:val="0003655E"/>
    <w:rsid w:val="000466C5"/>
    <w:rsid w:val="00050C84"/>
    <w:rsid w:val="00053DF4"/>
    <w:rsid w:val="00055A2D"/>
    <w:rsid w:val="000579E5"/>
    <w:rsid w:val="00063B5B"/>
    <w:rsid w:val="0006402A"/>
    <w:rsid w:val="00064093"/>
    <w:rsid w:val="00066478"/>
    <w:rsid w:val="00066F7E"/>
    <w:rsid w:val="00067A71"/>
    <w:rsid w:val="00071E45"/>
    <w:rsid w:val="0007302B"/>
    <w:rsid w:val="00073386"/>
    <w:rsid w:val="00077913"/>
    <w:rsid w:val="0008016F"/>
    <w:rsid w:val="00086CF2"/>
    <w:rsid w:val="0008777E"/>
    <w:rsid w:val="00091FCA"/>
    <w:rsid w:val="000944CC"/>
    <w:rsid w:val="00094552"/>
    <w:rsid w:val="000956D6"/>
    <w:rsid w:val="00097647"/>
    <w:rsid w:val="000A5118"/>
    <w:rsid w:val="000A74C2"/>
    <w:rsid w:val="000B046D"/>
    <w:rsid w:val="000B1F02"/>
    <w:rsid w:val="000B32CB"/>
    <w:rsid w:val="000B3549"/>
    <w:rsid w:val="000B38D8"/>
    <w:rsid w:val="000C0810"/>
    <w:rsid w:val="000C159E"/>
    <w:rsid w:val="000D28B0"/>
    <w:rsid w:val="000D3F5F"/>
    <w:rsid w:val="000E2F43"/>
    <w:rsid w:val="000E47C9"/>
    <w:rsid w:val="000E4973"/>
    <w:rsid w:val="000F1331"/>
    <w:rsid w:val="00107DC2"/>
    <w:rsid w:val="00112DDE"/>
    <w:rsid w:val="00114339"/>
    <w:rsid w:val="00116456"/>
    <w:rsid w:val="00120081"/>
    <w:rsid w:val="001206CD"/>
    <w:rsid w:val="00120768"/>
    <w:rsid w:val="00121ED9"/>
    <w:rsid w:val="001266A0"/>
    <w:rsid w:val="0012785C"/>
    <w:rsid w:val="0013048D"/>
    <w:rsid w:val="0013534B"/>
    <w:rsid w:val="0013600D"/>
    <w:rsid w:val="00142FD9"/>
    <w:rsid w:val="001502C2"/>
    <w:rsid w:val="00150B3D"/>
    <w:rsid w:val="0015422F"/>
    <w:rsid w:val="001548DC"/>
    <w:rsid w:val="00160A59"/>
    <w:rsid w:val="00170C4D"/>
    <w:rsid w:val="001714EF"/>
    <w:rsid w:val="0017387F"/>
    <w:rsid w:val="001769BC"/>
    <w:rsid w:val="001816FF"/>
    <w:rsid w:val="00182222"/>
    <w:rsid w:val="001834B3"/>
    <w:rsid w:val="0018641E"/>
    <w:rsid w:val="00186AB8"/>
    <w:rsid w:val="00187084"/>
    <w:rsid w:val="00187338"/>
    <w:rsid w:val="00187E8D"/>
    <w:rsid w:val="00192A08"/>
    <w:rsid w:val="001A0BEE"/>
    <w:rsid w:val="001A2F8D"/>
    <w:rsid w:val="001A5E4F"/>
    <w:rsid w:val="001B095C"/>
    <w:rsid w:val="001B3DF2"/>
    <w:rsid w:val="001B3ED7"/>
    <w:rsid w:val="001C000E"/>
    <w:rsid w:val="001C1F44"/>
    <w:rsid w:val="001C7563"/>
    <w:rsid w:val="001D0B8B"/>
    <w:rsid w:val="001D15EF"/>
    <w:rsid w:val="001D1854"/>
    <w:rsid w:val="001D1A22"/>
    <w:rsid w:val="001D4456"/>
    <w:rsid w:val="001E10C6"/>
    <w:rsid w:val="001E6A35"/>
    <w:rsid w:val="001F0938"/>
    <w:rsid w:val="001F618A"/>
    <w:rsid w:val="001F7F10"/>
    <w:rsid w:val="002028E6"/>
    <w:rsid w:val="00206A9C"/>
    <w:rsid w:val="00212F85"/>
    <w:rsid w:val="00216F21"/>
    <w:rsid w:val="00217790"/>
    <w:rsid w:val="00221D29"/>
    <w:rsid w:val="0022447A"/>
    <w:rsid w:val="00226709"/>
    <w:rsid w:val="00235D7A"/>
    <w:rsid w:val="00237713"/>
    <w:rsid w:val="00237B06"/>
    <w:rsid w:val="00240572"/>
    <w:rsid w:val="00241F1A"/>
    <w:rsid w:val="002456FD"/>
    <w:rsid w:val="00246FCD"/>
    <w:rsid w:val="002551F7"/>
    <w:rsid w:val="00256580"/>
    <w:rsid w:val="002573C6"/>
    <w:rsid w:val="002573EA"/>
    <w:rsid w:val="00260B63"/>
    <w:rsid w:val="00262784"/>
    <w:rsid w:val="0026684D"/>
    <w:rsid w:val="00275CCF"/>
    <w:rsid w:val="00281453"/>
    <w:rsid w:val="0028704D"/>
    <w:rsid w:val="00293720"/>
    <w:rsid w:val="002942EF"/>
    <w:rsid w:val="00295AC2"/>
    <w:rsid w:val="00295F74"/>
    <w:rsid w:val="00297E2A"/>
    <w:rsid w:val="002A0F60"/>
    <w:rsid w:val="002A2C37"/>
    <w:rsid w:val="002B3A18"/>
    <w:rsid w:val="002B4BB6"/>
    <w:rsid w:val="002B5816"/>
    <w:rsid w:val="002B5927"/>
    <w:rsid w:val="002B5ACF"/>
    <w:rsid w:val="002B7238"/>
    <w:rsid w:val="002B7D3A"/>
    <w:rsid w:val="002C06FE"/>
    <w:rsid w:val="002C1952"/>
    <w:rsid w:val="002C42E4"/>
    <w:rsid w:val="002C58C1"/>
    <w:rsid w:val="002D0E71"/>
    <w:rsid w:val="002D30EF"/>
    <w:rsid w:val="002D5412"/>
    <w:rsid w:val="002D56BC"/>
    <w:rsid w:val="002E11C0"/>
    <w:rsid w:val="002E24F1"/>
    <w:rsid w:val="002E29ED"/>
    <w:rsid w:val="002E4D51"/>
    <w:rsid w:val="002E7672"/>
    <w:rsid w:val="002F07B1"/>
    <w:rsid w:val="002F40AF"/>
    <w:rsid w:val="002F5C49"/>
    <w:rsid w:val="002F70FE"/>
    <w:rsid w:val="00300639"/>
    <w:rsid w:val="003014A7"/>
    <w:rsid w:val="00303C57"/>
    <w:rsid w:val="00307EB6"/>
    <w:rsid w:val="0031467F"/>
    <w:rsid w:val="0031563E"/>
    <w:rsid w:val="0031690C"/>
    <w:rsid w:val="00322B2E"/>
    <w:rsid w:val="00325032"/>
    <w:rsid w:val="003269E1"/>
    <w:rsid w:val="003320FE"/>
    <w:rsid w:val="00332619"/>
    <w:rsid w:val="00333D87"/>
    <w:rsid w:val="00336872"/>
    <w:rsid w:val="00343C4B"/>
    <w:rsid w:val="00347286"/>
    <w:rsid w:val="00351DFF"/>
    <w:rsid w:val="00351E7A"/>
    <w:rsid w:val="003627FB"/>
    <w:rsid w:val="003631E5"/>
    <w:rsid w:val="00365AF1"/>
    <w:rsid w:val="00366DF7"/>
    <w:rsid w:val="00366F27"/>
    <w:rsid w:val="00367E50"/>
    <w:rsid w:val="003734EE"/>
    <w:rsid w:val="00373C10"/>
    <w:rsid w:val="003751DB"/>
    <w:rsid w:val="003761E9"/>
    <w:rsid w:val="00380C46"/>
    <w:rsid w:val="00381A09"/>
    <w:rsid w:val="0038512E"/>
    <w:rsid w:val="00386033"/>
    <w:rsid w:val="00392C0B"/>
    <w:rsid w:val="00393DD9"/>
    <w:rsid w:val="003940A4"/>
    <w:rsid w:val="00396905"/>
    <w:rsid w:val="003A16B3"/>
    <w:rsid w:val="003A26D2"/>
    <w:rsid w:val="003B32AA"/>
    <w:rsid w:val="003B43CE"/>
    <w:rsid w:val="003C0029"/>
    <w:rsid w:val="003C19C2"/>
    <w:rsid w:val="003C1E0A"/>
    <w:rsid w:val="003C3AA4"/>
    <w:rsid w:val="003C4EF8"/>
    <w:rsid w:val="003C52DC"/>
    <w:rsid w:val="003C6D55"/>
    <w:rsid w:val="003C7523"/>
    <w:rsid w:val="003C7A2D"/>
    <w:rsid w:val="003D558C"/>
    <w:rsid w:val="003D5FC2"/>
    <w:rsid w:val="003D6AF8"/>
    <w:rsid w:val="003E019C"/>
    <w:rsid w:val="003E1BA7"/>
    <w:rsid w:val="003E55DE"/>
    <w:rsid w:val="003E706F"/>
    <w:rsid w:val="003F28D3"/>
    <w:rsid w:val="003F2E32"/>
    <w:rsid w:val="003F6C8E"/>
    <w:rsid w:val="003F749D"/>
    <w:rsid w:val="00401AB4"/>
    <w:rsid w:val="00404055"/>
    <w:rsid w:val="00410825"/>
    <w:rsid w:val="00411130"/>
    <w:rsid w:val="00412C46"/>
    <w:rsid w:val="00412FA0"/>
    <w:rsid w:val="00413E8F"/>
    <w:rsid w:val="00415A0F"/>
    <w:rsid w:val="004207A1"/>
    <w:rsid w:val="00420E07"/>
    <w:rsid w:val="004235BC"/>
    <w:rsid w:val="004277B6"/>
    <w:rsid w:val="004303F6"/>
    <w:rsid w:val="004314A9"/>
    <w:rsid w:val="00440986"/>
    <w:rsid w:val="00440A43"/>
    <w:rsid w:val="00442D84"/>
    <w:rsid w:val="00444C2E"/>
    <w:rsid w:val="00444FCC"/>
    <w:rsid w:val="0044548E"/>
    <w:rsid w:val="00445684"/>
    <w:rsid w:val="00445704"/>
    <w:rsid w:val="00447D47"/>
    <w:rsid w:val="00450852"/>
    <w:rsid w:val="00453E6F"/>
    <w:rsid w:val="00454BA6"/>
    <w:rsid w:val="00457071"/>
    <w:rsid w:val="00460DA7"/>
    <w:rsid w:val="00461E72"/>
    <w:rsid w:val="00467B03"/>
    <w:rsid w:val="00471ECF"/>
    <w:rsid w:val="00480D9F"/>
    <w:rsid w:val="004847D3"/>
    <w:rsid w:val="0049086C"/>
    <w:rsid w:val="00492744"/>
    <w:rsid w:val="00492C48"/>
    <w:rsid w:val="00493914"/>
    <w:rsid w:val="00495768"/>
    <w:rsid w:val="0049731C"/>
    <w:rsid w:val="004A0759"/>
    <w:rsid w:val="004B31A8"/>
    <w:rsid w:val="004B5519"/>
    <w:rsid w:val="004B5B76"/>
    <w:rsid w:val="004B756D"/>
    <w:rsid w:val="004C2866"/>
    <w:rsid w:val="004C301F"/>
    <w:rsid w:val="004D222E"/>
    <w:rsid w:val="004E0F21"/>
    <w:rsid w:val="004E27AC"/>
    <w:rsid w:val="004E4AF7"/>
    <w:rsid w:val="004E4BEF"/>
    <w:rsid w:val="004E6F28"/>
    <w:rsid w:val="004F01E2"/>
    <w:rsid w:val="004F40BE"/>
    <w:rsid w:val="004F43AF"/>
    <w:rsid w:val="004F4B9F"/>
    <w:rsid w:val="004F5BFC"/>
    <w:rsid w:val="004F7D78"/>
    <w:rsid w:val="0050633F"/>
    <w:rsid w:val="0051226C"/>
    <w:rsid w:val="0051771A"/>
    <w:rsid w:val="00524762"/>
    <w:rsid w:val="005268B1"/>
    <w:rsid w:val="00527195"/>
    <w:rsid w:val="005273A4"/>
    <w:rsid w:val="00533EDA"/>
    <w:rsid w:val="00534058"/>
    <w:rsid w:val="005347BB"/>
    <w:rsid w:val="00534E85"/>
    <w:rsid w:val="0054149D"/>
    <w:rsid w:val="00542F06"/>
    <w:rsid w:val="0054484D"/>
    <w:rsid w:val="005453CA"/>
    <w:rsid w:val="00555456"/>
    <w:rsid w:val="00561444"/>
    <w:rsid w:val="00563B91"/>
    <w:rsid w:val="00564DB5"/>
    <w:rsid w:val="0057380A"/>
    <w:rsid w:val="0057652E"/>
    <w:rsid w:val="00581A45"/>
    <w:rsid w:val="00581C5F"/>
    <w:rsid w:val="00582FCE"/>
    <w:rsid w:val="0059209D"/>
    <w:rsid w:val="0059573D"/>
    <w:rsid w:val="0059586E"/>
    <w:rsid w:val="00595B20"/>
    <w:rsid w:val="0059761F"/>
    <w:rsid w:val="005A2A5C"/>
    <w:rsid w:val="005A6C30"/>
    <w:rsid w:val="005A6CA9"/>
    <w:rsid w:val="005B1EA3"/>
    <w:rsid w:val="005B3219"/>
    <w:rsid w:val="005B5940"/>
    <w:rsid w:val="005B61FE"/>
    <w:rsid w:val="005B7014"/>
    <w:rsid w:val="005C0D61"/>
    <w:rsid w:val="005C1D17"/>
    <w:rsid w:val="005C46F2"/>
    <w:rsid w:val="005D281E"/>
    <w:rsid w:val="005D3A49"/>
    <w:rsid w:val="005D6275"/>
    <w:rsid w:val="005E071B"/>
    <w:rsid w:val="005E5F54"/>
    <w:rsid w:val="005F092D"/>
    <w:rsid w:val="005F10A6"/>
    <w:rsid w:val="005F6228"/>
    <w:rsid w:val="00600B81"/>
    <w:rsid w:val="006051BA"/>
    <w:rsid w:val="00610062"/>
    <w:rsid w:val="00611A9C"/>
    <w:rsid w:val="0061310C"/>
    <w:rsid w:val="00614351"/>
    <w:rsid w:val="00621A84"/>
    <w:rsid w:val="00623363"/>
    <w:rsid w:val="00625817"/>
    <w:rsid w:val="0063370D"/>
    <w:rsid w:val="00633BC1"/>
    <w:rsid w:val="00634BE9"/>
    <w:rsid w:val="0063565C"/>
    <w:rsid w:val="00637CBC"/>
    <w:rsid w:val="00637D4D"/>
    <w:rsid w:val="00643048"/>
    <w:rsid w:val="0064304C"/>
    <w:rsid w:val="006436E8"/>
    <w:rsid w:val="006447D5"/>
    <w:rsid w:val="00656A72"/>
    <w:rsid w:val="006623E1"/>
    <w:rsid w:val="006639C1"/>
    <w:rsid w:val="006666B3"/>
    <w:rsid w:val="006676D8"/>
    <w:rsid w:val="0067180D"/>
    <w:rsid w:val="0067272E"/>
    <w:rsid w:val="00673A05"/>
    <w:rsid w:val="006753CF"/>
    <w:rsid w:val="00677B16"/>
    <w:rsid w:val="00681312"/>
    <w:rsid w:val="00683495"/>
    <w:rsid w:val="00683514"/>
    <w:rsid w:val="00683692"/>
    <w:rsid w:val="0068421D"/>
    <w:rsid w:val="006938DF"/>
    <w:rsid w:val="00695AF6"/>
    <w:rsid w:val="006A0312"/>
    <w:rsid w:val="006A373F"/>
    <w:rsid w:val="006B000A"/>
    <w:rsid w:val="006B396B"/>
    <w:rsid w:val="006B3FDE"/>
    <w:rsid w:val="006B53D9"/>
    <w:rsid w:val="006B58E1"/>
    <w:rsid w:val="006B6395"/>
    <w:rsid w:val="006C0E70"/>
    <w:rsid w:val="006C2958"/>
    <w:rsid w:val="006C38A1"/>
    <w:rsid w:val="006C5BBE"/>
    <w:rsid w:val="006D30E9"/>
    <w:rsid w:val="006D4CDB"/>
    <w:rsid w:val="006E19BA"/>
    <w:rsid w:val="006E2422"/>
    <w:rsid w:val="006E3736"/>
    <w:rsid w:val="006E67EF"/>
    <w:rsid w:val="006F242F"/>
    <w:rsid w:val="006F283B"/>
    <w:rsid w:val="006F6E4B"/>
    <w:rsid w:val="006F757D"/>
    <w:rsid w:val="00715E12"/>
    <w:rsid w:val="00715F66"/>
    <w:rsid w:val="00717A6A"/>
    <w:rsid w:val="00717E88"/>
    <w:rsid w:val="00720FFF"/>
    <w:rsid w:val="00724D81"/>
    <w:rsid w:val="00736B1F"/>
    <w:rsid w:val="00737FE6"/>
    <w:rsid w:val="00747198"/>
    <w:rsid w:val="0075185F"/>
    <w:rsid w:val="00755505"/>
    <w:rsid w:val="0076155E"/>
    <w:rsid w:val="00763F34"/>
    <w:rsid w:val="00767508"/>
    <w:rsid w:val="00770176"/>
    <w:rsid w:val="00771679"/>
    <w:rsid w:val="00773281"/>
    <w:rsid w:val="007735BD"/>
    <w:rsid w:val="0077427B"/>
    <w:rsid w:val="00775650"/>
    <w:rsid w:val="00776E20"/>
    <w:rsid w:val="0078128F"/>
    <w:rsid w:val="00781E9F"/>
    <w:rsid w:val="007953A8"/>
    <w:rsid w:val="00796DC9"/>
    <w:rsid w:val="007A21D8"/>
    <w:rsid w:val="007A3934"/>
    <w:rsid w:val="007A4156"/>
    <w:rsid w:val="007A6B63"/>
    <w:rsid w:val="007A6E45"/>
    <w:rsid w:val="007B1085"/>
    <w:rsid w:val="007B39BB"/>
    <w:rsid w:val="007B6B36"/>
    <w:rsid w:val="007C416E"/>
    <w:rsid w:val="007C6F8F"/>
    <w:rsid w:val="007D2241"/>
    <w:rsid w:val="007D36FA"/>
    <w:rsid w:val="007D4C56"/>
    <w:rsid w:val="007D4EEE"/>
    <w:rsid w:val="007D5E49"/>
    <w:rsid w:val="007E0D53"/>
    <w:rsid w:val="007E2F96"/>
    <w:rsid w:val="007E35A8"/>
    <w:rsid w:val="007E5903"/>
    <w:rsid w:val="007E5F48"/>
    <w:rsid w:val="007E6F49"/>
    <w:rsid w:val="007E7DF9"/>
    <w:rsid w:val="007F4600"/>
    <w:rsid w:val="007F5293"/>
    <w:rsid w:val="00805D7F"/>
    <w:rsid w:val="00807797"/>
    <w:rsid w:val="00813D9C"/>
    <w:rsid w:val="00814959"/>
    <w:rsid w:val="00815F8F"/>
    <w:rsid w:val="00816151"/>
    <w:rsid w:val="00816C03"/>
    <w:rsid w:val="00823447"/>
    <w:rsid w:val="00823E50"/>
    <w:rsid w:val="0082565A"/>
    <w:rsid w:val="008258C4"/>
    <w:rsid w:val="00827943"/>
    <w:rsid w:val="0083083B"/>
    <w:rsid w:val="00834FA7"/>
    <w:rsid w:val="008351C2"/>
    <w:rsid w:val="00835606"/>
    <w:rsid w:val="00836214"/>
    <w:rsid w:val="008375BA"/>
    <w:rsid w:val="008410AE"/>
    <w:rsid w:val="008411C7"/>
    <w:rsid w:val="0084248B"/>
    <w:rsid w:val="0084546E"/>
    <w:rsid w:val="00847FAF"/>
    <w:rsid w:val="00850C9C"/>
    <w:rsid w:val="0085134A"/>
    <w:rsid w:val="008520E6"/>
    <w:rsid w:val="008531CF"/>
    <w:rsid w:val="008544DC"/>
    <w:rsid w:val="00856918"/>
    <w:rsid w:val="00860ED1"/>
    <w:rsid w:val="008714EF"/>
    <w:rsid w:val="0087199F"/>
    <w:rsid w:val="00875100"/>
    <w:rsid w:val="00877DCB"/>
    <w:rsid w:val="00881404"/>
    <w:rsid w:val="00881CD2"/>
    <w:rsid w:val="00884B2A"/>
    <w:rsid w:val="00891FF6"/>
    <w:rsid w:val="00892082"/>
    <w:rsid w:val="00892C76"/>
    <w:rsid w:val="008947CB"/>
    <w:rsid w:val="00894842"/>
    <w:rsid w:val="0089625B"/>
    <w:rsid w:val="008976E0"/>
    <w:rsid w:val="008A57E8"/>
    <w:rsid w:val="008A584C"/>
    <w:rsid w:val="008A61FD"/>
    <w:rsid w:val="008A62F9"/>
    <w:rsid w:val="008A7F04"/>
    <w:rsid w:val="008B1462"/>
    <w:rsid w:val="008B1F42"/>
    <w:rsid w:val="008B4A3B"/>
    <w:rsid w:val="008C045A"/>
    <w:rsid w:val="008C062F"/>
    <w:rsid w:val="008C3491"/>
    <w:rsid w:val="008D182A"/>
    <w:rsid w:val="008D2056"/>
    <w:rsid w:val="008D2C23"/>
    <w:rsid w:val="008D6238"/>
    <w:rsid w:val="008D62B8"/>
    <w:rsid w:val="008D6DCA"/>
    <w:rsid w:val="008D71E2"/>
    <w:rsid w:val="008D7EAF"/>
    <w:rsid w:val="008E0299"/>
    <w:rsid w:val="008E0E6B"/>
    <w:rsid w:val="008E17C1"/>
    <w:rsid w:val="008E3086"/>
    <w:rsid w:val="008E5D06"/>
    <w:rsid w:val="008F1DA3"/>
    <w:rsid w:val="008F1E25"/>
    <w:rsid w:val="008F2B0E"/>
    <w:rsid w:val="008F2CA3"/>
    <w:rsid w:val="008F32AF"/>
    <w:rsid w:val="0090089A"/>
    <w:rsid w:val="00900CE2"/>
    <w:rsid w:val="0090198D"/>
    <w:rsid w:val="009100F3"/>
    <w:rsid w:val="00910EBA"/>
    <w:rsid w:val="00912BAA"/>
    <w:rsid w:val="00912DE3"/>
    <w:rsid w:val="00917104"/>
    <w:rsid w:val="0091775B"/>
    <w:rsid w:val="009178C1"/>
    <w:rsid w:val="00917D2D"/>
    <w:rsid w:val="00920C96"/>
    <w:rsid w:val="00923003"/>
    <w:rsid w:val="00924BBE"/>
    <w:rsid w:val="00927022"/>
    <w:rsid w:val="009303EE"/>
    <w:rsid w:val="0093053A"/>
    <w:rsid w:val="00930A61"/>
    <w:rsid w:val="00930DED"/>
    <w:rsid w:val="00930E64"/>
    <w:rsid w:val="00935F63"/>
    <w:rsid w:val="009409BA"/>
    <w:rsid w:val="009436F8"/>
    <w:rsid w:val="0094486C"/>
    <w:rsid w:val="009472B3"/>
    <w:rsid w:val="009539D4"/>
    <w:rsid w:val="00953BEB"/>
    <w:rsid w:val="00960C37"/>
    <w:rsid w:val="009620CE"/>
    <w:rsid w:val="009627A5"/>
    <w:rsid w:val="00963226"/>
    <w:rsid w:val="00964622"/>
    <w:rsid w:val="0096686B"/>
    <w:rsid w:val="00974DED"/>
    <w:rsid w:val="00980F45"/>
    <w:rsid w:val="00981F8E"/>
    <w:rsid w:val="009838AC"/>
    <w:rsid w:val="00985A87"/>
    <w:rsid w:val="009860E3"/>
    <w:rsid w:val="00987448"/>
    <w:rsid w:val="00992DC2"/>
    <w:rsid w:val="009A31D1"/>
    <w:rsid w:val="009A41D7"/>
    <w:rsid w:val="009A4784"/>
    <w:rsid w:val="009A5285"/>
    <w:rsid w:val="009A74D4"/>
    <w:rsid w:val="009B3050"/>
    <w:rsid w:val="009B348E"/>
    <w:rsid w:val="009B48AD"/>
    <w:rsid w:val="009B48DE"/>
    <w:rsid w:val="009C1430"/>
    <w:rsid w:val="009C3587"/>
    <w:rsid w:val="009C4230"/>
    <w:rsid w:val="009C4807"/>
    <w:rsid w:val="009C63AE"/>
    <w:rsid w:val="009C73CD"/>
    <w:rsid w:val="009D0F33"/>
    <w:rsid w:val="009D1264"/>
    <w:rsid w:val="009D3E20"/>
    <w:rsid w:val="009D4209"/>
    <w:rsid w:val="009D712A"/>
    <w:rsid w:val="009D7170"/>
    <w:rsid w:val="009E3A35"/>
    <w:rsid w:val="009E454B"/>
    <w:rsid w:val="009E4C89"/>
    <w:rsid w:val="009F45CB"/>
    <w:rsid w:val="009F49A6"/>
    <w:rsid w:val="009F522C"/>
    <w:rsid w:val="009F59B5"/>
    <w:rsid w:val="00A02FAE"/>
    <w:rsid w:val="00A0584B"/>
    <w:rsid w:val="00A07A2E"/>
    <w:rsid w:val="00A1276E"/>
    <w:rsid w:val="00A1718E"/>
    <w:rsid w:val="00A24AAB"/>
    <w:rsid w:val="00A255C3"/>
    <w:rsid w:val="00A2679A"/>
    <w:rsid w:val="00A318BB"/>
    <w:rsid w:val="00A320B8"/>
    <w:rsid w:val="00A32B34"/>
    <w:rsid w:val="00A32F68"/>
    <w:rsid w:val="00A33722"/>
    <w:rsid w:val="00A40C38"/>
    <w:rsid w:val="00A44DAE"/>
    <w:rsid w:val="00A456CB"/>
    <w:rsid w:val="00A461B3"/>
    <w:rsid w:val="00A46E2E"/>
    <w:rsid w:val="00A51735"/>
    <w:rsid w:val="00A52375"/>
    <w:rsid w:val="00A5497F"/>
    <w:rsid w:val="00A570E9"/>
    <w:rsid w:val="00A6147C"/>
    <w:rsid w:val="00A64990"/>
    <w:rsid w:val="00A64D7F"/>
    <w:rsid w:val="00A65B56"/>
    <w:rsid w:val="00A71049"/>
    <w:rsid w:val="00A72B82"/>
    <w:rsid w:val="00A73C36"/>
    <w:rsid w:val="00A74622"/>
    <w:rsid w:val="00A75668"/>
    <w:rsid w:val="00A76CE5"/>
    <w:rsid w:val="00A80F92"/>
    <w:rsid w:val="00A83B3E"/>
    <w:rsid w:val="00A83F0B"/>
    <w:rsid w:val="00A8557A"/>
    <w:rsid w:val="00A85AEC"/>
    <w:rsid w:val="00A86CE3"/>
    <w:rsid w:val="00A92D52"/>
    <w:rsid w:val="00A94048"/>
    <w:rsid w:val="00AA489C"/>
    <w:rsid w:val="00AA7B24"/>
    <w:rsid w:val="00AA7FE2"/>
    <w:rsid w:val="00AB1998"/>
    <w:rsid w:val="00AB3156"/>
    <w:rsid w:val="00AB37C1"/>
    <w:rsid w:val="00AB7C6D"/>
    <w:rsid w:val="00AC1F74"/>
    <w:rsid w:val="00AC6372"/>
    <w:rsid w:val="00AD086A"/>
    <w:rsid w:val="00AD1102"/>
    <w:rsid w:val="00AD1A4F"/>
    <w:rsid w:val="00AD30C0"/>
    <w:rsid w:val="00AD78E7"/>
    <w:rsid w:val="00AE0E4B"/>
    <w:rsid w:val="00AE14A4"/>
    <w:rsid w:val="00AE20AD"/>
    <w:rsid w:val="00AE7306"/>
    <w:rsid w:val="00AF201F"/>
    <w:rsid w:val="00AF3F35"/>
    <w:rsid w:val="00AF6204"/>
    <w:rsid w:val="00AF6C46"/>
    <w:rsid w:val="00B002CF"/>
    <w:rsid w:val="00B031E3"/>
    <w:rsid w:val="00B069C5"/>
    <w:rsid w:val="00B06AFB"/>
    <w:rsid w:val="00B1456D"/>
    <w:rsid w:val="00B153D8"/>
    <w:rsid w:val="00B253C5"/>
    <w:rsid w:val="00B27BF9"/>
    <w:rsid w:val="00B30383"/>
    <w:rsid w:val="00B34267"/>
    <w:rsid w:val="00B342A2"/>
    <w:rsid w:val="00B34901"/>
    <w:rsid w:val="00B351B9"/>
    <w:rsid w:val="00B40366"/>
    <w:rsid w:val="00B41B95"/>
    <w:rsid w:val="00B43EB2"/>
    <w:rsid w:val="00B444EF"/>
    <w:rsid w:val="00B455BE"/>
    <w:rsid w:val="00B47DBF"/>
    <w:rsid w:val="00B509DD"/>
    <w:rsid w:val="00B5333E"/>
    <w:rsid w:val="00B54823"/>
    <w:rsid w:val="00B54913"/>
    <w:rsid w:val="00B5566B"/>
    <w:rsid w:val="00B55B1D"/>
    <w:rsid w:val="00B60AC2"/>
    <w:rsid w:val="00B6140B"/>
    <w:rsid w:val="00B61EE8"/>
    <w:rsid w:val="00B646E7"/>
    <w:rsid w:val="00B6680D"/>
    <w:rsid w:val="00B67FE4"/>
    <w:rsid w:val="00B707FE"/>
    <w:rsid w:val="00B72810"/>
    <w:rsid w:val="00B778C7"/>
    <w:rsid w:val="00B80C91"/>
    <w:rsid w:val="00B80EC5"/>
    <w:rsid w:val="00B81609"/>
    <w:rsid w:val="00B84148"/>
    <w:rsid w:val="00B8483B"/>
    <w:rsid w:val="00B8525A"/>
    <w:rsid w:val="00B863A2"/>
    <w:rsid w:val="00B86876"/>
    <w:rsid w:val="00B906A9"/>
    <w:rsid w:val="00B93C9C"/>
    <w:rsid w:val="00B94FE9"/>
    <w:rsid w:val="00B97A45"/>
    <w:rsid w:val="00B97B61"/>
    <w:rsid w:val="00BA318A"/>
    <w:rsid w:val="00BB3FA7"/>
    <w:rsid w:val="00BB44CD"/>
    <w:rsid w:val="00BB7630"/>
    <w:rsid w:val="00BB7AEE"/>
    <w:rsid w:val="00BC3D0F"/>
    <w:rsid w:val="00BD065A"/>
    <w:rsid w:val="00BD3358"/>
    <w:rsid w:val="00BD3D20"/>
    <w:rsid w:val="00BD4A93"/>
    <w:rsid w:val="00BD72F7"/>
    <w:rsid w:val="00BE0ABA"/>
    <w:rsid w:val="00BE16B3"/>
    <w:rsid w:val="00BE3E03"/>
    <w:rsid w:val="00BE48D8"/>
    <w:rsid w:val="00BE4C69"/>
    <w:rsid w:val="00BE6A42"/>
    <w:rsid w:val="00BE6B85"/>
    <w:rsid w:val="00BE7BB7"/>
    <w:rsid w:val="00BF0A6C"/>
    <w:rsid w:val="00BF20E1"/>
    <w:rsid w:val="00BF63D5"/>
    <w:rsid w:val="00C0025E"/>
    <w:rsid w:val="00C00570"/>
    <w:rsid w:val="00C007D8"/>
    <w:rsid w:val="00C06C02"/>
    <w:rsid w:val="00C07730"/>
    <w:rsid w:val="00C078A6"/>
    <w:rsid w:val="00C1075C"/>
    <w:rsid w:val="00C10A0C"/>
    <w:rsid w:val="00C22E7B"/>
    <w:rsid w:val="00C2398C"/>
    <w:rsid w:val="00C25E90"/>
    <w:rsid w:val="00C26401"/>
    <w:rsid w:val="00C3135D"/>
    <w:rsid w:val="00C31AB1"/>
    <w:rsid w:val="00C31C7E"/>
    <w:rsid w:val="00C31E4F"/>
    <w:rsid w:val="00C33A08"/>
    <w:rsid w:val="00C40D87"/>
    <w:rsid w:val="00C4148E"/>
    <w:rsid w:val="00C44E4C"/>
    <w:rsid w:val="00C475EF"/>
    <w:rsid w:val="00C52945"/>
    <w:rsid w:val="00C54052"/>
    <w:rsid w:val="00C55A55"/>
    <w:rsid w:val="00C57C74"/>
    <w:rsid w:val="00C57F12"/>
    <w:rsid w:val="00C62F6F"/>
    <w:rsid w:val="00C6785F"/>
    <w:rsid w:val="00C67A24"/>
    <w:rsid w:val="00C7089B"/>
    <w:rsid w:val="00C70E5C"/>
    <w:rsid w:val="00C70EC8"/>
    <w:rsid w:val="00C72CF8"/>
    <w:rsid w:val="00C74E0E"/>
    <w:rsid w:val="00C765F0"/>
    <w:rsid w:val="00C76B16"/>
    <w:rsid w:val="00C7787D"/>
    <w:rsid w:val="00C80F70"/>
    <w:rsid w:val="00C83F7F"/>
    <w:rsid w:val="00C9162D"/>
    <w:rsid w:val="00C94B78"/>
    <w:rsid w:val="00C95BC8"/>
    <w:rsid w:val="00CA5E84"/>
    <w:rsid w:val="00CA5F8B"/>
    <w:rsid w:val="00CA69D7"/>
    <w:rsid w:val="00CB047B"/>
    <w:rsid w:val="00CB38E8"/>
    <w:rsid w:val="00CB4CDC"/>
    <w:rsid w:val="00CB6893"/>
    <w:rsid w:val="00CC24BF"/>
    <w:rsid w:val="00CC2F1B"/>
    <w:rsid w:val="00CC4336"/>
    <w:rsid w:val="00CD43AB"/>
    <w:rsid w:val="00CD5D6A"/>
    <w:rsid w:val="00CE65FF"/>
    <w:rsid w:val="00CF12B4"/>
    <w:rsid w:val="00CF1494"/>
    <w:rsid w:val="00CF2402"/>
    <w:rsid w:val="00CF4836"/>
    <w:rsid w:val="00D05B26"/>
    <w:rsid w:val="00D06F22"/>
    <w:rsid w:val="00D07504"/>
    <w:rsid w:val="00D07E0F"/>
    <w:rsid w:val="00D1737B"/>
    <w:rsid w:val="00D2210A"/>
    <w:rsid w:val="00D278D6"/>
    <w:rsid w:val="00D40746"/>
    <w:rsid w:val="00D43AED"/>
    <w:rsid w:val="00D46ABA"/>
    <w:rsid w:val="00D51595"/>
    <w:rsid w:val="00D53A67"/>
    <w:rsid w:val="00D54F1D"/>
    <w:rsid w:val="00D604C6"/>
    <w:rsid w:val="00D64AC5"/>
    <w:rsid w:val="00D67CD2"/>
    <w:rsid w:val="00D75CB7"/>
    <w:rsid w:val="00D81429"/>
    <w:rsid w:val="00D824E5"/>
    <w:rsid w:val="00D842CA"/>
    <w:rsid w:val="00D8637B"/>
    <w:rsid w:val="00D8753A"/>
    <w:rsid w:val="00D929B7"/>
    <w:rsid w:val="00D95960"/>
    <w:rsid w:val="00D96B8F"/>
    <w:rsid w:val="00DA1A1C"/>
    <w:rsid w:val="00DA64A0"/>
    <w:rsid w:val="00DA73D0"/>
    <w:rsid w:val="00DA7D25"/>
    <w:rsid w:val="00DB1549"/>
    <w:rsid w:val="00DB24DE"/>
    <w:rsid w:val="00DB29D9"/>
    <w:rsid w:val="00DB363E"/>
    <w:rsid w:val="00DB3E61"/>
    <w:rsid w:val="00DB643C"/>
    <w:rsid w:val="00DC153C"/>
    <w:rsid w:val="00DD7D77"/>
    <w:rsid w:val="00DE59DF"/>
    <w:rsid w:val="00DE7147"/>
    <w:rsid w:val="00DF1CA4"/>
    <w:rsid w:val="00DF5BD9"/>
    <w:rsid w:val="00DF6D25"/>
    <w:rsid w:val="00E05F86"/>
    <w:rsid w:val="00E0681E"/>
    <w:rsid w:val="00E07EAA"/>
    <w:rsid w:val="00E106EA"/>
    <w:rsid w:val="00E12F9F"/>
    <w:rsid w:val="00E1516C"/>
    <w:rsid w:val="00E24E29"/>
    <w:rsid w:val="00E3096A"/>
    <w:rsid w:val="00E333D3"/>
    <w:rsid w:val="00E34ED0"/>
    <w:rsid w:val="00E41416"/>
    <w:rsid w:val="00E425C3"/>
    <w:rsid w:val="00E44C86"/>
    <w:rsid w:val="00E47D7E"/>
    <w:rsid w:val="00E5178B"/>
    <w:rsid w:val="00E51ACD"/>
    <w:rsid w:val="00E55894"/>
    <w:rsid w:val="00E60372"/>
    <w:rsid w:val="00E67B49"/>
    <w:rsid w:val="00E70208"/>
    <w:rsid w:val="00E720AF"/>
    <w:rsid w:val="00E73884"/>
    <w:rsid w:val="00E74017"/>
    <w:rsid w:val="00E768A4"/>
    <w:rsid w:val="00E820BB"/>
    <w:rsid w:val="00E85BE3"/>
    <w:rsid w:val="00E86565"/>
    <w:rsid w:val="00E87121"/>
    <w:rsid w:val="00E87576"/>
    <w:rsid w:val="00E90EF7"/>
    <w:rsid w:val="00E93F79"/>
    <w:rsid w:val="00E953A9"/>
    <w:rsid w:val="00E95D72"/>
    <w:rsid w:val="00E96199"/>
    <w:rsid w:val="00E96885"/>
    <w:rsid w:val="00E9798E"/>
    <w:rsid w:val="00EA2CDD"/>
    <w:rsid w:val="00EA3D10"/>
    <w:rsid w:val="00EA46D6"/>
    <w:rsid w:val="00EA53D7"/>
    <w:rsid w:val="00EA7014"/>
    <w:rsid w:val="00EB12F3"/>
    <w:rsid w:val="00EB3D6B"/>
    <w:rsid w:val="00EB6D7B"/>
    <w:rsid w:val="00EC7545"/>
    <w:rsid w:val="00EC75FC"/>
    <w:rsid w:val="00ED180B"/>
    <w:rsid w:val="00ED2578"/>
    <w:rsid w:val="00ED2706"/>
    <w:rsid w:val="00ED52E6"/>
    <w:rsid w:val="00EE3788"/>
    <w:rsid w:val="00EE3871"/>
    <w:rsid w:val="00EE4073"/>
    <w:rsid w:val="00EF0D8E"/>
    <w:rsid w:val="00EF138B"/>
    <w:rsid w:val="00EF152F"/>
    <w:rsid w:val="00EF1D6C"/>
    <w:rsid w:val="00EF5FEC"/>
    <w:rsid w:val="00F01ED2"/>
    <w:rsid w:val="00F02E70"/>
    <w:rsid w:val="00F03D55"/>
    <w:rsid w:val="00F043AE"/>
    <w:rsid w:val="00F04E86"/>
    <w:rsid w:val="00F04E95"/>
    <w:rsid w:val="00F1243B"/>
    <w:rsid w:val="00F13DD4"/>
    <w:rsid w:val="00F14EC2"/>
    <w:rsid w:val="00F152B3"/>
    <w:rsid w:val="00F204FC"/>
    <w:rsid w:val="00F225C5"/>
    <w:rsid w:val="00F33E82"/>
    <w:rsid w:val="00F34B2E"/>
    <w:rsid w:val="00F354B5"/>
    <w:rsid w:val="00F369CC"/>
    <w:rsid w:val="00F3711D"/>
    <w:rsid w:val="00F37A96"/>
    <w:rsid w:val="00F4187A"/>
    <w:rsid w:val="00F4378A"/>
    <w:rsid w:val="00F44AD3"/>
    <w:rsid w:val="00F45DCB"/>
    <w:rsid w:val="00F46770"/>
    <w:rsid w:val="00F500F3"/>
    <w:rsid w:val="00F5190F"/>
    <w:rsid w:val="00F52522"/>
    <w:rsid w:val="00F537B9"/>
    <w:rsid w:val="00F545F9"/>
    <w:rsid w:val="00F76769"/>
    <w:rsid w:val="00F935A9"/>
    <w:rsid w:val="00F93B3F"/>
    <w:rsid w:val="00F93FD7"/>
    <w:rsid w:val="00F96569"/>
    <w:rsid w:val="00FA0D53"/>
    <w:rsid w:val="00FA2944"/>
    <w:rsid w:val="00FA39E2"/>
    <w:rsid w:val="00FA416E"/>
    <w:rsid w:val="00FA447C"/>
    <w:rsid w:val="00FA6338"/>
    <w:rsid w:val="00FA771E"/>
    <w:rsid w:val="00FB1F26"/>
    <w:rsid w:val="00FB204B"/>
    <w:rsid w:val="00FB2443"/>
    <w:rsid w:val="00FB3AAC"/>
    <w:rsid w:val="00FB42D9"/>
    <w:rsid w:val="00FB4F69"/>
    <w:rsid w:val="00FB5AD5"/>
    <w:rsid w:val="00FC13C1"/>
    <w:rsid w:val="00FC1A03"/>
    <w:rsid w:val="00FC2210"/>
    <w:rsid w:val="00FC4B51"/>
    <w:rsid w:val="00FC5C5B"/>
    <w:rsid w:val="00FC6EA7"/>
    <w:rsid w:val="00FD0984"/>
    <w:rsid w:val="00FD15A8"/>
    <w:rsid w:val="00FD6B82"/>
    <w:rsid w:val="00FD73BF"/>
    <w:rsid w:val="00FE0B3F"/>
    <w:rsid w:val="00FE0EF2"/>
    <w:rsid w:val="00FE4747"/>
    <w:rsid w:val="00FE7D7F"/>
    <w:rsid w:val="00FF2B80"/>
    <w:rsid w:val="00FF4542"/>
    <w:rsid w:val="00FF5C24"/>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7D6DE3EB"/>
  <w15:docId w15:val="{E5DD35C1-86A7-456E-A9F1-896C2766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563B91"/>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563B91"/>
    <w:rPr>
      <w:sz w:val="20"/>
      <w:szCs w:val="20"/>
    </w:rPr>
  </w:style>
  <w:style w:type="character" w:styleId="Odkaznavysvetlivku">
    <w:name w:val="endnote reference"/>
    <w:basedOn w:val="Predvolenpsmoodseku"/>
    <w:uiPriority w:val="99"/>
    <w:semiHidden/>
    <w:unhideWhenUsed/>
    <w:rsid w:val="00563B91"/>
    <w:rPr>
      <w:vertAlign w:val="superscript"/>
    </w:rPr>
  </w:style>
  <w:style w:type="character" w:styleId="Zvraznenie">
    <w:name w:val="Emphasis"/>
    <w:uiPriority w:val="20"/>
    <w:qFormat/>
    <w:rsid w:val="008D182A"/>
    <w:rPr>
      <w:i/>
      <w:iCs/>
    </w:rPr>
  </w:style>
  <w:style w:type="paragraph" w:customStyle="1" w:styleId="Predvolen">
    <w:name w:val="Predvolené"/>
    <w:uiPriority w:val="99"/>
    <w:rsid w:val="00621A84"/>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8B1F42"/>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8B1F42"/>
    <w:rPr>
      <w:rFonts w:ascii="Trebuchet MS" w:eastAsia="Times New Roman" w:hAnsi="Trebuchet MS" w:cs="Times New Roman"/>
      <w:color w:val="181D33"/>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1080180501">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6B6B4-F21C-43BB-BA5D-30C75FB20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14</Pages>
  <Words>6561</Words>
  <Characters>37404</Characters>
  <Application>Microsoft Office Word</Application>
  <DocSecurity>0</DocSecurity>
  <Lines>311</Lines>
  <Paragraphs>87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43878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OM</cp:lastModifiedBy>
  <cp:revision>11</cp:revision>
  <cp:lastPrinted>2016-08-27T16:57:00Z</cp:lastPrinted>
  <dcterms:created xsi:type="dcterms:W3CDTF">2021-06-15T08:51:00Z</dcterms:created>
  <dcterms:modified xsi:type="dcterms:W3CDTF">2022-04-21T10:54:00Z</dcterms:modified>
</cp:coreProperties>
</file>