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5AE28907"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CC5388">
        <w:rPr>
          <w:rFonts w:ascii="Arial" w:eastAsia="Calibri" w:hAnsi="Arial" w:cs="Arial"/>
          <w:b/>
          <w:bCs/>
          <w:color w:val="000000" w:themeColor="text1"/>
          <w:sz w:val="20"/>
          <w:szCs w:val="20"/>
        </w:rPr>
        <w:t>4</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3BB164EE"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49495F">
        <w:rPr>
          <w:rFonts w:ascii="Arial" w:hAnsi="Arial" w:cs="Arial"/>
          <w:b/>
          <w:color w:val="000000" w:themeColor="text1"/>
          <w:sz w:val="24"/>
          <w:szCs w:val="19"/>
        </w:rPr>
        <w:t>1</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49495F" w:rsidRPr="008D182A">
        <w:rPr>
          <w:rFonts w:ascii="Arial" w:hAnsi="Arial" w:cs="Arial"/>
          <w:b/>
          <w:iCs/>
          <w:color w:val="000000" w:themeColor="text1"/>
          <w:sz w:val="24"/>
          <w:szCs w:val="19"/>
        </w:rPr>
        <w:t>Zvýšenie atraktivity a konkurencieschopnosti verejnej osobnej dopravy</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2ECBE1B1"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944D9F">
              <w:rPr>
                <w:rFonts w:ascii="Arial" w:hAnsi="Arial" w:cs="Arial"/>
                <w:color w:val="000000" w:themeColor="text1"/>
                <w:sz w:val="19"/>
                <w:szCs w:val="19"/>
              </w:rPr>
              <w:t>1</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Zvýšenie</w:t>
            </w:r>
            <w:r w:rsidR="00944D9F">
              <w:rPr>
                <w:rFonts w:ascii="Arial" w:hAnsi="Arial" w:cs="Arial"/>
                <w:color w:val="000000" w:themeColor="text1"/>
                <w:sz w:val="19"/>
                <w:szCs w:val="19"/>
              </w:rPr>
              <w:t xml:space="preserve"> </w:t>
            </w:r>
            <w:r w:rsidR="00944D9F" w:rsidRPr="00944D9F">
              <w:rPr>
                <w:rFonts w:ascii="Arial" w:hAnsi="Arial" w:cs="Arial"/>
                <w:color w:val="000000" w:themeColor="text1"/>
                <w:sz w:val="19"/>
                <w:szCs w:val="19"/>
              </w:rPr>
              <w:t>atraktivity a konkurencieschopnosti verejnej osobnej dopravy</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4A28019"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očakávané merateľné ukazovatele</w:t>
      </w:r>
      <w:r w:rsidR="00A560B5">
        <w:rPr>
          <w:rFonts w:ascii="Arial" w:hAnsi="Arial" w:cs="Arial"/>
          <w:color w:val="000000" w:themeColor="text1"/>
          <w:sz w:val="19"/>
          <w:szCs w:val="19"/>
        </w:rPr>
        <w:t xml:space="preserve">, </w:t>
      </w:r>
      <w:r w:rsidR="00A560B5" w:rsidRPr="00043A24">
        <w:rPr>
          <w:rFonts w:ascii="Arial" w:hAnsi="Arial" w:cs="Arial"/>
          <w:color w:val="000000" w:themeColor="text1"/>
          <w:sz w:val="19"/>
          <w:szCs w:val="19"/>
        </w:rPr>
        <w:t>príloha Stanovisko RO pre IROP týkajúce sa splnenia parametrov „bezpečných/istých“ projektov</w:t>
      </w:r>
      <w:r w:rsidR="003108BE" w:rsidRPr="00043A24">
        <w:rPr>
          <w:rFonts w:ascii="Arial" w:hAnsi="Arial" w:cs="Arial"/>
          <w:color w:val="000000" w:themeColor="text1"/>
          <w:sz w:val="19"/>
          <w:szCs w:val="19"/>
        </w:rPr>
        <w:t xml:space="preserve"> (ak relevantné).</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3D2AC702"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944D9F">
        <w:rPr>
          <w:rFonts w:ascii="Arial" w:hAnsi="Arial" w:cs="Arial"/>
          <w:b/>
          <w:bCs/>
          <w:color w:val="000000" w:themeColor="text1"/>
          <w:sz w:val="19"/>
          <w:szCs w:val="19"/>
        </w:rPr>
        <w:t>1</w:t>
      </w:r>
      <w:r w:rsidR="00F043AE" w:rsidRPr="008B1F42">
        <w:rPr>
          <w:rFonts w:ascii="Arial" w:hAnsi="Arial" w:cs="Arial"/>
          <w:b/>
          <w:bCs/>
          <w:color w:val="000000" w:themeColor="text1"/>
          <w:sz w:val="19"/>
          <w:szCs w:val="19"/>
        </w:rPr>
        <w:t xml:space="preserve"> </w:t>
      </w:r>
    </w:p>
    <w:p w14:paraId="61169C2F" w14:textId="247A87E7" w:rsidR="00B24207" w:rsidRPr="00795D8F" w:rsidRDefault="00621A84" w:rsidP="00B24207">
      <w:pPr>
        <w:spacing w:before="120"/>
        <w:jc w:val="both"/>
        <w:rPr>
          <w:rFonts w:ascii="Arial" w:hAnsi="Arial" w:cs="Arial"/>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944D9F">
        <w:rPr>
          <w:rFonts w:ascii="Arial" w:hAnsi="Arial" w:cs="Arial"/>
          <w:color w:val="000000" w:themeColor="text1"/>
          <w:sz w:val="19"/>
          <w:szCs w:val="19"/>
        </w:rPr>
        <w:t>1</w:t>
      </w:r>
      <w:r w:rsidRPr="00FB4F69">
        <w:rPr>
          <w:rFonts w:ascii="Arial" w:hAnsi="Arial" w:cs="Arial"/>
          <w:color w:val="000000" w:themeColor="text1"/>
          <w:sz w:val="19"/>
          <w:szCs w:val="19"/>
        </w:rPr>
        <w:t xml:space="preserve">, ktorým je </w:t>
      </w:r>
      <w:r w:rsidR="00944D9F">
        <w:rPr>
          <w:rFonts w:ascii="Arial" w:hAnsi="Arial" w:cs="Arial"/>
          <w:color w:val="000000" w:themeColor="text1"/>
          <w:sz w:val="19"/>
          <w:szCs w:val="19"/>
        </w:rPr>
        <w:t>p</w:t>
      </w:r>
      <w:r w:rsidR="00944D9F" w:rsidRPr="00944D9F">
        <w:rPr>
          <w:rFonts w:ascii="Arial" w:hAnsi="Arial" w:cs="Arial"/>
          <w:color w:val="000000" w:themeColor="text1"/>
          <w:sz w:val="19"/>
          <w:szCs w:val="19"/>
        </w:rPr>
        <w:t>rostredníctvom infraštruktúrnych opatrení v rámci verejnej osobnej dopravy docie</w:t>
      </w:r>
      <w:r w:rsidR="00944D9F">
        <w:rPr>
          <w:rFonts w:ascii="Arial" w:hAnsi="Arial" w:cs="Arial"/>
          <w:color w:val="000000" w:themeColor="text1"/>
          <w:sz w:val="19"/>
          <w:szCs w:val="19"/>
        </w:rPr>
        <w:t xml:space="preserve">lenie </w:t>
      </w:r>
      <w:r w:rsidR="00944D9F" w:rsidRPr="00944D9F">
        <w:rPr>
          <w:rFonts w:ascii="Arial" w:hAnsi="Arial" w:cs="Arial"/>
          <w:color w:val="000000" w:themeColor="text1"/>
          <w:sz w:val="19"/>
          <w:szCs w:val="19"/>
        </w:rPr>
        <w:t xml:space="preserve">zvýšenie jej atraktivity, pokles individuálnej automobilovej dopravy, nižšia miera emisií skleníkových plynov na prepraveného jednotlivca a zníženie pevných </w:t>
      </w:r>
      <w:r w:rsidR="00944D9F" w:rsidRPr="00944D9F">
        <w:rPr>
          <w:rFonts w:ascii="Arial" w:hAnsi="Arial" w:cs="Arial"/>
          <w:color w:val="000000" w:themeColor="text1"/>
          <w:sz w:val="19"/>
          <w:szCs w:val="19"/>
        </w:rPr>
        <w:lastRenderedPageBreak/>
        <w:t xml:space="preserve">častíc, hluku a vibrácií. </w:t>
      </w:r>
      <w:r w:rsidR="00B24207" w:rsidRPr="00B24207">
        <w:rPr>
          <w:rFonts w:ascii="Arial" w:hAnsi="Arial" w:cs="Arial"/>
          <w:color w:val="000000" w:themeColor="text1"/>
          <w:sz w:val="19"/>
          <w:szCs w:val="19"/>
        </w:rPr>
        <w:t>Z pohľadu financovania možno v rámci IROP za nosné považovať infraštruktúrne opatrenia do VOD a nemotorovej dopravy, ktorých cieľom je zvýšenie atraktivity VOD a nemotorovej dopravy, čo prinesie veľké množstvo benefitov pre mestá, obce, cestujúcu verejnosť a v neposlednom rade pre kvalitu životného prostredia</w:t>
      </w:r>
      <w:r w:rsidR="00B24207" w:rsidRPr="00795D8F">
        <w:rPr>
          <w:rFonts w:ascii="Arial" w:hAnsi="Arial" w:cs="Arial"/>
        </w:rPr>
        <w:t>.</w:t>
      </w:r>
    </w:p>
    <w:p w14:paraId="64CC000A" w14:textId="3EF1C82C" w:rsidR="00944D9F" w:rsidRPr="00944D9F" w:rsidRDefault="00944D9F" w:rsidP="00944D9F">
      <w:pPr>
        <w:spacing w:after="120"/>
        <w:jc w:val="both"/>
        <w:rPr>
          <w:rFonts w:ascii="Arial" w:hAnsi="Arial" w:cs="Arial"/>
          <w:color w:val="000000" w:themeColor="text1"/>
          <w:sz w:val="19"/>
          <w:szCs w:val="19"/>
        </w:rPr>
      </w:pPr>
    </w:p>
    <w:p w14:paraId="6E8C17EB" w14:textId="34A2CE2A" w:rsidR="00EA7014" w:rsidRDefault="00EA7014" w:rsidP="00F043AE">
      <w:pPr>
        <w:spacing w:before="120" w:after="120" w:line="288" w:lineRule="auto"/>
        <w:jc w:val="both"/>
        <w:rPr>
          <w:rFonts w:ascii="Arial" w:hAnsi="Arial" w:cs="Arial"/>
          <w:color w:val="000000" w:themeColor="text1"/>
          <w:sz w:val="19"/>
          <w:szCs w:val="19"/>
        </w:rPr>
      </w:pPr>
      <w:r w:rsidRPr="00EA7014">
        <w:rPr>
          <w:rFonts w:ascii="Arial" w:hAnsi="Arial" w:cs="Arial"/>
          <w:color w:val="000000" w:themeColor="text1"/>
          <w:sz w:val="19"/>
          <w:szCs w:val="19"/>
        </w:rPr>
        <w:t>.</w:t>
      </w:r>
    </w:p>
    <w:p w14:paraId="38272AD5" w14:textId="77777777" w:rsidR="00621A84" w:rsidRPr="00FB4F69" w:rsidRDefault="00621A84" w:rsidP="00B24207">
      <w:pPr>
        <w:numPr>
          <w:ilvl w:val="0"/>
          <w:numId w:val="33"/>
        </w:numPr>
        <w:spacing w:before="120" w:after="120" w:line="288" w:lineRule="auto"/>
        <w:ind w:left="709"/>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11C180FC"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B24486">
        <w:rPr>
          <w:rFonts w:ascii="Arial" w:hAnsi="Arial" w:cs="Arial"/>
          <w:color w:val="000000" w:themeColor="text1"/>
          <w:sz w:val="19"/>
          <w:szCs w:val="19"/>
        </w:rPr>
        <w:t>1</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B24486">
        <w:rPr>
          <w:rFonts w:ascii="Arial" w:hAnsi="Arial" w:cs="Arial"/>
          <w:color w:val="000000" w:themeColor="text1"/>
          <w:sz w:val="19"/>
          <w:szCs w:val="19"/>
        </w:rPr>
        <w:t xml:space="preserve">Zvýšenie </w:t>
      </w:r>
      <w:r w:rsidR="00B24486" w:rsidRPr="00944D9F">
        <w:rPr>
          <w:rFonts w:ascii="Arial" w:hAnsi="Arial" w:cs="Arial"/>
          <w:color w:val="000000" w:themeColor="text1"/>
          <w:sz w:val="19"/>
          <w:szCs w:val="19"/>
        </w:rPr>
        <w:t>atraktivity a konkurencieschopnosti verejnej osobnej dopravy</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4B0992B4" w14:textId="77777777" w:rsidR="00944D9F" w:rsidRPr="00944D9F" w:rsidRDefault="00944D9F" w:rsidP="00944D9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944D9F">
        <w:rPr>
          <w:rFonts w:ascii="Arial" w:eastAsiaTheme="minorHAnsi" w:hAnsi="Arial" w:cs="Arial"/>
          <w:color w:val="000000" w:themeColor="text1"/>
          <w:sz w:val="19"/>
          <w:szCs w:val="19"/>
          <w:lang w:val="sk-SK" w:bidi="ar-SA"/>
        </w:rPr>
        <w:t>zvýšenie počtu osôb prepravených integrovanou VOD prostredníctvom zatraktívnenia VOD (realizáciou infraštruktúrnych, organizačných a prevádzkových opatrení),</w:t>
      </w:r>
    </w:p>
    <w:p w14:paraId="18757AB3" w14:textId="494DE53F" w:rsidR="008B1F42" w:rsidRPr="00FB4F69" w:rsidRDefault="00944D9F" w:rsidP="00944D9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944D9F">
        <w:rPr>
          <w:rFonts w:ascii="Arial" w:eastAsiaTheme="minorHAnsi" w:hAnsi="Arial" w:cs="Arial"/>
          <w:color w:val="000000" w:themeColor="text1"/>
          <w:sz w:val="19"/>
          <w:szCs w:val="19"/>
          <w:lang w:val="sk-SK" w:bidi="ar-SA"/>
        </w:rPr>
        <w:t>zmena deľby prepravnej práce v prospech ekologicky priaznivejších módov dopravy</w:t>
      </w:r>
      <w:r w:rsidR="008B1F42" w:rsidRPr="00FB4F69">
        <w:rPr>
          <w:rFonts w:ascii="Arial" w:eastAsiaTheme="minorHAnsi" w:hAnsi="Arial" w:cs="Arial"/>
          <w:color w:val="000000" w:themeColor="text1"/>
          <w:sz w:val="19"/>
          <w:szCs w:val="19"/>
          <w:lang w:val="sk-SK" w:bidi="ar-SA"/>
        </w:rPr>
        <w:t>.</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12FC1DC5" w14:textId="607843BF"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 xml:space="preserve">zabezpečenie moderných tarifných, informačných a dispečerských systémov, zlepšenie informovanosti cestujúcich a zlepšenie informačného </w:t>
      </w:r>
      <w:r w:rsidRPr="00060012">
        <w:rPr>
          <w:rFonts w:ascii="Arial" w:hAnsi="Arial" w:cs="Arial"/>
          <w:i/>
          <w:color w:val="000000" w:themeColor="text1"/>
          <w:sz w:val="19"/>
          <w:szCs w:val="19"/>
          <w:lang w:val="sk-SK"/>
        </w:rPr>
        <w:br/>
        <w:t>a oznamovacieho systému,</w:t>
      </w:r>
    </w:p>
    <w:p w14:paraId="7D957285" w14:textId="2A50A73E"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modernizácia existujúcich a zavádzanie nových integrovaných dopravných systémov  - technická podpora softvérového zabezpečenia</w:t>
      </w:r>
      <w:r w:rsidRPr="00B24207">
        <w:rPr>
          <w:color w:val="000000" w:themeColor="text1"/>
          <w:sz w:val="19"/>
          <w:szCs w:val="19"/>
          <w:lang w:val="sk-SK"/>
        </w:rPr>
        <w:endnoteReference w:id="1"/>
      </w:r>
      <w:r w:rsidRPr="00B24207">
        <w:rPr>
          <w:rFonts w:ascii="Arial" w:hAnsi="Arial" w:cs="Arial"/>
          <w:color w:val="000000" w:themeColor="text1"/>
          <w:sz w:val="19"/>
          <w:szCs w:val="19"/>
          <w:lang w:val="sk-SK"/>
        </w:rPr>
        <w:t xml:space="preserve"> ako aj hardvérového vybavenia;</w:t>
      </w:r>
    </w:p>
    <w:p w14:paraId="69575808" w14:textId="732CB50F"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 xml:space="preserve">podpora informovanosti verejnosti s cieľom zvyšovania atraktivity verejnej osobnej dopravy. </w:t>
      </w:r>
    </w:p>
    <w:p w14:paraId="00CBD028" w14:textId="3EB71150"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zavádzanie doplnkových služieb verejnej osobnej dopravy;</w:t>
      </w:r>
    </w:p>
    <w:p w14:paraId="6D0ECFD4" w14:textId="73AB075E"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zlepšenie infraštruktúry verejnej osobnej dopravy tak, ako je uvedené v miestnych/regionálnych plánoch udržateľnej dopravy,</w:t>
      </w:r>
    </w:p>
    <w:p w14:paraId="49BC3949"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 xml:space="preserve">obnova a budovanie vyhradených jazdných pruhov pre verejnú osobnú dopravu; </w:t>
      </w:r>
    </w:p>
    <w:p w14:paraId="54EE85A7" w14:textId="70176160"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prestupných uzlov</w:t>
      </w:r>
      <w:r w:rsidRPr="00B24207">
        <w:rPr>
          <w:color w:val="000000" w:themeColor="text1"/>
          <w:sz w:val="19"/>
          <w:szCs w:val="19"/>
          <w:lang w:val="sk-SK"/>
        </w:rPr>
        <w:endnoteReference w:id="2"/>
      </w:r>
      <w:r w:rsidRPr="00B24207">
        <w:rPr>
          <w:rFonts w:ascii="Arial" w:hAnsi="Arial" w:cs="Arial"/>
          <w:color w:val="000000" w:themeColor="text1"/>
          <w:sz w:val="19"/>
          <w:szCs w:val="19"/>
          <w:lang w:val="sk-SK"/>
        </w:rPr>
        <w:t>, okrem uzlov so zásahom do železničnej infraštruktúry;</w:t>
      </w:r>
    </w:p>
    <w:p w14:paraId="5D8A333B" w14:textId="4BFF97D6"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zastávok cestnej verejnej osobnej dopravy a integrovaných zastávok subsystémov verejnej osobnej dopravy;</w:t>
      </w:r>
    </w:p>
    <w:p w14:paraId="19DC36ED"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obratísk cestnej verejnej osobnej dopravy;</w:t>
      </w:r>
    </w:p>
    <w:p w14:paraId="3033E96E" w14:textId="3535E823"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záchytných parkovísk Park &amp; Ride (P+R), Kiss &amp; Ride (K+R), Bike &amp; Ride (B+R) a inštalácia systému chytrého parkovania v atraktívnych oblastiach miest;</w:t>
      </w:r>
    </w:p>
    <w:p w14:paraId="528EF7CD"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zavádzanie opatrení preferencie verejnej osobnej dopravy.</w:t>
      </w:r>
    </w:p>
    <w:p w14:paraId="6C47D9DF" w14:textId="2E664810"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zlepšenie kvality vozidlového parku autobusovej dopravy.</w:t>
      </w:r>
    </w:p>
    <w:p w14:paraId="2CD4597E"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nákup a náhrada autobusov mestskej hromadnej dopravy a/alebo prímestskej autobusovej dopravy vysokoenvironmentálnymi nízkopodlažnými autobusmi na alternatívny pohon spolu s budovaním zodpovedajúcej zásobovacej infraštruktúry.</w:t>
      </w:r>
    </w:p>
    <w:p w14:paraId="052F09FF" w14:textId="39F40569"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A560B5">
        <w:rPr>
          <w:rFonts w:ascii="Arial" w:hAnsi="Arial" w:cs="Arial"/>
          <w:b/>
          <w:bCs/>
          <w:color w:val="000000" w:themeColor="text1"/>
          <w:sz w:val="19"/>
          <w:szCs w:val="19"/>
        </w:rPr>
        <w:t>1</w:t>
      </w:r>
      <w:r w:rsidR="008B1F42" w:rsidRPr="00FB4F69">
        <w:rPr>
          <w:rFonts w:ascii="Arial" w:hAnsi="Arial" w:cs="Arial"/>
          <w:b/>
          <w:bCs/>
          <w:color w:val="000000" w:themeColor="text1"/>
          <w:sz w:val="19"/>
          <w:szCs w:val="19"/>
        </w:rPr>
        <w:t>.</w:t>
      </w:r>
    </w:p>
    <w:p w14:paraId="642D2090" w14:textId="2C453113" w:rsidR="00F043AE" w:rsidRPr="00FB4F69" w:rsidRDefault="00621A84" w:rsidP="00F043AE">
      <w:pPr>
        <w:pStyle w:val="Odsekzoznamu"/>
        <w:spacing w:before="120" w:after="120" w:line="288" w:lineRule="auto"/>
        <w:ind w:left="0"/>
        <w:jc w:val="both"/>
        <w:rPr>
          <w:rFonts w:ascii="Arial" w:hAnsi="Arial" w:cs="Arial"/>
          <w:b/>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2C4234A6"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opatrenia v rámci špecifického cieľa 7.1. sú podmienené existenciou regionálneho/miestneho plánu udržateľnej mobility a plánu dopravnej obsluhy,</w:t>
      </w:r>
    </w:p>
    <w:p w14:paraId="02EA8A38"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projekt prispieva k presunu cestujúcich z IAD do MHD/PAD/nemotorovej dopravy,</w:t>
      </w:r>
    </w:p>
    <w:p w14:paraId="7AC52583"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projekt obsahuje prvky pre elimináciu negatívnych vplyvov dopravy na životné prostredie.</w:t>
      </w:r>
    </w:p>
    <w:p w14:paraId="564A7108" w14:textId="7247B4EB" w:rsidR="00621A84" w:rsidRPr="008005CD" w:rsidRDefault="00621A84" w:rsidP="00B24207">
      <w:pPr>
        <w:numPr>
          <w:ilvl w:val="0"/>
          <w:numId w:val="34"/>
        </w:numPr>
        <w:spacing w:before="120" w:after="120" w:line="288" w:lineRule="auto"/>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r w:rsidR="00A560B5">
        <w:rPr>
          <w:rFonts w:ascii="Arial" w:hAnsi="Arial" w:cs="Arial"/>
          <w:b/>
          <w:bCs/>
          <w:color w:val="000000" w:themeColor="text1"/>
          <w:sz w:val="19"/>
          <w:szCs w:val="19"/>
        </w:rPr>
        <w:t xml:space="preserve"> </w:t>
      </w:r>
      <w:r w:rsidR="00A560B5" w:rsidRPr="00B24207">
        <w:rPr>
          <w:rFonts w:ascii="Arial" w:hAnsi="Arial" w:cs="Arial"/>
          <w:b/>
          <w:bCs/>
          <w:color w:val="000000" w:themeColor="text1"/>
          <w:sz w:val="19"/>
          <w:szCs w:val="19"/>
        </w:rPr>
        <w:t>(ak relevantné)</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lastRenderedPageBreak/>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48CFC534" w:rsidR="00621A8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0F44F992" w14:textId="32DF4E32" w:rsidR="00A560B5" w:rsidRPr="00A00F0C" w:rsidRDefault="00A560B5" w:rsidP="00A560B5">
      <w:pPr>
        <w:spacing w:before="120" w:after="120" w:line="288" w:lineRule="auto"/>
        <w:jc w:val="both"/>
        <w:rPr>
          <w:rFonts w:ascii="Arial" w:hAnsi="Arial" w:cs="Arial"/>
          <w:color w:val="000000" w:themeColor="text1"/>
          <w:sz w:val="19"/>
          <w:szCs w:val="19"/>
        </w:rPr>
      </w:pPr>
      <w:r w:rsidRPr="00043A24">
        <w:rPr>
          <w:rFonts w:ascii="Arial" w:hAnsi="Arial" w:cs="Arial"/>
          <w:color w:val="000000" w:themeColor="text1"/>
          <w:sz w:val="19"/>
          <w:szCs w:val="19"/>
        </w:rPr>
        <w:t>V prípade výziev, v ktorých sú oprávnené len tie projekty, ktoré predstavujú „bezpečné/isté“ riešenia pre akýkoľvek strategický rozvojový dokument pre oblasť dopravy a/alebo sú už dostatočne odôvodnené národnou dopravnou stratégiou nie je potrebné ich zadefinovanie v pláne udržateľnej mobility. Hodnotiteľ uvedené úseky vyhodnotí na základe príloh ŽoNFP - Stanoviska RO pre IROP týkajúce sa splnenia parametrov „bezpečných/istých“ projektov</w:t>
      </w:r>
      <w:r w:rsidR="006E371B" w:rsidRPr="00043A24">
        <w:rPr>
          <w:rFonts w:ascii="Arial" w:hAnsi="Arial" w:cs="Arial"/>
          <w:color w:val="000000" w:themeColor="text1"/>
          <w:sz w:val="19"/>
          <w:szCs w:val="19"/>
        </w:rPr>
        <w:t xml:space="preserve"> (ak relevantné)</w:t>
      </w:r>
      <w:r w:rsidRPr="00043A24">
        <w:rPr>
          <w:rFonts w:ascii="Arial" w:hAnsi="Arial" w:cs="Arial"/>
          <w:color w:val="000000" w:themeColor="text1"/>
          <w:sz w:val="19"/>
          <w:szCs w:val="19"/>
        </w:rPr>
        <w:t>.</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4C63DA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4381D23" w14:textId="27C2B01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72EA3D3E" w14:textId="1F3C5A0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69568499" w14:textId="7777777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w:t>
      </w:r>
      <w:r w:rsidRPr="005D63D4">
        <w:rPr>
          <w:rFonts w:ascii="Arial" w:hAnsi="Arial" w:cs="Arial"/>
          <w:sz w:val="19"/>
          <w:szCs w:val="19"/>
        </w:rPr>
        <w:lastRenderedPageBreak/>
        <w:t>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E651F69"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1B7F89">
        <w:rPr>
          <w:rFonts w:ascii="Arial" w:hAnsi="Arial" w:cs="Arial"/>
          <w:color w:val="000000" w:themeColor="text1"/>
          <w:sz w:val="19"/>
          <w:szCs w:val="19"/>
        </w:rPr>
        <w:t xml:space="preserve"> a príloha </w:t>
      </w:r>
      <w:r w:rsidR="001B7F89"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1F232B78" w14:textId="2D4FE51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1B7F89">
        <w:rPr>
          <w:rFonts w:ascii="Arial" w:eastAsiaTheme="minorHAnsi" w:hAnsi="Arial" w:cs="Arial"/>
          <w:color w:val="000000" w:themeColor="text1"/>
          <w:sz w:val="19"/>
          <w:szCs w:val="19"/>
          <w:bdr w:val="none" w:sz="0" w:space="0" w:color="auto"/>
          <w:lang w:val="sk-SK"/>
        </w:rPr>
        <w:t>príloh</w:t>
      </w:r>
      <w:r w:rsidR="00043A24">
        <w:rPr>
          <w:rFonts w:ascii="Arial" w:eastAsiaTheme="minorHAnsi" w:hAnsi="Arial" w:cs="Arial"/>
          <w:color w:val="000000" w:themeColor="text1"/>
          <w:sz w:val="19"/>
          <w:szCs w:val="19"/>
          <w:bdr w:val="none" w:sz="0" w:space="0" w:color="auto"/>
          <w:lang w:val="sk-SK"/>
        </w:rPr>
        <w:t>a</w:t>
      </w:r>
      <w:r w:rsidR="001B7F89">
        <w:rPr>
          <w:rFonts w:ascii="Arial" w:eastAsiaTheme="minorHAnsi" w:hAnsi="Arial" w:cs="Arial"/>
          <w:color w:val="000000" w:themeColor="text1"/>
          <w:sz w:val="19"/>
          <w:szCs w:val="19"/>
          <w:bdr w:val="none" w:sz="0" w:space="0" w:color="auto"/>
          <w:lang w:val="sk-SK"/>
        </w:rPr>
        <w:t xml:space="preserve"> </w:t>
      </w:r>
      <w:r w:rsidR="001B7F89"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189C5649"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EA01524"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3E57F56C"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F6F06ED"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71699201"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131D61"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314D2A" w:rsidRPr="00066708" w14:paraId="7034A688" w14:textId="77777777" w:rsidTr="00741634">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4A5B1D88"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2488B7A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BFA8C4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5E4A7B5"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7002A6C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0C4892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7ECDFF1E"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3FC12852"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314D2A" w:rsidRPr="00066708" w14:paraId="3F25C3CF" w14:textId="77777777" w:rsidTr="00741634">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EE599F5"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39500ADF"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4EBDCFB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62D5D2D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4005EFD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3ECE3F3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095B87A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177002BD"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26D5AA0D" w14:textId="77777777" w:rsidR="00314D2A"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0A6EB5D" w14:textId="3279AE38" w:rsidR="00314D2A"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0DC1BD44"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Vyhodnotí hodnotiteľ platobnú schopnosť ako nedostatočnú.</w:t>
      </w:r>
    </w:p>
    <w:p w14:paraId="174253D6" w14:textId="77777777" w:rsidR="0049495F" w:rsidRDefault="0049495F" w:rsidP="0049495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5C869C04" w14:textId="77777777" w:rsidR="0049495F" w:rsidRPr="004E7F22" w:rsidRDefault="0049495F"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 xml:space="preserve">Posudzuje či sú jednotlivé výdavky zrozumiteľné, matematicky správne, dostatočne podrobne </w:t>
            </w:r>
            <w:r w:rsidRPr="00E60372">
              <w:rPr>
                <w:rFonts w:ascii="Arial" w:eastAsia="Helvetica" w:hAnsi="Arial" w:cs="Arial"/>
                <w:color w:val="000000" w:themeColor="text1"/>
                <w:sz w:val="19"/>
                <w:szCs w:val="19"/>
              </w:rPr>
              <w:lastRenderedPageBreak/>
              <w:t>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lastRenderedPageBreak/>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Rozpočet je matematicky správny, jednotlivé položky sú  zrozumiteľné, dostatočne podrobne špecifikované a správne priradené k skupinám oprávnených výdavkov. </w:t>
            </w:r>
            <w:r w:rsidRPr="00E60372">
              <w:rPr>
                <w:rFonts w:ascii="Arial" w:eastAsia="Helvetica" w:hAnsi="Arial" w:cs="Arial"/>
                <w:color w:val="000000" w:themeColor="text1"/>
                <w:sz w:val="19"/>
                <w:szCs w:val="19"/>
              </w:rPr>
              <w:lastRenderedPageBreak/>
              <w:t>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 w:id="1">
    <w:p w14:paraId="5F38DDD1" w14:textId="77777777" w:rsidR="00B24207" w:rsidRPr="00E16A8C" w:rsidRDefault="00B24207" w:rsidP="00B24207">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tarifné a informačné systémy, dispečerské systémy apod.</w:t>
      </w:r>
    </w:p>
  </w:endnote>
  <w:endnote w:id="2">
    <w:p w14:paraId="51C56151" w14:textId="77777777" w:rsidR="00B24207" w:rsidRPr="00E16A8C" w:rsidRDefault="00B24207" w:rsidP="00B24207">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Definícia štandardov uzlov bude súčasťou programového manuálu k OP.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9655" w14:textId="77777777" w:rsidR="006136A1" w:rsidRDefault="006136A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6D67AD3D" w:rsidR="008B1F42" w:rsidRDefault="009F59B5" w:rsidP="009F59B5">
        <w:pPr>
          <w:pStyle w:val="Pta"/>
        </w:pPr>
        <w:r w:rsidRPr="00BE7612">
          <w:rPr>
            <w:rFonts w:ascii="Arial" w:hAnsi="Arial" w:cs="Arial"/>
            <w:sz w:val="16"/>
            <w:szCs w:val="16"/>
          </w:rPr>
          <w:t xml:space="preserve">Príručka pre odborných hodnotiteľov IROP, verzia </w:t>
        </w:r>
        <w:del w:id="0" w:author="OM" w:date="2022-04-21T12:53:00Z">
          <w:r w:rsidDel="00BC407A">
            <w:rPr>
              <w:rFonts w:ascii="Arial" w:hAnsi="Arial" w:cs="Arial"/>
              <w:sz w:val="16"/>
              <w:szCs w:val="16"/>
            </w:rPr>
            <w:delText>11</w:delText>
          </w:r>
          <w:r w:rsidR="0049495F" w:rsidDel="00BC407A">
            <w:rPr>
              <w:rFonts w:ascii="Arial" w:hAnsi="Arial" w:cs="Arial"/>
              <w:sz w:val="16"/>
              <w:szCs w:val="16"/>
            </w:rPr>
            <w:delText>.</w:delText>
          </w:r>
          <w:r w:rsidR="006136A1" w:rsidDel="00BC407A">
            <w:rPr>
              <w:rFonts w:ascii="Arial" w:hAnsi="Arial" w:cs="Arial"/>
              <w:sz w:val="16"/>
              <w:szCs w:val="16"/>
            </w:rPr>
            <w:delText>1</w:delText>
          </w:r>
        </w:del>
        <w:ins w:id="1" w:author="OM" w:date="2022-04-21T12:53:00Z">
          <w:r w:rsidR="00BC407A">
            <w:rPr>
              <w:rFonts w:ascii="Arial" w:hAnsi="Arial" w:cs="Arial"/>
              <w:sz w:val="16"/>
              <w:szCs w:val="16"/>
            </w:rPr>
            <w:t>12.0</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D2EF4" w14:textId="77777777" w:rsidR="006136A1" w:rsidRDefault="006136A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748F8" w14:textId="77777777" w:rsidR="006136A1" w:rsidRDefault="006136A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7F5B46"/>
    <w:multiLevelType w:val="hybridMultilevel"/>
    <w:tmpl w:val="9D4C021A"/>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1"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0"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1"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0"/>
  </w:num>
  <w:num w:numId="4">
    <w:abstractNumId w:val="43"/>
  </w:num>
  <w:num w:numId="5">
    <w:abstractNumId w:val="44"/>
  </w:num>
  <w:num w:numId="6">
    <w:abstractNumId w:val="11"/>
  </w:num>
  <w:num w:numId="7">
    <w:abstractNumId w:val="39"/>
  </w:num>
  <w:num w:numId="8">
    <w:abstractNumId w:val="16"/>
  </w:num>
  <w:num w:numId="9">
    <w:abstractNumId w:val="17"/>
  </w:num>
  <w:num w:numId="10">
    <w:abstractNumId w:val="7"/>
  </w:num>
  <w:num w:numId="11">
    <w:abstractNumId w:val="23"/>
  </w:num>
  <w:num w:numId="12">
    <w:abstractNumId w:val="19"/>
  </w:num>
  <w:num w:numId="13">
    <w:abstractNumId w:val="38"/>
  </w:num>
  <w:num w:numId="14">
    <w:abstractNumId w:val="28"/>
  </w:num>
  <w:num w:numId="15">
    <w:abstractNumId w:val="18"/>
  </w:num>
  <w:num w:numId="16">
    <w:abstractNumId w:val="13"/>
  </w:num>
  <w:num w:numId="17">
    <w:abstractNumId w:val="26"/>
  </w:num>
  <w:num w:numId="18">
    <w:abstractNumId w:val="41"/>
  </w:num>
  <w:num w:numId="19">
    <w:abstractNumId w:val="34"/>
  </w:num>
  <w:num w:numId="20">
    <w:abstractNumId w:val="5"/>
  </w:num>
  <w:num w:numId="21">
    <w:abstractNumId w:val="3"/>
  </w:num>
  <w:num w:numId="22">
    <w:abstractNumId w:val="46"/>
  </w:num>
  <w:num w:numId="23">
    <w:abstractNumId w:val="9"/>
  </w:num>
  <w:num w:numId="24">
    <w:abstractNumId w:val="46"/>
  </w:num>
  <w:num w:numId="25">
    <w:abstractNumId w:val="3"/>
  </w:num>
  <w:num w:numId="26">
    <w:abstractNumId w:val="9"/>
  </w:num>
  <w:num w:numId="27">
    <w:abstractNumId w:val="8"/>
  </w:num>
  <w:num w:numId="28">
    <w:abstractNumId w:val="36"/>
  </w:num>
  <w:num w:numId="29">
    <w:abstractNumId w:val="33"/>
  </w:num>
  <w:num w:numId="30">
    <w:abstractNumId w:val="45"/>
  </w:num>
  <w:num w:numId="31">
    <w:abstractNumId w:val="29"/>
  </w:num>
  <w:num w:numId="32">
    <w:abstractNumId w:val="22"/>
  </w:num>
  <w:num w:numId="33">
    <w:abstractNumId w:val="24"/>
  </w:num>
  <w:num w:numId="34">
    <w:abstractNumId w:val="4"/>
  </w:num>
  <w:num w:numId="35">
    <w:abstractNumId w:val="37"/>
  </w:num>
  <w:num w:numId="36">
    <w:abstractNumId w:val="27"/>
  </w:num>
  <w:num w:numId="37">
    <w:abstractNumId w:val="20"/>
  </w:num>
  <w:num w:numId="38">
    <w:abstractNumId w:val="12"/>
  </w:num>
  <w:num w:numId="39">
    <w:abstractNumId w:val="32"/>
  </w:num>
  <w:num w:numId="40">
    <w:abstractNumId w:val="35"/>
  </w:num>
  <w:num w:numId="41">
    <w:abstractNumId w:val="25"/>
  </w:num>
  <w:num w:numId="42">
    <w:abstractNumId w:val="40"/>
  </w:num>
  <w:num w:numId="43">
    <w:abstractNumId w:val="30"/>
  </w:num>
  <w:num w:numId="44">
    <w:abstractNumId w:val="2"/>
  </w:num>
  <w:num w:numId="45">
    <w:abstractNumId w:val="1"/>
  </w:num>
  <w:num w:numId="46">
    <w:abstractNumId w:val="15"/>
  </w:num>
  <w:num w:numId="47">
    <w:abstractNumId w:val="10"/>
  </w:num>
  <w:num w:numId="48">
    <w:abstractNumId w:val="31"/>
  </w:num>
  <w:num w:numId="49">
    <w:abstractNumId w:val="42"/>
  </w:num>
  <w:num w:numId="5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3A24"/>
    <w:rsid w:val="000466C5"/>
    <w:rsid w:val="00050C84"/>
    <w:rsid w:val="00053DF4"/>
    <w:rsid w:val="00055A2D"/>
    <w:rsid w:val="000579E5"/>
    <w:rsid w:val="00060012"/>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F89"/>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08BE"/>
    <w:rsid w:val="0031467F"/>
    <w:rsid w:val="00314D2A"/>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495F"/>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36A1"/>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046"/>
    <w:rsid w:val="006B53D9"/>
    <w:rsid w:val="006B58E1"/>
    <w:rsid w:val="006B6395"/>
    <w:rsid w:val="006C0E70"/>
    <w:rsid w:val="006C2958"/>
    <w:rsid w:val="006C38A1"/>
    <w:rsid w:val="006C5BBE"/>
    <w:rsid w:val="006D30E9"/>
    <w:rsid w:val="006D4CDB"/>
    <w:rsid w:val="006E19BA"/>
    <w:rsid w:val="006E2422"/>
    <w:rsid w:val="006E371B"/>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4D9F"/>
    <w:rsid w:val="009472B3"/>
    <w:rsid w:val="009539D4"/>
    <w:rsid w:val="00953BEB"/>
    <w:rsid w:val="0096038F"/>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60B5"/>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4207"/>
    <w:rsid w:val="00B24486"/>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C407A"/>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C5388"/>
    <w:rsid w:val="00CD43AB"/>
    <w:rsid w:val="00CD5D6A"/>
    <w:rsid w:val="00CE65FF"/>
    <w:rsid w:val="00CF12B4"/>
    <w:rsid w:val="00CF1494"/>
    <w:rsid w:val="00CF2402"/>
    <w:rsid w:val="00CF4836"/>
    <w:rsid w:val="00D05B26"/>
    <w:rsid w:val="00D06F22"/>
    <w:rsid w:val="00D07504"/>
    <w:rsid w:val="00D07E0F"/>
    <w:rsid w:val="00D1737B"/>
    <w:rsid w:val="00D2210A"/>
    <w:rsid w:val="00D278D6"/>
    <w:rsid w:val="00D3230F"/>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C1FCB"/>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01120416">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5C076-2462-45FF-87C6-8DB74F73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7045</Words>
  <Characters>40160</Characters>
  <Application>Microsoft Office Word</Application>
  <DocSecurity>0</DocSecurity>
  <Lines>334</Lines>
  <Paragraphs>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cp:lastModifiedBy>
  <cp:revision>15</cp:revision>
  <cp:lastPrinted>2016-08-27T16:57:00Z</cp:lastPrinted>
  <dcterms:created xsi:type="dcterms:W3CDTF">2021-06-15T08:50:00Z</dcterms:created>
  <dcterms:modified xsi:type="dcterms:W3CDTF">2022-04-21T10:53:00Z</dcterms:modified>
</cp:coreProperties>
</file>