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22AF1583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279">
        <w:rPr>
          <w:sz w:val="20"/>
          <w:szCs w:val="20"/>
        </w:rPr>
        <w:t>;</w:t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  <w:bookmarkStart w:id="0" w:name="_GoBack"/>
      <w:bookmarkEnd w:id="0"/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76663">
            <w:rPr>
              <w:b/>
              <w:sz w:val="40"/>
              <w:szCs w:val="20"/>
            </w:rPr>
            <w:t>24</w:t>
          </w:r>
        </w:sdtContent>
      </w:sdt>
    </w:p>
    <w:p w14:paraId="0CBFF8B8" w14:textId="3C0DEFF2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76663">
            <w:rPr>
              <w:b/>
              <w:sz w:val="32"/>
              <w:szCs w:val="32"/>
            </w:rPr>
            <w:t>7</w:t>
          </w:r>
        </w:sdtContent>
      </w:sdt>
    </w:p>
    <w:p w14:paraId="3BB56118" w14:textId="47370635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14:paraId="44CAB040" w14:textId="77777777" w:rsidTr="00B71669">
        <w:tc>
          <w:tcPr>
            <w:tcW w:w="2268" w:type="dxa"/>
            <w:shd w:val="clear" w:color="auto" w:fill="8DB3E2" w:themeFill="text2" w:themeFillTint="66"/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B71669">
        <w:tc>
          <w:tcPr>
            <w:tcW w:w="2268" w:type="dxa"/>
            <w:shd w:val="clear" w:color="auto" w:fill="8DB3E2" w:themeFill="text2" w:themeFillTint="66"/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B71669">
        <w:tc>
          <w:tcPr>
            <w:tcW w:w="2268" w:type="dxa"/>
            <w:shd w:val="clear" w:color="auto" w:fill="8DB3E2" w:themeFill="text2" w:themeFillTint="66"/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B71669">
        <w:tc>
          <w:tcPr>
            <w:tcW w:w="2268" w:type="dxa"/>
            <w:shd w:val="clear" w:color="auto" w:fill="8DB3E2" w:themeFill="text2" w:themeFillTint="66"/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3A910D52" w:rsidR="00BE636E" w:rsidRDefault="005C580D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B60FBD">
              <w:rPr>
                <w:szCs w:val="20"/>
              </w:rPr>
              <w:t xml:space="preserve"> investíci</w:t>
            </w:r>
            <w:r>
              <w:rPr>
                <w:szCs w:val="20"/>
              </w:rPr>
              <w:t>í, regionálneho rozvoja</w:t>
            </w:r>
            <w:r w:rsidR="00B60FBD">
              <w:rPr>
                <w:szCs w:val="20"/>
              </w:rPr>
              <w:t xml:space="preserve"> a informatizáci</w:t>
            </w:r>
            <w:r>
              <w:rPr>
                <w:szCs w:val="20"/>
              </w:rPr>
              <w:t>e SR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B71669">
        <w:trPr>
          <w:trHeight w:val="998"/>
        </w:trPr>
        <w:tc>
          <w:tcPr>
            <w:tcW w:w="2268" w:type="dxa"/>
            <w:shd w:val="clear" w:color="auto" w:fill="8DB3E2" w:themeFill="text2" w:themeFillTint="66"/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C2E03EB" w14:textId="77777777" w:rsidR="00BE636E" w:rsidRPr="009836CF" w:rsidRDefault="00876663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B71669">
        <w:tc>
          <w:tcPr>
            <w:tcW w:w="2268" w:type="dxa"/>
            <w:shd w:val="clear" w:color="auto" w:fill="8DB3E2" w:themeFill="text2" w:themeFillTint="66"/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A5289D3" w14:textId="7F314103" w:rsidR="00BE636E" w:rsidRPr="003C2544" w:rsidRDefault="006A2AC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rPr>
                <w:rStyle w:val="Zstupntext"/>
                <w:rFonts w:eastAsiaTheme="minorHAnsi"/>
              </w:rPr>
              <w:t>0</w:t>
            </w:r>
          </w:p>
        </w:tc>
      </w:tr>
      <w:tr w:rsidR="00BE636E" w:rsidRPr="009836CF" w14:paraId="199824AB" w14:textId="77777777" w:rsidTr="00B71669">
        <w:tc>
          <w:tcPr>
            <w:tcW w:w="2268" w:type="dxa"/>
            <w:shd w:val="clear" w:color="auto" w:fill="8DB3E2" w:themeFill="text2" w:themeFillTint="66"/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4180C2F" w14:textId="5442800C" w:rsidR="00BE636E" w:rsidRPr="00DE0B9E" w:rsidRDefault="00CB05B6" w:rsidP="0052700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1532527968"/>
                <w:placeholder>
                  <w:docPart w:val="3AE6C27D22E244C7BFF5BFDBD723D31A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64E5F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BE636E" w:rsidRPr="009836CF" w14:paraId="49723DC8" w14:textId="77777777" w:rsidTr="00B71669">
        <w:tc>
          <w:tcPr>
            <w:tcW w:w="2268" w:type="dxa"/>
            <w:shd w:val="clear" w:color="auto" w:fill="8DB3E2" w:themeFill="text2" w:themeFillTint="66"/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72249B4" w14:textId="345DF987" w:rsidR="00BE636E" w:rsidRPr="00DE0B9E" w:rsidRDefault="00CB05B6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323290602"/>
                <w:placeholder>
                  <w:docPart w:val="D1A9B995697143CAB8C0042087DE1844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64E5F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BE636E" w:rsidRPr="009836CF" w14:paraId="21451A9D" w14:textId="77777777" w:rsidTr="00B71669">
        <w:tc>
          <w:tcPr>
            <w:tcW w:w="2268" w:type="dxa"/>
            <w:shd w:val="clear" w:color="auto" w:fill="8DB3E2" w:themeFill="text2" w:themeFillTint="66"/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1" w:name="_Toc404872045"/>
      <w:bookmarkStart w:id="2" w:name="_Toc404872120"/>
      <w:r>
        <w:t>Obsah</w:t>
      </w:r>
    </w:p>
    <w:p w14:paraId="52D02AE5" w14:textId="77777777" w:rsidR="00536BD4" w:rsidRDefault="00536BD4" w:rsidP="00B60474"/>
    <w:p w14:paraId="258801D0" w14:textId="1CC35B65" w:rsidR="00AA1E1C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69307016" w:history="1">
        <w:r w:rsidR="00AA1E1C" w:rsidRPr="00C251ED">
          <w:rPr>
            <w:rStyle w:val="Hypertextovprepojenie"/>
            <w:noProof/>
          </w:rPr>
          <w:t>1 Úvod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_Toc69307016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</w:hyperlink>
    </w:p>
    <w:p w14:paraId="6DBA3EE2" w14:textId="534D78B8" w:rsidR="00AA1E1C" w:rsidRDefault="002532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17" w:history="1">
        <w:r w:rsidR="00AA1E1C" w:rsidRPr="00C251ED">
          <w:rPr>
            <w:rStyle w:val="Hypertextovprepojenie"/>
            <w:noProof/>
          </w:rPr>
          <w:t>2 Príprava a schvaľovanie projektov technickej pomoci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_Toc69307017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</w:hyperlink>
    </w:p>
    <w:p w14:paraId="1D0B5865" w14:textId="40025E98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18" w:history="1">
        <w:r w:rsidR="00AA1E1C" w:rsidRPr="00C251ED">
          <w:rPr>
            <w:rStyle w:val="Hypertextovprepojenie"/>
            <w:noProof/>
          </w:rPr>
          <w:t>2.1 Vyzvanie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_Toc69307018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</w:hyperlink>
    </w:p>
    <w:p w14:paraId="574ACA92" w14:textId="0EFDA95A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19" w:history="1">
        <w:r w:rsidR="00AA1E1C" w:rsidRPr="00C251ED">
          <w:rPr>
            <w:rStyle w:val="Hypertextovprepojenie"/>
            <w:noProof/>
          </w:rPr>
          <w:t>2.2 Konflikt záujmov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_Toc69307019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4</w:t>
        </w:r>
        <w:r w:rsidR="00AA1E1C">
          <w:rPr>
            <w:noProof/>
            <w:webHidden/>
          </w:rPr>
          <w:fldChar w:fldCharType="end"/>
        </w:r>
      </w:hyperlink>
    </w:p>
    <w:p w14:paraId="6B4A1F80" w14:textId="1E5E2DB0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0" w:history="1">
        <w:r w:rsidR="00AA1E1C" w:rsidRPr="00C251ED">
          <w:rPr>
            <w:rStyle w:val="Hypertextovprepojenie"/>
            <w:noProof/>
          </w:rPr>
          <w:t>2.3 Predloženie žiadosti o NFP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_Toc69307020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7</w:t>
        </w:r>
        <w:r w:rsidR="00AA1E1C">
          <w:rPr>
            <w:noProof/>
            <w:webHidden/>
          </w:rPr>
          <w:fldChar w:fldCharType="end"/>
        </w:r>
      </w:hyperlink>
    </w:p>
    <w:p w14:paraId="15A750E3" w14:textId="1339E0C2" w:rsidR="00AA1E1C" w:rsidRDefault="002532D4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1" w:history="1">
        <w:r w:rsidR="00AA1E1C" w:rsidRPr="00C251ED">
          <w:rPr>
            <w:rStyle w:val="Hypertextovprepojenie"/>
            <w:noProof/>
          </w:rPr>
          <w:t>2.4</w:t>
        </w:r>
        <w:r w:rsidR="00AA1E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1E1C" w:rsidRPr="00C251ED">
          <w:rPr>
            <w:rStyle w:val="Hypertextovprepojenie"/>
            <w:noProof/>
          </w:rPr>
          <w:t>Schvaľovací proces žiadosti o NFP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_Toc69307021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7</w:t>
        </w:r>
        <w:r w:rsidR="00AA1E1C">
          <w:rPr>
            <w:noProof/>
            <w:webHidden/>
          </w:rPr>
          <w:fldChar w:fldCharType="end"/>
        </w:r>
      </w:hyperlink>
    </w:p>
    <w:p w14:paraId="4ED6D0C8" w14:textId="16A4F984" w:rsidR="00AA1E1C" w:rsidRDefault="002532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2" w:history="1">
        <w:r w:rsidR="00AA1E1C" w:rsidRPr="00C251ED">
          <w:rPr>
            <w:rStyle w:val="Hypertextovprepojenie"/>
            <w:noProof/>
          </w:rPr>
          <w:t>3 Implementácia projektov technickej pomoci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_Toc69307022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</w:hyperlink>
    </w:p>
    <w:p w14:paraId="22146AF7" w14:textId="1F98CA8C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3" w:history="1">
        <w:r w:rsidR="00AA1E1C" w:rsidRPr="00C251ED">
          <w:rPr>
            <w:rStyle w:val="Hypertextovprepojenie"/>
            <w:noProof/>
          </w:rPr>
          <w:t>3.1 Verejné obstarávanie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_Toc69307023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</w:hyperlink>
    </w:p>
    <w:p w14:paraId="04584533" w14:textId="73C3BE84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4" w:history="1">
        <w:r w:rsidR="00AA1E1C" w:rsidRPr="00C251ED">
          <w:rPr>
            <w:rStyle w:val="Hypertextovprepojenie"/>
            <w:noProof/>
          </w:rPr>
          <w:t>3.2 Kontrola projektu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_Toc69307024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</w:hyperlink>
    </w:p>
    <w:p w14:paraId="4963633C" w14:textId="72BA5A11" w:rsidR="00AA1E1C" w:rsidRDefault="002532D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5" w:history="1">
        <w:r w:rsidR="00AA1E1C" w:rsidRPr="00C251ED">
          <w:rPr>
            <w:rStyle w:val="Hypertextovprepojenie"/>
            <w:noProof/>
          </w:rPr>
          <w:t>3.3 Monitorovanie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_Toc69307025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9</w:t>
        </w:r>
        <w:r w:rsidR="00AA1E1C">
          <w:rPr>
            <w:noProof/>
            <w:webHidden/>
          </w:rPr>
          <w:fldChar w:fldCharType="end"/>
        </w:r>
      </w:hyperlink>
    </w:p>
    <w:p w14:paraId="04E2C6FF" w14:textId="3BF4A243" w:rsidR="00AA1E1C" w:rsidRDefault="002532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9307026" w:history="1">
        <w:r w:rsidR="00AA1E1C" w:rsidRPr="00C251ED">
          <w:rPr>
            <w:rStyle w:val="Hypertextovprepojenie"/>
            <w:noProof/>
          </w:rPr>
          <w:t>4 Oprávnenosť výdavkov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_Toc69307026 \h </w:instrText>
        </w:r>
        <w:r w:rsidR="00AA1E1C">
          <w:rPr>
            <w:noProof/>
            <w:webHidden/>
          </w:rPr>
        </w:r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9</w:t>
        </w:r>
        <w:r w:rsidR="00AA1E1C">
          <w:rPr>
            <w:noProof/>
            <w:webHidden/>
          </w:rPr>
          <w:fldChar w:fldCharType="end"/>
        </w:r>
      </w:hyperlink>
    </w:p>
    <w:p w14:paraId="7AF7B203" w14:textId="136BB193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3" w:name="_Toc443564772"/>
      <w:bookmarkStart w:id="4" w:name="_Toc50637615"/>
      <w:bookmarkStart w:id="5" w:name="_Toc69307016"/>
      <w:bookmarkStart w:id="6" w:name="_Toc404872046"/>
      <w:bookmarkStart w:id="7" w:name="_Toc404872121"/>
      <w:bookmarkEnd w:id="1"/>
      <w:bookmarkEnd w:id="2"/>
      <w:r>
        <w:lastRenderedPageBreak/>
        <w:t>1 Úvod</w:t>
      </w:r>
      <w:bookmarkEnd w:id="3"/>
      <w:bookmarkEnd w:id="4"/>
      <w:bookmarkEnd w:id="5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8" w:name="_Ref426981739"/>
      <w:r>
        <w:rPr>
          <w:rStyle w:val="Odkaznapoznmkupodiarou"/>
        </w:rPr>
        <w:footnoteReference w:id="2"/>
      </w:r>
      <w:bookmarkEnd w:id="8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0D95F8E0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 xml:space="preserve">Prijímateľ </w:t>
      </w:r>
      <w:r w:rsidR="00B84865">
        <w:rPr>
          <w:b/>
          <w:szCs w:val="22"/>
        </w:rPr>
        <w:t xml:space="preserve">technickej pomoci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75FC19BC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</w:t>
      </w:r>
      <w:r w:rsidR="00426A11">
        <w:rPr>
          <w:szCs w:val="22"/>
        </w:rPr>
        <w:t> </w:t>
      </w:r>
      <w:r w:rsidRPr="00BB0887">
        <w:rPr>
          <w:szCs w:val="22"/>
        </w:rPr>
        <w:t>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9" w:name="_Toc443564773"/>
      <w:bookmarkStart w:id="10" w:name="_Toc50637616"/>
      <w:bookmarkStart w:id="11" w:name="_Toc69307017"/>
      <w:r>
        <w:t xml:space="preserve">2 </w:t>
      </w:r>
      <w:bookmarkEnd w:id="6"/>
      <w:bookmarkEnd w:id="7"/>
      <w:r>
        <w:t>Príprava a schvaľovanie projektov technickej pomoci</w:t>
      </w:r>
      <w:bookmarkEnd w:id="9"/>
      <w:bookmarkEnd w:id="10"/>
      <w:bookmarkEnd w:id="11"/>
    </w:p>
    <w:p w14:paraId="6D70DDE0" w14:textId="77777777" w:rsidR="00536BD4" w:rsidRDefault="00536BD4" w:rsidP="00F14780">
      <w:pPr>
        <w:pStyle w:val="MPCKO2"/>
        <w:spacing w:after="200"/>
      </w:pPr>
      <w:bookmarkStart w:id="12" w:name="_Toc443564774"/>
      <w:bookmarkStart w:id="13" w:name="_Toc50637617"/>
      <w:bookmarkStart w:id="14" w:name="_Toc69307018"/>
      <w:r>
        <w:t>2.1 Vyzvanie</w:t>
      </w:r>
      <w:bookmarkEnd w:id="12"/>
      <w:bookmarkEnd w:id="13"/>
      <w:bookmarkEnd w:id="14"/>
    </w:p>
    <w:p w14:paraId="1DFCD14A" w14:textId="343F8936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>Systému riadenia EŠIF a v súlade s</w:t>
      </w:r>
      <w:r w:rsidR="00426A11">
        <w:t> </w:t>
      </w:r>
      <w:r>
        <w:t xml:space="preserve">§ 28 zákona o príspevku z EŠIF. RO </w:t>
      </w:r>
      <w:r w:rsidR="00FC57C8">
        <w:t xml:space="preserve">vyzve </w:t>
      </w:r>
      <w:r>
        <w:t xml:space="preserve">budúceho žiadateľa zverejnením vyzvania </w:t>
      </w:r>
      <w:r>
        <w:lastRenderedPageBreak/>
        <w:t>na</w:t>
      </w:r>
      <w:r w:rsidR="001E3FFE">
        <w:t> </w:t>
      </w:r>
      <w:r w:rsidR="00FC57C8">
        <w:t xml:space="preserve">svojom </w:t>
      </w:r>
      <w:r>
        <w:t xml:space="preserve">webovom sídle alebo </w:t>
      </w:r>
      <w:r w:rsidR="00527004">
        <w:t>elektronicky</w:t>
      </w:r>
      <w:r w:rsidR="006F75F9">
        <w:rPr>
          <w:rStyle w:val="Odkaznapoznmkupodiarou"/>
        </w:rPr>
        <w:footnoteReference w:id="4"/>
      </w:r>
      <w:r>
        <w:t>. Aj v prípade, k</w:t>
      </w:r>
      <w:r w:rsidR="00693B26">
        <w:t>eď</w:t>
      </w:r>
      <w:r>
        <w:t xml:space="preserve"> je budúci žiadateľ vyzvaný </w:t>
      </w:r>
      <w:r w:rsidR="00527004">
        <w:t>elektronicky</w:t>
      </w:r>
      <w:r>
        <w:t>, je RO povinný následne bezodkladne zverejniť</w:t>
      </w:r>
      <w:r w:rsidR="00693B26" w:rsidRPr="00693B26">
        <w:t xml:space="preserve"> </w:t>
      </w:r>
      <w:r w:rsidR="00693B26">
        <w:t>vyzvanie na</w:t>
      </w:r>
      <w:r w:rsidR="00527004">
        <w:t> </w:t>
      </w:r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6992582B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</w:t>
      </w:r>
      <w:r w:rsidR="00426A11">
        <w:t> </w:t>
      </w:r>
      <w:r>
        <w:t>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</w:t>
      </w:r>
      <w:r w:rsidR="00426A11">
        <w:t> </w:t>
      </w:r>
      <w:r w:rsidR="00B72424">
        <w:t>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>potreby jeho náhrady ďalším dokumentom a bez</w:t>
      </w:r>
      <w:r w:rsidR="00426A11">
        <w:t> </w:t>
      </w:r>
      <w:r>
        <w:t xml:space="preserve">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5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lastRenderedPageBreak/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>vytváranie vnútroštátnych sietí zameraných na šírenie informácií, budovanie kapacít, 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15C2AC90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  <w:r w:rsidR="002333D2">
        <w:t>Zmenu a zrušenie vyzvania v čase krízovej situácie RO uskutoční primerane podľa kapitoly 3.1.1.2 Systému riadenia EŠIF.</w:t>
      </w:r>
    </w:p>
    <w:p w14:paraId="5DD75A89" w14:textId="77777777" w:rsidR="00536BD4" w:rsidRDefault="00536BD4" w:rsidP="00EA6311">
      <w:pPr>
        <w:pStyle w:val="MPCKO2"/>
        <w:spacing w:after="200"/>
      </w:pPr>
      <w:bookmarkStart w:id="15" w:name="_Toc443564775"/>
      <w:bookmarkStart w:id="16" w:name="_Toc50637618"/>
      <w:bookmarkStart w:id="17" w:name="_Toc69307019"/>
      <w:r>
        <w:t>2.2 Konflikt záujmov</w:t>
      </w:r>
      <w:bookmarkEnd w:id="15"/>
      <w:bookmarkEnd w:id="16"/>
      <w:bookmarkEnd w:id="17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047FAAC5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6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</w:t>
      </w:r>
      <w:r w:rsidR="00AA1E1C">
        <w:t> </w:t>
      </w:r>
      <w:r w:rsidRPr="002201AB">
        <w:t xml:space="preserve">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CB51C8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CB58E8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795E21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53D9B3AF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</w:t>
      </w:r>
      <w:r w:rsidR="00426A11">
        <w:t> </w:t>
      </w:r>
      <w:r w:rsidR="00302945">
        <w:t>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 xml:space="preserve">, pripravovanej </w:t>
      </w:r>
      <w:r w:rsidR="006537FF">
        <w:t xml:space="preserve">konkrétnym </w:t>
      </w:r>
      <w:r w:rsidR="00364443">
        <w:t>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5F93F386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  <w:r w:rsidR="006537FF">
        <w:t xml:space="preserve"> Oddelenie výkonu funkcií sa zabezpečuje na úrovni zamestnanca v zmysle odseku 3 tejto kapitoly a jeho priameho nadriadeného; </w:t>
      </w:r>
      <w:r w:rsidR="006537FF">
        <w:lastRenderedPageBreak/>
        <w:t xml:space="preserve">týmto nie je dotknuté pri posudzovaní konfliktu záujmov ustanovenie § 46, odsek 1 zákona o príspevku z EŠIF. 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8" w:name="_Toc443564776"/>
      <w:bookmarkStart w:id="19" w:name="_Toc50637619"/>
      <w:bookmarkStart w:id="20" w:name="_Toc69307020"/>
      <w:r>
        <w:t>2.3 Predloženie žiadosti o NFP</w:t>
      </w:r>
      <w:bookmarkEnd w:id="18"/>
      <w:bookmarkEnd w:id="19"/>
      <w:bookmarkEnd w:id="20"/>
    </w:p>
    <w:p w14:paraId="0C8BAB35" w14:textId="261E19A8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767E75">
        <w:t xml:space="preserve">podobe </w:t>
      </w:r>
      <w:r w:rsidR="00536BD4">
        <w:t xml:space="preserve">určí RO vo vyzvaní. Podmienky </w:t>
      </w:r>
      <w:r w:rsidR="000D2FB5">
        <w:t>na</w:t>
      </w:r>
      <w:r w:rsidR="00536BD4">
        <w:t xml:space="preserve"> predloženie </w:t>
      </w:r>
      <w:r w:rsidR="00527004">
        <w:t xml:space="preserve">elektronickej </w:t>
      </w:r>
      <w:r w:rsidR="00767E75">
        <w:t xml:space="preserve">podoby </w:t>
      </w:r>
      <w:r w:rsidR="00536BD4">
        <w:t xml:space="preserve">žiadosti o NFP </w:t>
      </w:r>
      <w:r w:rsidR="006F75F9">
        <w:t>prostredníctvom Ústredného portálu verejnej správy</w:t>
      </w:r>
      <w:r w:rsidR="00536BD4">
        <w:t xml:space="preserve"> určí RO</w:t>
      </w:r>
      <w:r w:rsidR="007D4D87">
        <w:t xml:space="preserve"> vo</w:t>
      </w:r>
      <w:r w:rsidR="00527004">
        <w:t> </w:t>
      </w:r>
      <w:r w:rsidR="007D4D87">
        <w:t>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21" w:name="_Toc443564777"/>
      <w:bookmarkStart w:id="22" w:name="_Toc50637620"/>
      <w:bookmarkStart w:id="23" w:name="_Toc69307021"/>
      <w:r>
        <w:t>Schvaľovací proces žiadosti o NFP</w:t>
      </w:r>
      <w:bookmarkEnd w:id="21"/>
      <w:bookmarkEnd w:id="22"/>
      <w:bookmarkEnd w:id="23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6E8CD60C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Postupy hodnotenia projektov TP</w:t>
      </w:r>
      <w:r w:rsidR="00B84865">
        <w:t>,</w:t>
      </w:r>
      <w:r>
        <w:t xml:space="preserve"> </w:t>
      </w:r>
      <w:r w:rsidR="00B84865">
        <w:t xml:space="preserve">včítane procesného postupu, ktorý predchádza príprave spoločného hodnotiaceho hárku </w:t>
      </w:r>
      <w:r>
        <w:t xml:space="preserve">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>. Pred</w:t>
      </w:r>
      <w:r w:rsidR="00426A11">
        <w:t> </w:t>
      </w:r>
      <w:r w:rsidRPr="00615E2F">
        <w:t xml:space="preserve">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7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8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lastRenderedPageBreak/>
        <w:t xml:space="preserve">RO je povinný pri schvaľovacom procese dodržiavať princíp štyroch očí. </w:t>
      </w:r>
    </w:p>
    <w:p w14:paraId="3D2C0E18" w14:textId="4563136A" w:rsidR="00536BD4" w:rsidRPr="000D2FB5" w:rsidRDefault="0052700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Každý o</w:t>
      </w:r>
      <w:r w:rsidRPr="000D2FB5">
        <w:rPr>
          <w:rFonts w:eastAsia="Times New Roman"/>
          <w:color w:val="000000"/>
          <w:lang w:eastAsia="en-US"/>
        </w:rPr>
        <w:t>dborn</w:t>
      </w:r>
      <w:r>
        <w:rPr>
          <w:rFonts w:eastAsia="Times New Roman"/>
          <w:color w:val="000000"/>
          <w:lang w:eastAsia="en-US"/>
        </w:rPr>
        <w:t>ý</w:t>
      </w:r>
      <w:r w:rsidRPr="000D2FB5">
        <w:rPr>
          <w:rFonts w:eastAsia="Times New Roman"/>
          <w:color w:val="000000"/>
          <w:lang w:eastAsia="en-US"/>
        </w:rPr>
        <w:t xml:space="preserve"> hodnotite</w:t>
      </w:r>
      <w:r>
        <w:rPr>
          <w:rFonts w:eastAsia="Times New Roman"/>
          <w:color w:val="000000"/>
          <w:lang w:eastAsia="en-US"/>
        </w:rPr>
        <w:t>ľ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6F75F9">
        <w:rPr>
          <w:rFonts w:eastAsia="Times New Roman"/>
          <w:color w:val="000000"/>
          <w:lang w:eastAsia="en-US"/>
        </w:rPr>
        <w:t xml:space="preserve">nezávisle </w:t>
      </w:r>
      <w:r w:rsidRPr="000D2FB5">
        <w:rPr>
          <w:rFonts w:eastAsia="Times New Roman"/>
          <w:color w:val="000000"/>
          <w:lang w:eastAsia="en-US"/>
        </w:rPr>
        <w:t>vypracuj</w:t>
      </w:r>
      <w:r>
        <w:rPr>
          <w:rFonts w:eastAsia="Times New Roman"/>
          <w:color w:val="000000"/>
          <w:lang w:eastAsia="en-US"/>
        </w:rPr>
        <w:t>e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536BD4" w:rsidRPr="000D2FB5">
        <w:rPr>
          <w:rFonts w:eastAsia="Times New Roman"/>
          <w:color w:val="000000"/>
          <w:lang w:eastAsia="en-US"/>
        </w:rPr>
        <w:t xml:space="preserve">pre projekt TP </w:t>
      </w:r>
      <w:r w:rsidR="005A1B07">
        <w:rPr>
          <w:rFonts w:eastAsia="Times New Roman"/>
          <w:color w:val="000000"/>
          <w:lang w:eastAsia="en-US"/>
        </w:rPr>
        <w:t>individuálny</w:t>
      </w:r>
      <w:r w:rsidR="00592872">
        <w:rPr>
          <w:rFonts w:eastAsia="Times New Roman"/>
          <w:color w:val="000000"/>
          <w:lang w:eastAsia="en-US"/>
        </w:rPr>
        <w:t xml:space="preserve"> hodnotiaci hárok a</w:t>
      </w:r>
      <w:r>
        <w:rPr>
          <w:rFonts w:eastAsia="Times New Roman"/>
          <w:color w:val="000000"/>
          <w:lang w:eastAsia="en-US"/>
        </w:rPr>
        <w:t xml:space="preserve"> následne obidvaja odborní hodnotitelia vypracujú </w:t>
      </w:r>
      <w:r w:rsidR="00536BD4" w:rsidRPr="000D2FB5">
        <w:rPr>
          <w:rFonts w:eastAsia="Times New Roman"/>
          <w:color w:val="000000"/>
          <w:lang w:eastAsia="en-US"/>
        </w:rPr>
        <w:t>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="00536BD4" w:rsidRPr="000D2FB5">
        <w:rPr>
          <w:rFonts w:eastAsia="Times New Roman"/>
          <w:color w:val="000000"/>
          <w:lang w:eastAsia="en-US"/>
        </w:rPr>
        <w:t xml:space="preserve">). </w:t>
      </w:r>
      <w:r w:rsidR="00536BD4" w:rsidRPr="000D2FB5">
        <w:t xml:space="preserve">RO </w:t>
      </w:r>
      <w:r w:rsidR="00536BD4" w:rsidRPr="000D2FB5">
        <w:rPr>
          <w:rFonts w:eastAsia="Times New Roman"/>
          <w:color w:val="000000"/>
          <w:lang w:eastAsia="en-US"/>
        </w:rPr>
        <w:t xml:space="preserve">zabezpečí zadanie </w:t>
      </w:r>
      <w:r w:rsidR="00592872">
        <w:rPr>
          <w:rFonts w:eastAsia="Times New Roman"/>
          <w:color w:val="000000"/>
          <w:lang w:eastAsia="en-US"/>
        </w:rPr>
        <w:t xml:space="preserve">hodnotiacich hárkov do ITMS2014+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="00536BD4"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="00536BD4"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="00536BD4"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="00536BD4"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> </w:t>
      </w:r>
      <w:r>
        <w:rPr>
          <w:rFonts w:eastAsia="Times New Roman"/>
          <w:color w:val="000000"/>
          <w:lang w:eastAsia="en-US"/>
        </w:rPr>
        <w:t>ne</w:t>
      </w:r>
      <w:r w:rsidR="007B38E7">
        <w:rPr>
          <w:rFonts w:eastAsia="Times New Roman"/>
          <w:color w:val="000000"/>
          <w:lang w:eastAsia="en-US"/>
        </w:rPr>
        <w:t xml:space="preserve">prizýva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3F5574A2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  <w:r w:rsidR="002333D2">
        <w:rPr>
          <w:rFonts w:eastAsia="Times New Roman"/>
          <w:color w:val="000000"/>
          <w:lang w:eastAsia="en-US"/>
        </w:rPr>
        <w:t xml:space="preserve"> </w:t>
      </w:r>
      <w:r w:rsidR="002333D2">
        <w:rPr>
          <w:rFonts w:eastAsia="Times New Roman"/>
          <w:color w:val="000000"/>
        </w:rPr>
        <w:t>V čase krízovej situácie RO rozhodne o zastavení konania v prípadoch, stanovených v § 57, odsek 8 zákona o príspevku z EŠIF.</w:t>
      </w:r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24" w:name="_Toc443564778"/>
      <w:bookmarkStart w:id="25" w:name="_Toc50637621"/>
      <w:bookmarkStart w:id="26" w:name="_Toc69307022"/>
      <w:r>
        <w:t>3 Implementácia projektov technickej pomoci</w:t>
      </w:r>
      <w:bookmarkEnd w:id="24"/>
      <w:bookmarkEnd w:id="25"/>
      <w:bookmarkEnd w:id="26"/>
    </w:p>
    <w:p w14:paraId="1B804BD2" w14:textId="77777777" w:rsidR="00536BD4" w:rsidRDefault="00536BD4" w:rsidP="00B60474">
      <w:pPr>
        <w:pStyle w:val="MPCKO2"/>
        <w:spacing w:after="200"/>
      </w:pPr>
      <w:bookmarkStart w:id="27" w:name="_Toc443564779"/>
      <w:bookmarkStart w:id="28" w:name="_Toc50637622"/>
      <w:bookmarkStart w:id="29" w:name="_Toc69307023"/>
      <w:r>
        <w:t>3.1 Verejné obstarávanie</w:t>
      </w:r>
      <w:bookmarkEnd w:id="27"/>
      <w:bookmarkEnd w:id="28"/>
      <w:bookmarkEnd w:id="29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9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30" w:name="_Toc443564780"/>
      <w:bookmarkStart w:id="31" w:name="_Toc50637623"/>
      <w:bookmarkStart w:id="32" w:name="_Toc69307024"/>
      <w:r>
        <w:t>3.2 Kontrola projektu</w:t>
      </w:r>
      <w:bookmarkEnd w:id="30"/>
      <w:bookmarkEnd w:id="31"/>
      <w:bookmarkEnd w:id="32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10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33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1"/>
      </w:r>
      <w:bookmarkEnd w:id="33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34" w:name="_Toc443564781"/>
      <w:bookmarkStart w:id="35" w:name="_Toc50637624"/>
      <w:bookmarkStart w:id="36" w:name="_Toc69307025"/>
      <w:r>
        <w:lastRenderedPageBreak/>
        <w:t xml:space="preserve">3.3 </w:t>
      </w:r>
      <w:r w:rsidR="00536BD4">
        <w:t>Monitorovanie</w:t>
      </w:r>
      <w:bookmarkEnd w:id="34"/>
      <w:bookmarkEnd w:id="35"/>
      <w:bookmarkEnd w:id="36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2"/>
      </w:r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37" w:name="_Ref428192231"/>
      <w:r w:rsidR="0081092F" w:rsidRPr="001E0B2C">
        <w:rPr>
          <w:rStyle w:val="Odkaznapoznmkupodiarou"/>
        </w:rPr>
        <w:footnoteReference w:id="13"/>
      </w:r>
      <w:bookmarkEnd w:id="37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4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38" w:name="_Toc443564782"/>
      <w:bookmarkStart w:id="39" w:name="_Toc50637625"/>
      <w:bookmarkStart w:id="40" w:name="_Toc69307026"/>
      <w:r>
        <w:t>4 Oprávnenosť výdavkov</w:t>
      </w:r>
      <w:bookmarkEnd w:id="38"/>
      <w:bookmarkEnd w:id="39"/>
      <w:bookmarkEnd w:id="40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09434673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 xml:space="preserve"> preukazuje oprávnenosť </w:t>
      </w:r>
      <w:r w:rsidR="00503E6A">
        <w:rPr>
          <w:sz w:val="24"/>
          <w:szCs w:val="24"/>
        </w:rPr>
        <w:t xml:space="preserve">osobných </w:t>
      </w:r>
      <w:r w:rsidRPr="00E60766">
        <w:rPr>
          <w:sz w:val="24"/>
          <w:szCs w:val="24"/>
        </w:rPr>
        <w:t>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6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37EFFB" w:rsidR="00536BD4" w:rsidRPr="00E60766" w:rsidRDefault="007B38E7" w:rsidP="00274D40">
      <w:pPr>
        <w:pStyle w:val="Odsekzoznamu1"/>
        <w:numPr>
          <w:ilvl w:val="0"/>
          <w:numId w:val="29"/>
        </w:numPr>
        <w:spacing w:before="120" w:after="120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7"/>
      </w:r>
      <w:r w:rsidR="00536BD4" w:rsidRPr="00E60766">
        <w:t xml:space="preserve">, alebo </w:t>
      </w:r>
      <w:r w:rsidR="00D90552">
        <w:t xml:space="preserve">určeného </w:t>
      </w:r>
      <w:r w:rsidR="00536BD4" w:rsidRPr="00E60766">
        <w:t xml:space="preserve">vedúceho zamestnanca </w:t>
      </w:r>
      <w:r w:rsidR="00D90552">
        <w:t>(napr. vo vnútornom akte organizácie)</w:t>
      </w:r>
      <w:r w:rsidR="000F022D">
        <w:t>; v prípade, ak je Súhrnný pracovný výkaz prílohou podpísanej ŽoP, považuje sa za podpísaný (nie je potrebné osobitne podpisovať prílohy ŽoP)</w:t>
      </w:r>
      <w:r w:rsidR="00536BD4" w:rsidRPr="00E60766">
        <w:t>.</w:t>
      </w:r>
      <w:r w:rsidR="00274D40">
        <w:t xml:space="preserve"> </w:t>
      </w:r>
      <w:r w:rsidR="00274D40" w:rsidRPr="00274D40">
        <w:t>Obdobn</w:t>
      </w:r>
      <w:r w:rsidR="00274D40">
        <w:t>e</w:t>
      </w:r>
      <w:r w:rsidR="00274D40" w:rsidRPr="00274D40">
        <w:t xml:space="preserve"> </w:t>
      </w:r>
      <w:r w:rsidR="00274D40">
        <w:t>nie sú podpisované ani iné</w:t>
      </w:r>
      <w:r w:rsidR="00274D40" w:rsidRPr="00274D40">
        <w:t xml:space="preserve"> príloh</w:t>
      </w:r>
      <w:r w:rsidR="00274D40">
        <w:t>y</w:t>
      </w:r>
      <w:r w:rsidR="00274D40" w:rsidRPr="00274D40">
        <w:t xml:space="preserve"> žiadosti o platbu (napr. sumarizačné hárky</w:t>
      </w:r>
      <w:r w:rsidR="00274D40">
        <w:t xml:space="preserve"> a pod.</w:t>
      </w:r>
      <w:r w:rsidR="00274D40" w:rsidRPr="00274D40">
        <w:t xml:space="preserve">). </w:t>
      </w:r>
    </w:p>
    <w:p w14:paraId="04BF8B48" w14:textId="57AF5016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7BA041D1" w14:textId="0EA70FFF" w:rsidR="00D45F95" w:rsidRDefault="00D45F95" w:rsidP="00F2666A">
      <w:pPr>
        <w:spacing w:before="120" w:after="120"/>
        <w:ind w:left="426"/>
        <w:jc w:val="both"/>
        <w:rPr>
          <w:lang w:eastAsia="en-AU"/>
        </w:rPr>
      </w:pPr>
      <w:r>
        <w:rPr>
          <w:lang w:eastAsia="en-AU"/>
        </w:rPr>
        <w:t>S</w:t>
      </w:r>
      <w:r w:rsidRPr="00D45F95">
        <w:rPr>
          <w:lang w:eastAsia="en-AU"/>
        </w:rPr>
        <w:t>úhrnn</w:t>
      </w:r>
      <w:r>
        <w:rPr>
          <w:lang w:eastAsia="en-AU"/>
        </w:rPr>
        <w:t>ý</w:t>
      </w:r>
      <w:r w:rsidRPr="00D45F95">
        <w:rPr>
          <w:lang w:eastAsia="en-AU"/>
        </w:rPr>
        <w:t xml:space="preserve"> pracovn</w:t>
      </w:r>
      <w:r>
        <w:rPr>
          <w:lang w:eastAsia="en-AU"/>
        </w:rPr>
        <w:t>ý</w:t>
      </w:r>
      <w:r w:rsidRPr="00D45F95">
        <w:rPr>
          <w:lang w:eastAsia="en-AU"/>
        </w:rPr>
        <w:t xml:space="preserve"> výkaz nie je potrebné </w:t>
      </w:r>
      <w:r>
        <w:rPr>
          <w:lang w:eastAsia="en-AU"/>
        </w:rPr>
        <w:t>vypracúvať pre</w:t>
      </w:r>
      <w:r w:rsidRPr="00D45F95">
        <w:rPr>
          <w:lang w:eastAsia="en-AU"/>
        </w:rPr>
        <w:t xml:space="preserve"> </w:t>
      </w:r>
      <w:r>
        <w:rPr>
          <w:lang w:eastAsia="en-AU"/>
        </w:rPr>
        <w:t>zamestnancov</w:t>
      </w:r>
      <w:r w:rsidRPr="00D45F95">
        <w:rPr>
          <w:lang w:eastAsia="en-AU"/>
        </w:rPr>
        <w:t>, ktor</w:t>
      </w:r>
      <w:r>
        <w:rPr>
          <w:lang w:eastAsia="en-AU"/>
        </w:rPr>
        <w:t>í</w:t>
      </w:r>
      <w:r w:rsidRPr="00D45F95">
        <w:rPr>
          <w:lang w:eastAsia="en-AU"/>
        </w:rPr>
        <w:t xml:space="preserve"> </w:t>
      </w:r>
      <w:r w:rsidR="005E19A9">
        <w:rPr>
          <w:lang w:eastAsia="en-AU"/>
        </w:rPr>
        <w:t> sú 100%</w:t>
      </w:r>
      <w:r w:rsidRPr="00D45F95">
        <w:rPr>
          <w:lang w:eastAsia="en-AU"/>
        </w:rPr>
        <w:t xml:space="preserve"> </w:t>
      </w:r>
      <w:r w:rsidR="00211EC2">
        <w:rPr>
          <w:lang w:eastAsia="en-AU"/>
        </w:rPr>
        <w:t>financovan</w:t>
      </w:r>
      <w:r w:rsidR="009B2E34">
        <w:rPr>
          <w:lang w:eastAsia="en-AU"/>
        </w:rPr>
        <w:t>í</w:t>
      </w:r>
      <w:r w:rsidR="00211EC2">
        <w:rPr>
          <w:lang w:eastAsia="en-AU"/>
        </w:rPr>
        <w:t xml:space="preserve"> z </w:t>
      </w:r>
      <w:r>
        <w:rPr>
          <w:lang w:eastAsia="en-AU"/>
        </w:rPr>
        <w:t>TP</w:t>
      </w:r>
      <w:r w:rsidR="005E19A9">
        <w:rPr>
          <w:lang w:eastAsia="en-AU"/>
        </w:rPr>
        <w:t xml:space="preserve"> jedného OP</w:t>
      </w:r>
      <w:r w:rsidR="009B2E34">
        <w:rPr>
          <w:lang w:eastAsia="en-AU"/>
        </w:rPr>
        <w:t xml:space="preserve"> alebo majú schválené alokačné kritérium</w:t>
      </w:r>
      <w:r w:rsidR="00A73C81">
        <w:rPr>
          <w:lang w:eastAsia="en-AU"/>
        </w:rPr>
        <w:t>.</w:t>
      </w:r>
    </w:p>
    <w:p w14:paraId="434EE9AD" w14:textId="37FE66DF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lastRenderedPageBreak/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8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A5690" w14:textId="77777777" w:rsidR="00CB05B6" w:rsidRDefault="00CB05B6" w:rsidP="00B948E0">
      <w:r>
        <w:separator/>
      </w:r>
    </w:p>
  </w:endnote>
  <w:endnote w:type="continuationSeparator" w:id="0">
    <w:p w14:paraId="7DD1A763" w14:textId="77777777" w:rsidR="00CB05B6" w:rsidRDefault="00CB05B6" w:rsidP="00B948E0">
      <w:r>
        <w:continuationSeparator/>
      </w:r>
    </w:p>
  </w:endnote>
  <w:endnote w:type="continuationNotice" w:id="1">
    <w:p w14:paraId="42734E01" w14:textId="77777777" w:rsidR="00CB05B6" w:rsidRDefault="00CB05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E6C18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346EF209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B71669">
      <w:rPr>
        <w:noProof/>
      </w:rPr>
      <w:t>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16B77" w14:textId="77777777" w:rsidR="00CB05B6" w:rsidRDefault="00CB05B6" w:rsidP="00B948E0">
      <w:r>
        <w:separator/>
      </w:r>
    </w:p>
  </w:footnote>
  <w:footnote w:type="continuationSeparator" w:id="0">
    <w:p w14:paraId="1A4F7FC6" w14:textId="77777777" w:rsidR="00CB05B6" w:rsidRDefault="00CB05B6" w:rsidP="00B948E0">
      <w:r>
        <w:continuationSeparator/>
      </w:r>
    </w:p>
  </w:footnote>
  <w:footnote w:type="continuationNotice" w:id="1">
    <w:p w14:paraId="6146993B" w14:textId="77777777" w:rsidR="00CB05B6" w:rsidRDefault="00CB05B6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79802551" w14:textId="4C642021" w:rsidR="006F75F9" w:rsidRDefault="006F75F9" w:rsidP="00BD47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Postačujúca forma elektronickej komunikácie je e-mailom, v zmysle kompetencií zamestnancov RO, stanovených napr. v organizačnom poriadku alebo v manuáli procedúr.</w:t>
      </w:r>
    </w:p>
  </w:footnote>
  <w:footnote w:id="5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6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7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8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9">
    <w:p w14:paraId="34BF16AA" w14:textId="264E4FE4" w:rsidR="00F15714" w:rsidRDefault="00F15714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10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1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2">
    <w:p w14:paraId="4F75FB69" w14:textId="5F1BAED2" w:rsidR="002F37A5" w:rsidRDefault="002F37A5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3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5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6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18A8A28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7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8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2211AA7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043E2C82" w14:textId="0E666D4E" w:rsidR="00DC5D44" w:rsidRPr="00347FAD" w:rsidRDefault="00064E5F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15.06.2021</w:t>
        </w:r>
      </w:p>
    </w:sdtContent>
  </w:sdt>
  <w:p w14:paraId="603E1EB6" w14:textId="77777777"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4A00"/>
    <w:rsid w:val="00006805"/>
    <w:rsid w:val="00013D3C"/>
    <w:rsid w:val="00013D92"/>
    <w:rsid w:val="00014646"/>
    <w:rsid w:val="00016C16"/>
    <w:rsid w:val="000241CD"/>
    <w:rsid w:val="0002420F"/>
    <w:rsid w:val="0003129F"/>
    <w:rsid w:val="00037AB0"/>
    <w:rsid w:val="00050728"/>
    <w:rsid w:val="00064E5F"/>
    <w:rsid w:val="0006529D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9795D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0F022D"/>
    <w:rsid w:val="00103857"/>
    <w:rsid w:val="0010760E"/>
    <w:rsid w:val="00112316"/>
    <w:rsid w:val="00116153"/>
    <w:rsid w:val="00116F61"/>
    <w:rsid w:val="00123024"/>
    <w:rsid w:val="00126519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5AA1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1EC2"/>
    <w:rsid w:val="0021245F"/>
    <w:rsid w:val="002201AB"/>
    <w:rsid w:val="00220301"/>
    <w:rsid w:val="0022129B"/>
    <w:rsid w:val="00222A7E"/>
    <w:rsid w:val="00222EED"/>
    <w:rsid w:val="002259C4"/>
    <w:rsid w:val="00225A05"/>
    <w:rsid w:val="002266A9"/>
    <w:rsid w:val="002272C8"/>
    <w:rsid w:val="00227BED"/>
    <w:rsid w:val="002333D2"/>
    <w:rsid w:val="00234151"/>
    <w:rsid w:val="00235A80"/>
    <w:rsid w:val="00235C45"/>
    <w:rsid w:val="002420CF"/>
    <w:rsid w:val="00244BA9"/>
    <w:rsid w:val="00245A19"/>
    <w:rsid w:val="00246970"/>
    <w:rsid w:val="00250752"/>
    <w:rsid w:val="00250AA8"/>
    <w:rsid w:val="0025302A"/>
    <w:rsid w:val="002532D4"/>
    <w:rsid w:val="00256687"/>
    <w:rsid w:val="00265918"/>
    <w:rsid w:val="002660E3"/>
    <w:rsid w:val="00274479"/>
    <w:rsid w:val="00274D40"/>
    <w:rsid w:val="00275504"/>
    <w:rsid w:val="002854F7"/>
    <w:rsid w:val="002867E8"/>
    <w:rsid w:val="00290045"/>
    <w:rsid w:val="00290B82"/>
    <w:rsid w:val="00293748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3F6285"/>
    <w:rsid w:val="004030D5"/>
    <w:rsid w:val="00405CE8"/>
    <w:rsid w:val="0041406E"/>
    <w:rsid w:val="004146F5"/>
    <w:rsid w:val="0041684C"/>
    <w:rsid w:val="00416E2D"/>
    <w:rsid w:val="00426200"/>
    <w:rsid w:val="00426A11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3E6A"/>
    <w:rsid w:val="00504474"/>
    <w:rsid w:val="005068D7"/>
    <w:rsid w:val="005122F6"/>
    <w:rsid w:val="0051259E"/>
    <w:rsid w:val="005134CF"/>
    <w:rsid w:val="00515E63"/>
    <w:rsid w:val="005202DA"/>
    <w:rsid w:val="00527004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2872"/>
    <w:rsid w:val="005932E8"/>
    <w:rsid w:val="00593D38"/>
    <w:rsid w:val="0059540C"/>
    <w:rsid w:val="005A1B07"/>
    <w:rsid w:val="005A7241"/>
    <w:rsid w:val="005A746A"/>
    <w:rsid w:val="005B1425"/>
    <w:rsid w:val="005B463D"/>
    <w:rsid w:val="005B49EF"/>
    <w:rsid w:val="005B4A5E"/>
    <w:rsid w:val="005C0184"/>
    <w:rsid w:val="005C2A33"/>
    <w:rsid w:val="005C580D"/>
    <w:rsid w:val="005C6A44"/>
    <w:rsid w:val="005C7E0C"/>
    <w:rsid w:val="005D24F2"/>
    <w:rsid w:val="005D4345"/>
    <w:rsid w:val="005D7F99"/>
    <w:rsid w:val="005E19A9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19A4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0150"/>
    <w:rsid w:val="006516B8"/>
    <w:rsid w:val="00651D2D"/>
    <w:rsid w:val="006537FF"/>
    <w:rsid w:val="00660DCB"/>
    <w:rsid w:val="00662197"/>
    <w:rsid w:val="006719A0"/>
    <w:rsid w:val="00672030"/>
    <w:rsid w:val="0068219C"/>
    <w:rsid w:val="00682A24"/>
    <w:rsid w:val="00687102"/>
    <w:rsid w:val="0069077F"/>
    <w:rsid w:val="00691955"/>
    <w:rsid w:val="00693B26"/>
    <w:rsid w:val="006A24E9"/>
    <w:rsid w:val="006A2AC3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6F75F9"/>
    <w:rsid w:val="00702172"/>
    <w:rsid w:val="00702F28"/>
    <w:rsid w:val="00707771"/>
    <w:rsid w:val="00716396"/>
    <w:rsid w:val="007203AE"/>
    <w:rsid w:val="0073520B"/>
    <w:rsid w:val="007364DD"/>
    <w:rsid w:val="007410F9"/>
    <w:rsid w:val="00742D34"/>
    <w:rsid w:val="00746718"/>
    <w:rsid w:val="007638F0"/>
    <w:rsid w:val="0076414C"/>
    <w:rsid w:val="00765555"/>
    <w:rsid w:val="00767E7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2D0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1705D"/>
    <w:rsid w:val="00817066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38EE"/>
    <w:rsid w:val="008743E6"/>
    <w:rsid w:val="00874F4D"/>
    <w:rsid w:val="00876663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03D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5EF3"/>
    <w:rsid w:val="00926284"/>
    <w:rsid w:val="00931762"/>
    <w:rsid w:val="00931A59"/>
    <w:rsid w:val="00932A84"/>
    <w:rsid w:val="00940748"/>
    <w:rsid w:val="00943963"/>
    <w:rsid w:val="009452ED"/>
    <w:rsid w:val="009455E7"/>
    <w:rsid w:val="00946654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85A8F"/>
    <w:rsid w:val="00994501"/>
    <w:rsid w:val="0099578C"/>
    <w:rsid w:val="009A2B18"/>
    <w:rsid w:val="009A6DB0"/>
    <w:rsid w:val="009B2559"/>
    <w:rsid w:val="009B2E34"/>
    <w:rsid w:val="009B421D"/>
    <w:rsid w:val="009B4D6F"/>
    <w:rsid w:val="009B58D3"/>
    <w:rsid w:val="009B70DE"/>
    <w:rsid w:val="009C32A6"/>
    <w:rsid w:val="009D0F47"/>
    <w:rsid w:val="009D1B1E"/>
    <w:rsid w:val="009E6279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2799"/>
    <w:rsid w:val="00A45030"/>
    <w:rsid w:val="00A51174"/>
    <w:rsid w:val="00A61637"/>
    <w:rsid w:val="00A70690"/>
    <w:rsid w:val="00A723D4"/>
    <w:rsid w:val="00A733BE"/>
    <w:rsid w:val="00A73C81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9714A"/>
    <w:rsid w:val="00AA1E1C"/>
    <w:rsid w:val="00AA2BAA"/>
    <w:rsid w:val="00AB020E"/>
    <w:rsid w:val="00AB0368"/>
    <w:rsid w:val="00AB29E7"/>
    <w:rsid w:val="00AB668D"/>
    <w:rsid w:val="00AB72F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40ED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577D0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1669"/>
    <w:rsid w:val="00B72424"/>
    <w:rsid w:val="00B8446F"/>
    <w:rsid w:val="00B84865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D4750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859E6"/>
    <w:rsid w:val="00C90360"/>
    <w:rsid w:val="00C92BF0"/>
    <w:rsid w:val="00C93397"/>
    <w:rsid w:val="00C958C8"/>
    <w:rsid w:val="00CA0FB2"/>
    <w:rsid w:val="00CA208E"/>
    <w:rsid w:val="00CA69E8"/>
    <w:rsid w:val="00CA706D"/>
    <w:rsid w:val="00CB05B6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5F95"/>
    <w:rsid w:val="00D46626"/>
    <w:rsid w:val="00D52EB4"/>
    <w:rsid w:val="00D57F2C"/>
    <w:rsid w:val="00D57F52"/>
    <w:rsid w:val="00D61BB6"/>
    <w:rsid w:val="00D62582"/>
    <w:rsid w:val="00D70841"/>
    <w:rsid w:val="00D723EF"/>
    <w:rsid w:val="00D7507D"/>
    <w:rsid w:val="00D75277"/>
    <w:rsid w:val="00D76A77"/>
    <w:rsid w:val="00D77E89"/>
    <w:rsid w:val="00D80295"/>
    <w:rsid w:val="00D84120"/>
    <w:rsid w:val="00D86963"/>
    <w:rsid w:val="00D86DA2"/>
    <w:rsid w:val="00D87850"/>
    <w:rsid w:val="00D90552"/>
    <w:rsid w:val="00DA40D5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91525"/>
    <w:rsid w:val="00EA3D36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6670D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8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F3F98AEF-001A-4D18-9D2A-87C60A8ABD90}" type="presOf" srcId="{19D2C260-F6E9-4240-B38E-695167A6B99C}" destId="{E7FD0570-DC7E-44C7-8DAC-4A8B438E58B5}" srcOrd="0" destOrd="0" presId="urn:microsoft.com/office/officeart/2005/8/layout/hierarchy2"/>
    <dgm:cxn modelId="{12E0FEE9-965D-4E9C-BC9B-9E91BE6ABD3D}" type="presOf" srcId="{EAEEBF37-E536-4EC6-A613-A125A7D93D0F}" destId="{A91DD16F-9E6A-48E9-BBC0-E5672ACCC2A4}" srcOrd="0" destOrd="0" presId="urn:microsoft.com/office/officeart/2005/8/layout/hierarchy2"/>
    <dgm:cxn modelId="{6D36894B-B0ED-461E-9742-BBD510D769A9}" type="presOf" srcId="{CA558C73-FC63-4106-8E57-D3AE4991C9EE}" destId="{35EFD7C4-F3FD-434E-9C2D-202A9A141CFC}" srcOrd="0" destOrd="0" presId="urn:microsoft.com/office/officeart/2005/8/layout/hierarchy2"/>
    <dgm:cxn modelId="{143C7626-8DD5-442F-A938-EEF69010319B}" type="presOf" srcId="{19D2C260-F6E9-4240-B38E-695167A6B99C}" destId="{4733A6F6-0B8A-4E31-BFF2-CB8B04AF78B6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08343775-C4C9-4C3B-99B3-F9E019E29B2C}" type="presOf" srcId="{4272607C-2EFF-438D-95CE-8B4156A635A9}" destId="{ED493A2D-26AF-47B5-8BBF-5B9827F6103A}" srcOrd="0" destOrd="0" presId="urn:microsoft.com/office/officeart/2005/8/layout/hierarchy2"/>
    <dgm:cxn modelId="{1BDF06DD-0215-4054-9072-22D7B0F7FCB4}" type="presOf" srcId="{B3BCC2D8-9F67-4CC2-AACA-8E2B09C90CE8}" destId="{6E6321DD-56B1-434F-8CE8-B89A0B2D92E1}" srcOrd="0" destOrd="0" presId="urn:microsoft.com/office/officeart/2005/8/layout/hierarchy2"/>
    <dgm:cxn modelId="{E5EBE786-8C43-4343-8E7E-09DA3C001916}" type="presOf" srcId="{514896FB-8E0C-4A0C-BEB0-99FAF1D3C7D7}" destId="{466C202C-2894-4A12-BEB0-9C1B425095FA}" srcOrd="1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C1C1077-B618-4FE5-B467-2E3330A48573}" type="presOf" srcId="{514896FB-8E0C-4A0C-BEB0-99FAF1D3C7D7}" destId="{F3037E89-45BB-4B2D-A15C-2A7ED426B47C}" srcOrd="0" destOrd="0" presId="urn:microsoft.com/office/officeart/2005/8/layout/hierarchy2"/>
    <dgm:cxn modelId="{8812B628-C13D-46A1-AEA6-F45A54C33152}" type="presParOf" srcId="{A91DD16F-9E6A-48E9-BBC0-E5672ACCC2A4}" destId="{3BDBCE9B-EBDB-41D6-A04D-0B51DB4D4174}" srcOrd="0" destOrd="0" presId="urn:microsoft.com/office/officeart/2005/8/layout/hierarchy2"/>
    <dgm:cxn modelId="{FB286E48-6BD5-4E1D-9856-E26778CE688A}" type="presParOf" srcId="{3BDBCE9B-EBDB-41D6-A04D-0B51DB4D4174}" destId="{ED493A2D-26AF-47B5-8BBF-5B9827F6103A}" srcOrd="0" destOrd="0" presId="urn:microsoft.com/office/officeart/2005/8/layout/hierarchy2"/>
    <dgm:cxn modelId="{2F0E637E-3A36-462A-8C1B-EF14EBA3EE21}" type="presParOf" srcId="{3BDBCE9B-EBDB-41D6-A04D-0B51DB4D4174}" destId="{5937BEAD-1B6C-43FC-8E52-82ED92598AC4}" srcOrd="1" destOrd="0" presId="urn:microsoft.com/office/officeart/2005/8/layout/hierarchy2"/>
    <dgm:cxn modelId="{FD41C1AD-CB49-4DE0-B034-45AC680F75C2}" type="presParOf" srcId="{5937BEAD-1B6C-43FC-8E52-82ED92598AC4}" destId="{F3037E89-45BB-4B2D-A15C-2A7ED426B47C}" srcOrd="0" destOrd="0" presId="urn:microsoft.com/office/officeart/2005/8/layout/hierarchy2"/>
    <dgm:cxn modelId="{96F299CF-2CC3-48B8-ABE9-3E62E94DDA68}" type="presParOf" srcId="{F3037E89-45BB-4B2D-A15C-2A7ED426B47C}" destId="{466C202C-2894-4A12-BEB0-9C1B425095FA}" srcOrd="0" destOrd="0" presId="urn:microsoft.com/office/officeart/2005/8/layout/hierarchy2"/>
    <dgm:cxn modelId="{95C01991-8D47-4329-8A6D-90B2183A9246}" type="presParOf" srcId="{5937BEAD-1B6C-43FC-8E52-82ED92598AC4}" destId="{550D60D0-35C1-4DA2-B113-110F961FB9E7}" srcOrd="1" destOrd="0" presId="urn:microsoft.com/office/officeart/2005/8/layout/hierarchy2"/>
    <dgm:cxn modelId="{304A2B97-BD06-4503-9880-4EFFEF29B174}" type="presParOf" srcId="{550D60D0-35C1-4DA2-B113-110F961FB9E7}" destId="{35EFD7C4-F3FD-434E-9C2D-202A9A141CFC}" srcOrd="0" destOrd="0" presId="urn:microsoft.com/office/officeart/2005/8/layout/hierarchy2"/>
    <dgm:cxn modelId="{A62F0A79-FB38-43F7-9EF0-F7584FF3B97D}" type="presParOf" srcId="{550D60D0-35C1-4DA2-B113-110F961FB9E7}" destId="{4CB8A1F3-A3A3-4B23-9B74-FFA729E96662}" srcOrd="1" destOrd="0" presId="urn:microsoft.com/office/officeart/2005/8/layout/hierarchy2"/>
    <dgm:cxn modelId="{40303D84-6B1F-4B1C-A1E2-823359221090}" type="presParOf" srcId="{5937BEAD-1B6C-43FC-8E52-82ED92598AC4}" destId="{E7FD0570-DC7E-44C7-8DAC-4A8B438E58B5}" srcOrd="2" destOrd="0" presId="urn:microsoft.com/office/officeart/2005/8/layout/hierarchy2"/>
    <dgm:cxn modelId="{3AA4763B-6BA8-49DB-BB92-B1668B52EB11}" type="presParOf" srcId="{E7FD0570-DC7E-44C7-8DAC-4A8B438E58B5}" destId="{4733A6F6-0B8A-4E31-BFF2-CB8B04AF78B6}" srcOrd="0" destOrd="0" presId="urn:microsoft.com/office/officeart/2005/8/layout/hierarchy2"/>
    <dgm:cxn modelId="{9EA41F9F-4FED-4F50-917E-50552F733CD9}" type="presParOf" srcId="{5937BEAD-1B6C-43FC-8E52-82ED92598AC4}" destId="{C585FF08-A623-4E14-A03A-0B9B95300463}" srcOrd="3" destOrd="0" presId="urn:microsoft.com/office/officeart/2005/8/layout/hierarchy2"/>
    <dgm:cxn modelId="{28B66978-2745-4D19-A1D6-0C89AFABB2BD}" type="presParOf" srcId="{C585FF08-A623-4E14-A03A-0B9B95300463}" destId="{6E6321DD-56B1-434F-8CE8-B89A0B2D92E1}" srcOrd="0" destOrd="0" presId="urn:microsoft.com/office/officeart/2005/8/layout/hierarchy2"/>
    <dgm:cxn modelId="{F35501A1-0B23-4810-BAF5-5F23393313DC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D2FC3D71-3219-4944-B761-C37012AF7D75}" type="presOf" srcId="{19D2C260-F6E9-4240-B38E-695167A6B99C}" destId="{E7FD0570-DC7E-44C7-8DAC-4A8B438E58B5}" srcOrd="0" destOrd="0" presId="urn:microsoft.com/office/officeart/2005/8/layout/hierarchy2"/>
    <dgm:cxn modelId="{231F05DB-5559-4535-ADA0-08DC3E42F9A9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ACFC383-5A4F-445A-A9BF-EF70C0C4F7BD}" type="presOf" srcId="{19D2C260-F6E9-4240-B38E-695167A6B99C}" destId="{4733A6F6-0B8A-4E31-BFF2-CB8B04AF78B6}" srcOrd="1" destOrd="0" presId="urn:microsoft.com/office/officeart/2005/8/layout/hierarchy2"/>
    <dgm:cxn modelId="{FBF269CB-94BC-408B-A652-433DC326A5F3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0E361AC4-43B6-4FE3-A7B3-3BF1758AB4A2}" type="presOf" srcId="{CA558C73-FC63-4106-8E57-D3AE4991C9EE}" destId="{35EFD7C4-F3FD-434E-9C2D-202A9A141CFC}" srcOrd="0" destOrd="0" presId="urn:microsoft.com/office/officeart/2005/8/layout/hierarchy2"/>
    <dgm:cxn modelId="{277DC9FB-9E96-43F4-8E3E-CAFBE091FA67}" type="presOf" srcId="{514896FB-8E0C-4A0C-BEB0-99FAF1D3C7D7}" destId="{466C202C-2894-4A12-BEB0-9C1B425095FA}" srcOrd="1" destOrd="0" presId="urn:microsoft.com/office/officeart/2005/8/layout/hierarchy2"/>
    <dgm:cxn modelId="{ECEB0FF4-AED2-48AC-9D8C-820B3B5669EF}" type="presOf" srcId="{4272607C-2EFF-438D-95CE-8B4156A635A9}" destId="{ED493A2D-26AF-47B5-8BBF-5B9827F6103A}" srcOrd="0" destOrd="0" presId="urn:microsoft.com/office/officeart/2005/8/layout/hierarchy2"/>
    <dgm:cxn modelId="{ED74EB88-F8E8-4879-92D6-A51F5B1528EF}" type="presOf" srcId="{B3BCC2D8-9F67-4CC2-AACA-8E2B09C90CE8}" destId="{6E6321DD-56B1-434F-8CE8-B89A0B2D92E1}" srcOrd="0" destOrd="0" presId="urn:microsoft.com/office/officeart/2005/8/layout/hierarchy2"/>
    <dgm:cxn modelId="{D592E133-2C24-47B7-9E56-8E31707759A4}" type="presParOf" srcId="{A91DD16F-9E6A-48E9-BBC0-E5672ACCC2A4}" destId="{3BDBCE9B-EBDB-41D6-A04D-0B51DB4D4174}" srcOrd="0" destOrd="0" presId="urn:microsoft.com/office/officeart/2005/8/layout/hierarchy2"/>
    <dgm:cxn modelId="{F9640EE5-E470-4D2E-9F5E-F2FDA676ADA4}" type="presParOf" srcId="{3BDBCE9B-EBDB-41D6-A04D-0B51DB4D4174}" destId="{ED493A2D-26AF-47B5-8BBF-5B9827F6103A}" srcOrd="0" destOrd="0" presId="urn:microsoft.com/office/officeart/2005/8/layout/hierarchy2"/>
    <dgm:cxn modelId="{D7EC2600-F502-4977-A3AC-680086E1DD75}" type="presParOf" srcId="{3BDBCE9B-EBDB-41D6-A04D-0B51DB4D4174}" destId="{5937BEAD-1B6C-43FC-8E52-82ED92598AC4}" srcOrd="1" destOrd="0" presId="urn:microsoft.com/office/officeart/2005/8/layout/hierarchy2"/>
    <dgm:cxn modelId="{602829C4-B4A5-4544-B462-A2F32D879907}" type="presParOf" srcId="{5937BEAD-1B6C-43FC-8E52-82ED92598AC4}" destId="{F3037E89-45BB-4B2D-A15C-2A7ED426B47C}" srcOrd="0" destOrd="0" presId="urn:microsoft.com/office/officeart/2005/8/layout/hierarchy2"/>
    <dgm:cxn modelId="{971ED295-904A-49FF-A41E-61208EABF593}" type="presParOf" srcId="{F3037E89-45BB-4B2D-A15C-2A7ED426B47C}" destId="{466C202C-2894-4A12-BEB0-9C1B425095FA}" srcOrd="0" destOrd="0" presId="urn:microsoft.com/office/officeart/2005/8/layout/hierarchy2"/>
    <dgm:cxn modelId="{B66318D3-F023-4E2C-AF95-1670F7607A38}" type="presParOf" srcId="{5937BEAD-1B6C-43FC-8E52-82ED92598AC4}" destId="{550D60D0-35C1-4DA2-B113-110F961FB9E7}" srcOrd="1" destOrd="0" presId="urn:microsoft.com/office/officeart/2005/8/layout/hierarchy2"/>
    <dgm:cxn modelId="{5CC9ECDC-6B1B-4D1C-8484-936EF900598F}" type="presParOf" srcId="{550D60D0-35C1-4DA2-B113-110F961FB9E7}" destId="{35EFD7C4-F3FD-434E-9C2D-202A9A141CFC}" srcOrd="0" destOrd="0" presId="urn:microsoft.com/office/officeart/2005/8/layout/hierarchy2"/>
    <dgm:cxn modelId="{A889AD5C-7A2C-4C8C-80C3-DDEC59D90FFA}" type="presParOf" srcId="{550D60D0-35C1-4DA2-B113-110F961FB9E7}" destId="{4CB8A1F3-A3A3-4B23-9B74-FFA729E96662}" srcOrd="1" destOrd="0" presId="urn:microsoft.com/office/officeart/2005/8/layout/hierarchy2"/>
    <dgm:cxn modelId="{A6BCB2AE-4530-4002-83D7-0F42414DC579}" type="presParOf" srcId="{5937BEAD-1B6C-43FC-8E52-82ED92598AC4}" destId="{E7FD0570-DC7E-44C7-8DAC-4A8B438E58B5}" srcOrd="2" destOrd="0" presId="urn:microsoft.com/office/officeart/2005/8/layout/hierarchy2"/>
    <dgm:cxn modelId="{30A46ED2-0BFF-42D3-9D27-7371F7C9EBD2}" type="presParOf" srcId="{E7FD0570-DC7E-44C7-8DAC-4A8B438E58B5}" destId="{4733A6F6-0B8A-4E31-BFF2-CB8B04AF78B6}" srcOrd="0" destOrd="0" presId="urn:microsoft.com/office/officeart/2005/8/layout/hierarchy2"/>
    <dgm:cxn modelId="{65A395B9-A341-4026-86D8-D75BE4F08422}" type="presParOf" srcId="{5937BEAD-1B6C-43FC-8E52-82ED92598AC4}" destId="{C585FF08-A623-4E14-A03A-0B9B95300463}" srcOrd="3" destOrd="0" presId="urn:microsoft.com/office/officeart/2005/8/layout/hierarchy2"/>
    <dgm:cxn modelId="{4107D0FA-4C91-4477-A690-2C17DABF4548}" type="presParOf" srcId="{C585FF08-A623-4E14-A03A-0B9B95300463}" destId="{6E6321DD-56B1-434F-8CE8-B89A0B2D92E1}" srcOrd="0" destOrd="0" presId="urn:microsoft.com/office/officeart/2005/8/layout/hierarchy2"/>
    <dgm:cxn modelId="{69E1A120-6E5B-44CC-8845-6B2020784FF3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9F78185A-6E9E-48F5-AA8A-15CC958970E8}" type="presOf" srcId="{CA558C73-FC63-4106-8E57-D3AE4991C9EE}" destId="{35EFD7C4-F3FD-434E-9C2D-202A9A141CFC}" srcOrd="0" destOrd="0" presId="urn:microsoft.com/office/officeart/2005/8/layout/hierarchy2"/>
    <dgm:cxn modelId="{D652ADC2-86B0-488D-ACCB-071F0FDAB844}" type="presOf" srcId="{EAEEBF37-E536-4EC6-A613-A125A7D93D0F}" destId="{A91DD16F-9E6A-48E9-BBC0-E5672ACCC2A4}" srcOrd="0" destOrd="0" presId="urn:microsoft.com/office/officeart/2005/8/layout/hierarchy2"/>
    <dgm:cxn modelId="{B92FEAF6-95AC-42E7-A14D-8D8A81A98128}" type="presOf" srcId="{514896FB-8E0C-4A0C-BEB0-99FAF1D3C7D7}" destId="{466C202C-2894-4A12-BEB0-9C1B425095FA}" srcOrd="1" destOrd="0" presId="urn:microsoft.com/office/officeart/2005/8/layout/hierarchy2"/>
    <dgm:cxn modelId="{88EB09A8-8E9E-4F3B-88A3-5F3684EFFFB4}" type="presOf" srcId="{19D2C260-F6E9-4240-B38E-695167A6B99C}" destId="{E7FD0570-DC7E-44C7-8DAC-4A8B438E58B5}" srcOrd="0" destOrd="0" presId="urn:microsoft.com/office/officeart/2005/8/layout/hierarchy2"/>
    <dgm:cxn modelId="{C4F33EB3-D2A4-48F3-9DC5-548CB27F4516}" type="presOf" srcId="{4272607C-2EFF-438D-95CE-8B4156A635A9}" destId="{ED493A2D-26AF-47B5-8BBF-5B9827F6103A}" srcOrd="0" destOrd="0" presId="urn:microsoft.com/office/officeart/2005/8/layout/hierarchy2"/>
    <dgm:cxn modelId="{CED537FB-533C-4512-8A64-65E955AE1420}" type="presOf" srcId="{514896FB-8E0C-4A0C-BEB0-99FAF1D3C7D7}" destId="{F3037E89-45BB-4B2D-A15C-2A7ED426B47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D09A794-CA37-4DA2-BF74-055127BC6427}" type="presOf" srcId="{B3BCC2D8-9F67-4CC2-AACA-8E2B09C90CE8}" destId="{6E6321DD-56B1-434F-8CE8-B89A0B2D92E1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9CB03FAF-2828-469F-8A06-FE5CEC2087E2}" type="presOf" srcId="{19D2C260-F6E9-4240-B38E-695167A6B99C}" destId="{4733A6F6-0B8A-4E31-BFF2-CB8B04AF78B6}" srcOrd="1" destOrd="0" presId="urn:microsoft.com/office/officeart/2005/8/layout/hierarchy2"/>
    <dgm:cxn modelId="{E9B8D262-E51D-4A68-A5FE-9134702C4302}" type="presParOf" srcId="{A91DD16F-9E6A-48E9-BBC0-E5672ACCC2A4}" destId="{3BDBCE9B-EBDB-41D6-A04D-0B51DB4D4174}" srcOrd="0" destOrd="0" presId="urn:microsoft.com/office/officeart/2005/8/layout/hierarchy2"/>
    <dgm:cxn modelId="{040BF4F5-F2B3-40A4-9A65-BA2ABCBDA15F}" type="presParOf" srcId="{3BDBCE9B-EBDB-41D6-A04D-0B51DB4D4174}" destId="{ED493A2D-26AF-47B5-8BBF-5B9827F6103A}" srcOrd="0" destOrd="0" presId="urn:microsoft.com/office/officeart/2005/8/layout/hierarchy2"/>
    <dgm:cxn modelId="{68AA0398-F5DD-46E7-842C-8F2669316EEF}" type="presParOf" srcId="{3BDBCE9B-EBDB-41D6-A04D-0B51DB4D4174}" destId="{5937BEAD-1B6C-43FC-8E52-82ED92598AC4}" srcOrd="1" destOrd="0" presId="urn:microsoft.com/office/officeart/2005/8/layout/hierarchy2"/>
    <dgm:cxn modelId="{6EDA028F-69A4-4AC7-ACE1-8D95A15649C6}" type="presParOf" srcId="{5937BEAD-1B6C-43FC-8E52-82ED92598AC4}" destId="{F3037E89-45BB-4B2D-A15C-2A7ED426B47C}" srcOrd="0" destOrd="0" presId="urn:microsoft.com/office/officeart/2005/8/layout/hierarchy2"/>
    <dgm:cxn modelId="{7742DD2C-9CDA-4EC9-9B8B-428F96609FC3}" type="presParOf" srcId="{F3037E89-45BB-4B2D-A15C-2A7ED426B47C}" destId="{466C202C-2894-4A12-BEB0-9C1B425095FA}" srcOrd="0" destOrd="0" presId="urn:microsoft.com/office/officeart/2005/8/layout/hierarchy2"/>
    <dgm:cxn modelId="{756E6B78-FABF-4AA4-A104-F97B492E8EA9}" type="presParOf" srcId="{5937BEAD-1B6C-43FC-8E52-82ED92598AC4}" destId="{550D60D0-35C1-4DA2-B113-110F961FB9E7}" srcOrd="1" destOrd="0" presId="urn:microsoft.com/office/officeart/2005/8/layout/hierarchy2"/>
    <dgm:cxn modelId="{95005F5E-BC68-4E8A-8CF0-2A513F4DF42B}" type="presParOf" srcId="{550D60D0-35C1-4DA2-B113-110F961FB9E7}" destId="{35EFD7C4-F3FD-434E-9C2D-202A9A141CFC}" srcOrd="0" destOrd="0" presId="urn:microsoft.com/office/officeart/2005/8/layout/hierarchy2"/>
    <dgm:cxn modelId="{D8F72607-62E5-4EBA-961C-8A1E0D455228}" type="presParOf" srcId="{550D60D0-35C1-4DA2-B113-110F961FB9E7}" destId="{4CB8A1F3-A3A3-4B23-9B74-FFA729E96662}" srcOrd="1" destOrd="0" presId="urn:microsoft.com/office/officeart/2005/8/layout/hierarchy2"/>
    <dgm:cxn modelId="{D5DC2F2A-0414-4400-BD6D-E99D669EFD6B}" type="presParOf" srcId="{5937BEAD-1B6C-43FC-8E52-82ED92598AC4}" destId="{E7FD0570-DC7E-44C7-8DAC-4A8B438E58B5}" srcOrd="2" destOrd="0" presId="urn:microsoft.com/office/officeart/2005/8/layout/hierarchy2"/>
    <dgm:cxn modelId="{04B0BAD3-5A81-4148-A17D-429FD270AE52}" type="presParOf" srcId="{E7FD0570-DC7E-44C7-8DAC-4A8B438E58B5}" destId="{4733A6F6-0B8A-4E31-BFF2-CB8B04AF78B6}" srcOrd="0" destOrd="0" presId="urn:microsoft.com/office/officeart/2005/8/layout/hierarchy2"/>
    <dgm:cxn modelId="{6CC1CD54-1C2F-41F9-B0EB-04BAC8BF4D44}" type="presParOf" srcId="{5937BEAD-1B6C-43FC-8E52-82ED92598AC4}" destId="{C585FF08-A623-4E14-A03A-0B9B95300463}" srcOrd="3" destOrd="0" presId="urn:microsoft.com/office/officeart/2005/8/layout/hierarchy2"/>
    <dgm:cxn modelId="{D01C4C54-158D-4C73-B937-AD29D9858C43}" type="presParOf" srcId="{C585FF08-A623-4E14-A03A-0B9B95300463}" destId="{6E6321DD-56B1-434F-8CE8-B89A0B2D92E1}" srcOrd="0" destOrd="0" presId="urn:microsoft.com/office/officeart/2005/8/layout/hierarchy2"/>
    <dgm:cxn modelId="{9961BCF8-A885-4AD5-92C2-D2FCF2EEA99B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EFA760E3-B9A6-4CAA-94A2-DC9E0D09E156}" type="presOf" srcId="{CA558C73-FC63-4106-8E57-D3AE4991C9EE}" destId="{35EFD7C4-F3FD-434E-9C2D-202A9A141CFC}" srcOrd="0" destOrd="0" presId="urn:microsoft.com/office/officeart/2005/8/layout/hierarchy2"/>
    <dgm:cxn modelId="{C24CB0F4-50F9-4E34-AF00-0A52B18FA2FC}" type="presOf" srcId="{4272607C-2EFF-438D-95CE-8B4156A635A9}" destId="{ED493A2D-26AF-47B5-8BBF-5B9827F6103A}" srcOrd="0" destOrd="0" presId="urn:microsoft.com/office/officeart/2005/8/layout/hierarchy2"/>
    <dgm:cxn modelId="{3A54B459-7B2F-46C1-8179-2143B6A953F8}" type="presOf" srcId="{EAEEBF37-E536-4EC6-A613-A125A7D93D0F}" destId="{A91DD16F-9E6A-48E9-BBC0-E5672ACCC2A4}" srcOrd="0" destOrd="0" presId="urn:microsoft.com/office/officeart/2005/8/layout/hierarchy2"/>
    <dgm:cxn modelId="{86F1AAC4-F26B-4B41-B70C-48B9BCAA3D65}" type="presOf" srcId="{514896FB-8E0C-4A0C-BEB0-99FAF1D3C7D7}" destId="{466C202C-2894-4A12-BEB0-9C1B425095FA}" srcOrd="1" destOrd="0" presId="urn:microsoft.com/office/officeart/2005/8/layout/hierarchy2"/>
    <dgm:cxn modelId="{DEC5D16D-5695-4A35-94E6-2FD2D9DBD2B5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3913642-A7AA-4E41-A2D7-149BE5EEFA19}" type="presParOf" srcId="{A91DD16F-9E6A-48E9-BBC0-E5672ACCC2A4}" destId="{3BDBCE9B-EBDB-41D6-A04D-0B51DB4D4174}" srcOrd="0" destOrd="0" presId="urn:microsoft.com/office/officeart/2005/8/layout/hierarchy2"/>
    <dgm:cxn modelId="{40085EDD-7B69-4C4B-AEA0-647A47BBAF2C}" type="presParOf" srcId="{3BDBCE9B-EBDB-41D6-A04D-0B51DB4D4174}" destId="{ED493A2D-26AF-47B5-8BBF-5B9827F6103A}" srcOrd="0" destOrd="0" presId="urn:microsoft.com/office/officeart/2005/8/layout/hierarchy2"/>
    <dgm:cxn modelId="{C9E81DA0-C3F2-4A84-A38A-C1530F9A8409}" type="presParOf" srcId="{3BDBCE9B-EBDB-41D6-A04D-0B51DB4D4174}" destId="{5937BEAD-1B6C-43FC-8E52-82ED92598AC4}" srcOrd="1" destOrd="0" presId="urn:microsoft.com/office/officeart/2005/8/layout/hierarchy2"/>
    <dgm:cxn modelId="{7B116642-7DAE-4CA0-A495-2052946C5471}" type="presParOf" srcId="{5937BEAD-1B6C-43FC-8E52-82ED92598AC4}" destId="{F3037E89-45BB-4B2D-A15C-2A7ED426B47C}" srcOrd="0" destOrd="0" presId="urn:microsoft.com/office/officeart/2005/8/layout/hierarchy2"/>
    <dgm:cxn modelId="{8D47B203-18CB-4511-8179-CAA2D8D0F842}" type="presParOf" srcId="{F3037E89-45BB-4B2D-A15C-2A7ED426B47C}" destId="{466C202C-2894-4A12-BEB0-9C1B425095FA}" srcOrd="0" destOrd="0" presId="urn:microsoft.com/office/officeart/2005/8/layout/hierarchy2"/>
    <dgm:cxn modelId="{2DBE7A28-DD11-48C7-B430-BD78FE971143}" type="presParOf" srcId="{5937BEAD-1B6C-43FC-8E52-82ED92598AC4}" destId="{550D60D0-35C1-4DA2-B113-110F961FB9E7}" srcOrd="1" destOrd="0" presId="urn:microsoft.com/office/officeart/2005/8/layout/hierarchy2"/>
    <dgm:cxn modelId="{7475E961-E3A3-453D-9AC1-743411C54250}" type="presParOf" srcId="{550D60D0-35C1-4DA2-B113-110F961FB9E7}" destId="{35EFD7C4-F3FD-434E-9C2D-202A9A141CFC}" srcOrd="0" destOrd="0" presId="urn:microsoft.com/office/officeart/2005/8/layout/hierarchy2"/>
    <dgm:cxn modelId="{04E6E232-9171-4420-92B1-D36DE4CC3F7A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1A9B995697143CAB8C0042087DE18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4929E-D0F8-4FD9-B808-1EC976930CEA}"/>
      </w:docPartPr>
      <w:docPartBody>
        <w:p w:rsidR="00AF32D1" w:rsidRDefault="00D47839" w:rsidP="00D47839">
          <w:pPr>
            <w:pStyle w:val="D1A9B995697143CAB8C0042087DE184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AE6C27D22E244C7BFF5BFDBD723D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A2266-6DBC-479F-984C-CE95B074A2F8}"/>
      </w:docPartPr>
      <w:docPartBody>
        <w:p w:rsidR="003A684E" w:rsidRDefault="00AF32D1" w:rsidP="00AF32D1">
          <w:pPr>
            <w:pStyle w:val="3AE6C27D22E244C7BFF5BFDBD723D31A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053CB4"/>
    <w:rsid w:val="00057874"/>
    <w:rsid w:val="00157A29"/>
    <w:rsid w:val="00172104"/>
    <w:rsid w:val="00175FEC"/>
    <w:rsid w:val="001C3AFF"/>
    <w:rsid w:val="001D201B"/>
    <w:rsid w:val="001F61C8"/>
    <w:rsid w:val="0022326A"/>
    <w:rsid w:val="002746E2"/>
    <w:rsid w:val="002915CE"/>
    <w:rsid w:val="002A0E89"/>
    <w:rsid w:val="003547F5"/>
    <w:rsid w:val="0038254B"/>
    <w:rsid w:val="00384F51"/>
    <w:rsid w:val="003911BC"/>
    <w:rsid w:val="003A684E"/>
    <w:rsid w:val="003B4635"/>
    <w:rsid w:val="003C2ECE"/>
    <w:rsid w:val="003F62D6"/>
    <w:rsid w:val="004F5418"/>
    <w:rsid w:val="00510F8B"/>
    <w:rsid w:val="005D39E8"/>
    <w:rsid w:val="005E4121"/>
    <w:rsid w:val="00645C45"/>
    <w:rsid w:val="00647E21"/>
    <w:rsid w:val="006B0281"/>
    <w:rsid w:val="006F02B0"/>
    <w:rsid w:val="006F22F7"/>
    <w:rsid w:val="007002A2"/>
    <w:rsid w:val="00726A9E"/>
    <w:rsid w:val="00727E1F"/>
    <w:rsid w:val="007445B5"/>
    <w:rsid w:val="00795AB2"/>
    <w:rsid w:val="007B403B"/>
    <w:rsid w:val="007C43AA"/>
    <w:rsid w:val="007D5EB8"/>
    <w:rsid w:val="00804904"/>
    <w:rsid w:val="00813991"/>
    <w:rsid w:val="00867901"/>
    <w:rsid w:val="008840F2"/>
    <w:rsid w:val="00892B4B"/>
    <w:rsid w:val="00894C32"/>
    <w:rsid w:val="008A628E"/>
    <w:rsid w:val="008E4933"/>
    <w:rsid w:val="0090186F"/>
    <w:rsid w:val="00964EF7"/>
    <w:rsid w:val="00971B79"/>
    <w:rsid w:val="009871C2"/>
    <w:rsid w:val="009D2616"/>
    <w:rsid w:val="009E7D4F"/>
    <w:rsid w:val="00A526E3"/>
    <w:rsid w:val="00A86F6C"/>
    <w:rsid w:val="00A93FFA"/>
    <w:rsid w:val="00AD1FBE"/>
    <w:rsid w:val="00AE6386"/>
    <w:rsid w:val="00AF32D1"/>
    <w:rsid w:val="00B00C48"/>
    <w:rsid w:val="00B40336"/>
    <w:rsid w:val="00B51680"/>
    <w:rsid w:val="00BF7BB3"/>
    <w:rsid w:val="00C66DEA"/>
    <w:rsid w:val="00C72777"/>
    <w:rsid w:val="00C8070C"/>
    <w:rsid w:val="00CD635E"/>
    <w:rsid w:val="00CE7C93"/>
    <w:rsid w:val="00D01461"/>
    <w:rsid w:val="00D13969"/>
    <w:rsid w:val="00D47839"/>
    <w:rsid w:val="00D946F3"/>
    <w:rsid w:val="00DE2CBF"/>
    <w:rsid w:val="00E234C5"/>
    <w:rsid w:val="00E30DBA"/>
    <w:rsid w:val="00E70DF3"/>
    <w:rsid w:val="00EA1C7F"/>
    <w:rsid w:val="00EC1D63"/>
    <w:rsid w:val="00EE51F8"/>
    <w:rsid w:val="00EF2E6F"/>
    <w:rsid w:val="00EF6AE2"/>
    <w:rsid w:val="00F22EAD"/>
    <w:rsid w:val="00F5512A"/>
    <w:rsid w:val="00F81356"/>
    <w:rsid w:val="00FE4496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32D1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  <w:style w:type="paragraph" w:customStyle="1" w:styleId="D1A9B995697143CAB8C0042087DE1844">
    <w:name w:val="D1A9B995697143CAB8C0042087DE1844"/>
    <w:rsid w:val="00D47839"/>
  </w:style>
  <w:style w:type="paragraph" w:customStyle="1" w:styleId="3AE6C27D22E244C7BFF5BFDBD723D31A">
    <w:name w:val="3AE6C27D22E244C7BFF5BFDBD723D31A"/>
    <w:rsid w:val="00AF32D1"/>
  </w:style>
  <w:style w:type="paragraph" w:customStyle="1" w:styleId="534DDF30ECAC4F7A842498EB8E80E5D1">
    <w:name w:val="534DDF30ECAC4F7A842498EB8E80E5D1"/>
    <w:pPr>
      <w:spacing w:after="160" w:line="259" w:lineRule="auto"/>
    </w:pPr>
  </w:style>
  <w:style w:type="paragraph" w:customStyle="1" w:styleId="892A44CC16D74F978946188A661E6B34">
    <w:name w:val="892A44CC16D74F978946188A661E6B34"/>
    <w:pPr>
      <w:spacing w:after="160" w:line="259" w:lineRule="auto"/>
    </w:pPr>
  </w:style>
  <w:style w:type="paragraph" w:customStyle="1" w:styleId="75E5FB66A92D47A088D8D770E045AEC9">
    <w:name w:val="75E5FB66A92D47A088D8D770E045AEC9"/>
    <w:pPr>
      <w:spacing w:after="160" w:line="259" w:lineRule="auto"/>
    </w:pPr>
  </w:style>
  <w:style w:type="paragraph" w:customStyle="1" w:styleId="7F3F671E006B40D09BC67BA036937986">
    <w:name w:val="7F3F671E006B40D09BC67BA036937986"/>
    <w:pPr>
      <w:spacing w:after="160" w:line="259" w:lineRule="auto"/>
    </w:pPr>
  </w:style>
  <w:style w:type="paragraph" w:customStyle="1" w:styleId="2E88DA4DF9AD42A99C1AF285E6BB31DA">
    <w:name w:val="2E88DA4DF9AD42A99C1AF285E6BB31DA"/>
    <w:pPr>
      <w:spacing w:after="160" w:line="259" w:lineRule="auto"/>
    </w:pPr>
  </w:style>
  <w:style w:type="paragraph" w:customStyle="1" w:styleId="C4788E2531A840ACBF0B00DD1F887AAD">
    <w:name w:val="C4788E2531A840ACBF0B00DD1F887A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733C3-7EEE-4EB1-9FFF-CD031D2F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21415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2021-02-11T08:30:00Z</dcterms:created>
  <dcterms:modified xsi:type="dcterms:W3CDTF">2021-04-29T12:34:00Z</dcterms:modified>
</cp:coreProperties>
</file>