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460F2" w14:textId="77777777" w:rsidR="00595127" w:rsidRPr="002212DE" w:rsidRDefault="00D61BB6" w:rsidP="00595127">
      <w:pPr>
        <w:rPr>
          <w:sz w:val="20"/>
          <w:szCs w:val="20"/>
        </w:rPr>
      </w:pPr>
      <w:r w:rsidRPr="00CC5171" w:rsidDel="00E701EB">
        <w:rPr>
          <w:sz w:val="22"/>
          <w:szCs w:val="22"/>
        </w:rPr>
        <w:t xml:space="preserve"> </w:t>
      </w:r>
      <w:r w:rsidR="00595127" w:rsidRPr="002212DE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07ABD864" wp14:editId="6699187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127" w:rsidRPr="002212D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1A4B9606" wp14:editId="60C71807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127" w:rsidRPr="002212DE" w:rsidDel="00E701EB">
        <w:rPr>
          <w:sz w:val="20"/>
          <w:szCs w:val="20"/>
        </w:rPr>
        <w:t xml:space="preserve"> </w:t>
      </w:r>
      <w:r w:rsidR="00595127" w:rsidRPr="002212DE">
        <w:rPr>
          <w:sz w:val="20"/>
          <w:szCs w:val="20"/>
        </w:rPr>
        <w:tab/>
      </w:r>
      <w:r w:rsidR="00595127" w:rsidRPr="002212DE">
        <w:rPr>
          <w:sz w:val="20"/>
          <w:szCs w:val="20"/>
        </w:rPr>
        <w:tab/>
      </w:r>
    </w:p>
    <w:p w14:paraId="7FD80265" w14:textId="77777777" w:rsidR="00595127" w:rsidRPr="002212DE" w:rsidRDefault="00595127" w:rsidP="00595127">
      <w:pPr>
        <w:rPr>
          <w:sz w:val="20"/>
          <w:szCs w:val="20"/>
        </w:rPr>
      </w:pPr>
    </w:p>
    <w:p w14:paraId="1CE0DEC5" w14:textId="77777777" w:rsidR="00595127" w:rsidRPr="002212DE" w:rsidRDefault="00595127" w:rsidP="00595127">
      <w:pPr>
        <w:rPr>
          <w:b/>
          <w:sz w:val="20"/>
          <w:szCs w:val="20"/>
        </w:rPr>
      </w:pP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  <w:t xml:space="preserve">   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79CEEBA0" w14:textId="77777777" w:rsidR="00595127" w:rsidRPr="002212DE" w:rsidRDefault="00595127" w:rsidP="00595127">
      <w:pPr>
        <w:rPr>
          <w:b/>
          <w:sz w:val="20"/>
          <w:szCs w:val="20"/>
        </w:rPr>
      </w:pPr>
    </w:p>
    <w:p w14:paraId="123264F2" w14:textId="77777777" w:rsidR="00595127" w:rsidRPr="002212DE" w:rsidRDefault="00595127" w:rsidP="00595127">
      <w:pPr>
        <w:rPr>
          <w:b/>
          <w:sz w:val="20"/>
          <w:szCs w:val="20"/>
        </w:rPr>
      </w:pPr>
    </w:p>
    <w:p w14:paraId="3257494B" w14:textId="77777777" w:rsidR="00595127" w:rsidRPr="002212DE" w:rsidRDefault="00595127" w:rsidP="00595127">
      <w:pPr>
        <w:rPr>
          <w:b/>
          <w:sz w:val="20"/>
          <w:szCs w:val="20"/>
        </w:rPr>
      </w:pPr>
    </w:p>
    <w:p w14:paraId="59A3909F" w14:textId="77777777" w:rsidR="00595127" w:rsidRPr="002212DE" w:rsidRDefault="00595127" w:rsidP="00595127">
      <w:pPr>
        <w:rPr>
          <w:b/>
          <w:sz w:val="20"/>
          <w:szCs w:val="20"/>
        </w:rPr>
      </w:pPr>
    </w:p>
    <w:p w14:paraId="72EFFD73" w14:textId="77777777" w:rsidR="00595127" w:rsidRPr="0017616D" w:rsidRDefault="00595127" w:rsidP="0017616D">
      <w:pPr>
        <w:ind w:right="6520"/>
        <w:jc w:val="center"/>
        <w:rPr>
          <w:rFonts w:ascii="Arial" w:hAnsi="Arial"/>
          <w:sz w:val="20"/>
        </w:rPr>
      </w:pPr>
      <w:r w:rsidRPr="0017616D">
        <w:rPr>
          <w:rFonts w:ascii="Arial" w:hAnsi="Arial"/>
          <w:sz w:val="20"/>
        </w:rPr>
        <w:t>Európska únia</w:t>
      </w:r>
    </w:p>
    <w:p w14:paraId="7BDB0EDF" w14:textId="77777777" w:rsidR="00595127" w:rsidRPr="002212DE" w:rsidRDefault="00595127" w:rsidP="00595127">
      <w:pPr>
        <w:ind w:right="6520"/>
        <w:jc w:val="center"/>
        <w:rPr>
          <w:rFonts w:ascii="Arial" w:hAnsi="Arial" w:cs="Arial"/>
          <w:sz w:val="20"/>
          <w:szCs w:val="20"/>
        </w:rPr>
      </w:pPr>
      <w:r w:rsidRPr="002212DE">
        <w:rPr>
          <w:rFonts w:ascii="Arial" w:hAnsi="Arial" w:cs="Arial"/>
          <w:sz w:val="20"/>
          <w:szCs w:val="20"/>
        </w:rPr>
        <w:t>Európsky fond regionálneho</w:t>
      </w:r>
    </w:p>
    <w:p w14:paraId="1DD68902" w14:textId="77777777" w:rsidR="00595127" w:rsidRDefault="00595127" w:rsidP="00595127">
      <w:pPr>
        <w:ind w:right="65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2212DE">
        <w:rPr>
          <w:rFonts w:ascii="Arial" w:hAnsi="Arial" w:cs="Arial"/>
          <w:sz w:val="20"/>
          <w:szCs w:val="20"/>
        </w:rPr>
        <w:t>ozvoja</w:t>
      </w:r>
    </w:p>
    <w:p w14:paraId="4A52DF47" w14:textId="77777777" w:rsidR="00595127" w:rsidRPr="0017616D" w:rsidRDefault="00595127" w:rsidP="0017616D">
      <w:pPr>
        <w:ind w:right="6802"/>
        <w:jc w:val="center"/>
        <w:rPr>
          <w:b/>
          <w:sz w:val="20"/>
        </w:rPr>
      </w:pPr>
    </w:p>
    <w:p w14:paraId="684C808E" w14:textId="77777777" w:rsidR="00595127" w:rsidRPr="0017616D" w:rsidRDefault="00595127" w:rsidP="00595127">
      <w:pPr>
        <w:jc w:val="center"/>
        <w:rPr>
          <w:b/>
          <w:sz w:val="20"/>
        </w:rPr>
      </w:pPr>
    </w:p>
    <w:p w14:paraId="59ECB8A7" w14:textId="77777777" w:rsidR="00C6439D" w:rsidRPr="003B3FF6" w:rsidRDefault="00D239D4" w:rsidP="006D744B">
      <w:pPr>
        <w:jc w:val="center"/>
        <w:rPr>
          <w:b/>
          <w:sz w:val="40"/>
          <w:szCs w:val="22"/>
        </w:rPr>
      </w:pPr>
      <w:r w:rsidRPr="003B3FF6">
        <w:rPr>
          <w:b/>
          <w:sz w:val="40"/>
          <w:szCs w:val="22"/>
        </w:rPr>
        <w:t>Metodický pokyn</w:t>
      </w:r>
      <w:r w:rsidR="00D61BB6" w:rsidRPr="003B3FF6">
        <w:rPr>
          <w:b/>
          <w:sz w:val="40"/>
          <w:szCs w:val="22"/>
        </w:rPr>
        <w:t xml:space="preserve"> CKO č. </w:t>
      </w:r>
      <w:sdt>
        <w:sdtPr>
          <w:rPr>
            <w:b/>
            <w:sz w:val="40"/>
            <w:szCs w:val="22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B064A">
            <w:rPr>
              <w:b/>
              <w:sz w:val="40"/>
              <w:szCs w:val="22"/>
            </w:rPr>
            <w:t>15</w:t>
          </w:r>
        </w:sdtContent>
      </w:sdt>
    </w:p>
    <w:p w14:paraId="6974BC2D" w14:textId="2F1FD46C" w:rsidR="00D61BB6" w:rsidRPr="001C61D0" w:rsidRDefault="00C6439D" w:rsidP="00541FF5">
      <w:pPr>
        <w:jc w:val="center"/>
        <w:rPr>
          <w:b/>
          <w:sz w:val="32"/>
          <w:szCs w:val="22"/>
        </w:rPr>
      </w:pPr>
      <w:r w:rsidRPr="001C61D0">
        <w:rPr>
          <w:b/>
          <w:sz w:val="32"/>
          <w:szCs w:val="22"/>
        </w:rPr>
        <w:t xml:space="preserve">verzia </w:t>
      </w:r>
      <w:sdt>
        <w:sdtPr>
          <w:rPr>
            <w:b/>
            <w:sz w:val="32"/>
            <w:szCs w:val="2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B064A">
            <w:rPr>
              <w:b/>
              <w:sz w:val="32"/>
              <w:szCs w:val="22"/>
            </w:rPr>
            <w:t>5</w:t>
          </w:r>
        </w:sdtContent>
      </w:sdt>
    </w:p>
    <w:p w14:paraId="3E63FE90" w14:textId="77777777" w:rsidR="00D61BB6" w:rsidRPr="00CC5171" w:rsidRDefault="00D61BB6" w:rsidP="00D61BB6">
      <w:pPr>
        <w:jc w:val="center"/>
        <w:rPr>
          <w:b/>
          <w:sz w:val="22"/>
          <w:szCs w:val="22"/>
        </w:rPr>
      </w:pPr>
    </w:p>
    <w:p w14:paraId="1D29A997" w14:textId="77777777" w:rsidR="003B0DFE" w:rsidRPr="00CC5171" w:rsidRDefault="003B0DFE" w:rsidP="00D61BB6">
      <w:pPr>
        <w:jc w:val="center"/>
        <w:rPr>
          <w:b/>
          <w:sz w:val="22"/>
          <w:szCs w:val="22"/>
        </w:rPr>
      </w:pPr>
    </w:p>
    <w:p w14:paraId="625BC013" w14:textId="77777777" w:rsidR="00D61BB6" w:rsidRPr="003B3FF6" w:rsidRDefault="00D61BB6" w:rsidP="00D61BB6">
      <w:pPr>
        <w:jc w:val="center"/>
        <w:rPr>
          <w:b/>
          <w:sz w:val="28"/>
          <w:szCs w:val="22"/>
        </w:rPr>
      </w:pPr>
      <w:r w:rsidRPr="003B3FF6">
        <w:rPr>
          <w:b/>
          <w:sz w:val="28"/>
          <w:szCs w:val="22"/>
        </w:rPr>
        <w:t>Programové obdobie 2014 – 2020</w:t>
      </w:r>
    </w:p>
    <w:p w14:paraId="74E477E9" w14:textId="77777777" w:rsidR="00D61BB6" w:rsidRPr="00CC5171" w:rsidRDefault="00D61BB6" w:rsidP="006479DF">
      <w:pPr>
        <w:rPr>
          <w:sz w:val="22"/>
          <w:szCs w:val="22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CC5171" w14:paraId="23E3C2BF" w14:textId="77777777" w:rsidTr="00E24D44">
        <w:tc>
          <w:tcPr>
            <w:tcW w:w="2268" w:type="dxa"/>
            <w:shd w:val="clear" w:color="auto" w:fill="8DB3E2" w:themeFill="text2" w:themeFillTint="66"/>
          </w:tcPr>
          <w:p w14:paraId="7BD90BC5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Vec:</w:t>
            </w:r>
            <w:r w:rsidR="000E2E4D" w:rsidRPr="003B3FF6">
              <w:rPr>
                <w:b/>
                <w:sz w:val="26"/>
                <w:szCs w:val="26"/>
              </w:rPr>
              <w:t xml:space="preserve">    </w:t>
            </w:r>
          </w:p>
          <w:p w14:paraId="50A57495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7676673F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3763C40A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96479B2" w14:textId="77777777" w:rsidR="000E2E4D" w:rsidRPr="002E035A" w:rsidRDefault="000E2E4D" w:rsidP="000E2E4D">
            <w:r w:rsidRPr="002E035A">
              <w:t>k</w:t>
            </w:r>
            <w:r w:rsidR="00A20407" w:rsidRPr="002E035A">
              <w:t> monitorovaniu projektov</w:t>
            </w:r>
          </w:p>
          <w:p w14:paraId="6E9D4EC5" w14:textId="77777777" w:rsidR="009836CF" w:rsidRPr="002E035A" w:rsidRDefault="009836CF" w:rsidP="006A5157">
            <w:pPr>
              <w:jc w:val="both"/>
            </w:pPr>
          </w:p>
        </w:tc>
      </w:tr>
      <w:tr w:rsidR="009836CF" w:rsidRPr="00CC5171" w14:paraId="18942368" w14:textId="77777777" w:rsidTr="00E24D44">
        <w:tc>
          <w:tcPr>
            <w:tcW w:w="2268" w:type="dxa"/>
            <w:shd w:val="clear" w:color="auto" w:fill="8DB3E2" w:themeFill="text2" w:themeFillTint="66"/>
          </w:tcPr>
          <w:p w14:paraId="73B2D181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Určené pre:</w:t>
            </w:r>
          </w:p>
          <w:p w14:paraId="2E1C43F1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0D67349E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4B5A507D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2CEA300" w14:textId="77777777" w:rsidR="009836CF" w:rsidRPr="000D77A6" w:rsidRDefault="000E2E4D" w:rsidP="006A5157">
            <w:pPr>
              <w:jc w:val="both"/>
            </w:pPr>
            <w:r w:rsidRPr="000D77A6">
              <w:t>Riadiace orgány</w:t>
            </w:r>
          </w:p>
          <w:p w14:paraId="2C501DCE" w14:textId="77777777" w:rsidR="00A20407" w:rsidRPr="000D77A6" w:rsidRDefault="00A20407" w:rsidP="00A20407">
            <w:pPr>
              <w:jc w:val="both"/>
            </w:pPr>
            <w:r w:rsidRPr="000D77A6">
              <w:t>Sprostredkovateľské orgány</w:t>
            </w:r>
          </w:p>
        </w:tc>
      </w:tr>
      <w:tr w:rsidR="009836CF" w:rsidRPr="00CC5171" w14:paraId="37D16E15" w14:textId="77777777" w:rsidTr="00E24D44">
        <w:tc>
          <w:tcPr>
            <w:tcW w:w="2268" w:type="dxa"/>
            <w:shd w:val="clear" w:color="auto" w:fill="8DB3E2" w:themeFill="text2" w:themeFillTint="66"/>
          </w:tcPr>
          <w:p w14:paraId="061F0FC5" w14:textId="77777777" w:rsidR="009836CF" w:rsidRPr="003B3FF6" w:rsidRDefault="00116F61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Na vedomie:</w:t>
            </w:r>
          </w:p>
          <w:p w14:paraId="70ACBAE0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2D8A1A10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2616A6DD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E0C37F6" w14:textId="77777777" w:rsidR="00B91F3C" w:rsidRPr="000D77A6" w:rsidRDefault="00B91F3C" w:rsidP="00B91F3C">
            <w:pPr>
              <w:jc w:val="both"/>
            </w:pPr>
            <w:r w:rsidRPr="000D77A6">
              <w:t>Certifikačný orgán</w:t>
            </w:r>
          </w:p>
          <w:p w14:paraId="45CBC3BD" w14:textId="77777777" w:rsidR="00B91F3C" w:rsidRPr="000D77A6" w:rsidRDefault="00B91F3C" w:rsidP="00B91F3C">
            <w:pPr>
              <w:jc w:val="both"/>
            </w:pPr>
            <w:r w:rsidRPr="000D77A6">
              <w:t>Orgán auditu</w:t>
            </w:r>
          </w:p>
          <w:p w14:paraId="35210EAA" w14:textId="77777777" w:rsidR="009836CF" w:rsidRPr="000D77A6" w:rsidRDefault="00B91F3C" w:rsidP="00B91F3C">
            <w:pPr>
              <w:jc w:val="both"/>
            </w:pPr>
            <w:r w:rsidRPr="000D77A6">
              <w:t>Gestori horizontálnych princípov</w:t>
            </w:r>
          </w:p>
          <w:p w14:paraId="503C63E7" w14:textId="77777777" w:rsidR="000E2E4D" w:rsidRPr="000D77A6" w:rsidRDefault="000E2E4D" w:rsidP="00B91F3C">
            <w:pPr>
              <w:jc w:val="both"/>
            </w:pPr>
          </w:p>
        </w:tc>
      </w:tr>
      <w:tr w:rsidR="009836CF" w:rsidRPr="00CC5171" w14:paraId="0C406921" w14:textId="77777777" w:rsidTr="00E24D44">
        <w:tc>
          <w:tcPr>
            <w:tcW w:w="2268" w:type="dxa"/>
            <w:shd w:val="clear" w:color="auto" w:fill="8DB3E2" w:themeFill="text2" w:themeFillTint="66"/>
          </w:tcPr>
          <w:p w14:paraId="7878FB4F" w14:textId="77777777" w:rsidR="009836CF" w:rsidRPr="003B3FF6" w:rsidRDefault="00116F61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Vydáva:</w:t>
            </w:r>
          </w:p>
          <w:p w14:paraId="544E042D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50032390" w14:textId="77777777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  <w:p w14:paraId="237836C3" w14:textId="77777777" w:rsidR="00595127" w:rsidRPr="0017616D" w:rsidRDefault="00595127" w:rsidP="006479DF">
            <w:pPr>
              <w:rPr>
                <w:b/>
                <w:sz w:val="16"/>
              </w:rPr>
            </w:pPr>
          </w:p>
          <w:p w14:paraId="55D99C72" w14:textId="77777777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853B7CE" w14:textId="77777777" w:rsidR="009836CF" w:rsidRPr="000D77A6" w:rsidRDefault="0084743A" w:rsidP="006A5157">
            <w:pPr>
              <w:jc w:val="both"/>
            </w:pPr>
            <w:r w:rsidRPr="000D77A6">
              <w:t>Centrálny koordinačný orgán</w:t>
            </w:r>
          </w:p>
          <w:p w14:paraId="5EBF0D03" w14:textId="164EAC11" w:rsidR="0084743A" w:rsidRPr="000D77A6" w:rsidRDefault="001B2827" w:rsidP="006A5157">
            <w:pPr>
              <w:jc w:val="both"/>
            </w:pPr>
            <w:r>
              <w:t>Ministerstvo</w:t>
            </w:r>
            <w:r w:rsidR="00A57AAC">
              <w:t xml:space="preserve"> </w:t>
            </w:r>
            <w:r>
              <w:t xml:space="preserve">investícií, regionálneho rozvoja </w:t>
            </w:r>
            <w:r w:rsidR="00A57AAC">
              <w:t>a</w:t>
            </w:r>
            <w:r>
              <w:t> informatizácie SR</w:t>
            </w:r>
          </w:p>
          <w:p w14:paraId="62630840" w14:textId="77777777" w:rsidR="00B53B4A" w:rsidRPr="000D77A6" w:rsidRDefault="00B53B4A" w:rsidP="007A0A10">
            <w:pPr>
              <w:jc w:val="both"/>
            </w:pPr>
            <w:r w:rsidRPr="000D77A6">
              <w:t xml:space="preserve">v súlade s kapitolou 1.2, ods. 3, písm. </w:t>
            </w:r>
            <w:r w:rsidR="007A0A10" w:rsidRPr="000D77A6">
              <w:t>b</w:t>
            </w:r>
            <w:r w:rsidRPr="000D77A6">
              <w:t xml:space="preserve">) Systému riadenia </w:t>
            </w:r>
            <w:r w:rsidR="003B0DFE" w:rsidRPr="000D77A6">
              <w:t>európskych štrukturálnych a investičných fondov</w:t>
            </w:r>
          </w:p>
        </w:tc>
      </w:tr>
      <w:tr w:rsidR="009836CF" w:rsidRPr="00CC5171" w14:paraId="60794146" w14:textId="77777777" w:rsidTr="00E24D44">
        <w:tc>
          <w:tcPr>
            <w:tcW w:w="2268" w:type="dxa"/>
            <w:shd w:val="clear" w:color="auto" w:fill="8DB3E2" w:themeFill="text2" w:themeFillTint="66"/>
          </w:tcPr>
          <w:p w14:paraId="1E0DBD5B" w14:textId="77777777" w:rsidR="009836CF" w:rsidRPr="003B3FF6" w:rsidRDefault="00116F61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Záväznosť:</w:t>
            </w:r>
          </w:p>
          <w:p w14:paraId="1025FF8A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1CC8FC72" w14:textId="77777777" w:rsidR="006A5157" w:rsidRPr="003B3FF6" w:rsidRDefault="006A5157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65895470" w14:textId="77777777" w:rsidR="009836CF" w:rsidRPr="000D77A6" w:rsidRDefault="00EB064A" w:rsidP="006A5157">
                <w:pPr>
                  <w:jc w:val="both"/>
                </w:pPr>
                <w: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CC5171" w14:paraId="132D1196" w14:textId="77777777" w:rsidTr="00E24D44">
        <w:tc>
          <w:tcPr>
            <w:tcW w:w="2268" w:type="dxa"/>
            <w:shd w:val="clear" w:color="auto" w:fill="8DB3E2" w:themeFill="text2" w:themeFillTint="66"/>
          </w:tcPr>
          <w:p w14:paraId="26CA0C8C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Počet príloh:</w:t>
            </w:r>
          </w:p>
          <w:p w14:paraId="305022D7" w14:textId="77777777" w:rsidR="003B3FF6" w:rsidRPr="003B3FF6" w:rsidRDefault="003B3FF6" w:rsidP="006479DF">
            <w:pPr>
              <w:rPr>
                <w:b/>
                <w:sz w:val="26"/>
                <w:szCs w:val="26"/>
              </w:rPr>
            </w:pPr>
          </w:p>
          <w:p w14:paraId="0D554CA1" w14:textId="77777777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C696AA6" w14:textId="77777777" w:rsidR="009836CF" w:rsidRPr="000D77A6" w:rsidRDefault="00CA2B5D" w:rsidP="006A5157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čet príloh"/>
                <w:tag w:val="Počet príloh"/>
                <w:id w:val="321319884"/>
                <w:placeholder>
                  <w:docPart w:val="573B6D5BC6724A19BFB45D0925A83680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0" w:value="0"/>
                </w:dropDownList>
              </w:sdtPr>
              <w:sdtEndPr>
                <w:rPr>
                  <w:color w:val="auto"/>
                </w:rPr>
              </w:sdtEndPr>
              <w:sdtContent>
                <w:r w:rsidR="00EB064A" w:rsidRPr="00EB064A">
                  <w:rPr>
                    <w:color w:val="808080"/>
                  </w:rPr>
                  <w:t>0</w:t>
                </w:r>
              </w:sdtContent>
            </w:sdt>
          </w:p>
        </w:tc>
      </w:tr>
      <w:tr w:rsidR="009836CF" w:rsidRPr="00CC5171" w14:paraId="79A95C66" w14:textId="77777777" w:rsidTr="00E24D44">
        <w:tc>
          <w:tcPr>
            <w:tcW w:w="2268" w:type="dxa"/>
            <w:shd w:val="clear" w:color="auto" w:fill="8DB3E2" w:themeFill="text2" w:themeFillTint="66"/>
          </w:tcPr>
          <w:p w14:paraId="43087292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Dátum vydania:</w:t>
            </w:r>
          </w:p>
          <w:p w14:paraId="36202507" w14:textId="77777777" w:rsidR="006A5157" w:rsidRPr="003B3FF6" w:rsidRDefault="006A5157" w:rsidP="006479DF">
            <w:pPr>
              <w:rPr>
                <w:b/>
                <w:sz w:val="26"/>
                <w:szCs w:val="26"/>
              </w:rPr>
            </w:pPr>
          </w:p>
          <w:p w14:paraId="0A395D28" w14:textId="77777777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5B77250" w14:textId="28A24530" w:rsidR="009836CF" w:rsidRPr="000D77A6" w:rsidRDefault="00CA2B5D" w:rsidP="001B2827">
            <w:pPr>
              <w:jc w:val="both"/>
            </w:pPr>
            <w:sdt>
              <w:sdtPr>
                <w:rPr>
                  <w:szCs w:val="20"/>
                </w:rPr>
                <w:id w:val="88820667"/>
                <w:placeholder>
                  <w:docPart w:val="7475EC445D6B4D9F8D6220CD6E69B138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AD69D4">
                  <w:rPr>
                    <w:szCs w:val="20"/>
                  </w:rPr>
                  <w:t>30.04.2021</w:t>
                </w:r>
              </w:sdtContent>
            </w:sdt>
          </w:p>
        </w:tc>
      </w:tr>
      <w:tr w:rsidR="009836CF" w:rsidRPr="00CC5171" w14:paraId="4AE5539E" w14:textId="77777777" w:rsidTr="00E24D44">
        <w:tc>
          <w:tcPr>
            <w:tcW w:w="2268" w:type="dxa"/>
            <w:shd w:val="clear" w:color="auto" w:fill="8DB3E2" w:themeFill="text2" w:themeFillTint="66"/>
          </w:tcPr>
          <w:p w14:paraId="714AA020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Dátum účinnosti:</w:t>
            </w:r>
          </w:p>
          <w:p w14:paraId="56EDDB31" w14:textId="77777777" w:rsidR="006A5157" w:rsidRPr="003B3FF6" w:rsidRDefault="006A5157" w:rsidP="006479DF">
            <w:pPr>
              <w:rPr>
                <w:b/>
                <w:sz w:val="26"/>
                <w:szCs w:val="26"/>
              </w:rPr>
            </w:pPr>
          </w:p>
          <w:p w14:paraId="7DFED278" w14:textId="77777777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3DD4679" w14:textId="33FA3189" w:rsidR="009836CF" w:rsidRPr="000D77A6" w:rsidRDefault="00CA2B5D" w:rsidP="00145221">
            <w:pPr>
              <w:jc w:val="both"/>
            </w:pPr>
            <w:sdt>
              <w:sdtPr>
                <w:rPr>
                  <w:szCs w:val="20"/>
                </w:rPr>
                <w:id w:val="646402349"/>
                <w:placeholder>
                  <w:docPart w:val="2FDF2C96005F4ED3B9EBA19B42638497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AD69D4">
                  <w:rPr>
                    <w:szCs w:val="20"/>
                  </w:rPr>
                  <w:t>15.06.2021</w:t>
                </w:r>
              </w:sdtContent>
            </w:sdt>
          </w:p>
        </w:tc>
      </w:tr>
      <w:tr w:rsidR="009836CF" w:rsidRPr="00CC5171" w14:paraId="28B7BD06" w14:textId="77777777" w:rsidTr="00E24D44">
        <w:tc>
          <w:tcPr>
            <w:tcW w:w="2268" w:type="dxa"/>
            <w:shd w:val="clear" w:color="auto" w:fill="8DB3E2" w:themeFill="text2" w:themeFillTint="66"/>
          </w:tcPr>
          <w:p w14:paraId="5AC5AF0F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6CD9CA68" w14:textId="2B6947CE" w:rsidR="00595127" w:rsidRPr="006D744B" w:rsidRDefault="00595127" w:rsidP="00595127">
            <w:pPr>
              <w:jc w:val="both"/>
              <w:rPr>
                <w:b/>
                <w:szCs w:val="20"/>
              </w:rPr>
            </w:pPr>
            <w:r w:rsidRPr="006D744B">
              <w:rPr>
                <w:rStyle w:val="Siln"/>
                <w:b w:val="0"/>
                <w:color w:val="000000"/>
              </w:rPr>
              <w:t xml:space="preserve">JUDr. Denisa Žiláková </w:t>
            </w:r>
          </w:p>
          <w:p w14:paraId="7A36F090" w14:textId="77777777" w:rsidR="00C214B6" w:rsidRPr="000D77A6" w:rsidRDefault="00595127" w:rsidP="006A5157">
            <w:pPr>
              <w:jc w:val="both"/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p w14:paraId="2BDB5AA2" w14:textId="77777777" w:rsidR="00D61BB6" w:rsidRPr="00CC5171" w:rsidRDefault="00D61BB6" w:rsidP="006479DF">
      <w:pPr>
        <w:rPr>
          <w:sz w:val="22"/>
          <w:szCs w:val="22"/>
        </w:rPr>
      </w:pPr>
    </w:p>
    <w:bookmarkStart w:id="0" w:name="_Toc404872120" w:displacedByCustomXml="next"/>
    <w:bookmarkStart w:id="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36"/>
          <w:szCs w:val="36"/>
        </w:rPr>
        <w:id w:val="-1004741171"/>
        <w:docPartObj>
          <w:docPartGallery w:val="Table of Contents"/>
          <w:docPartUnique/>
        </w:docPartObj>
      </w:sdtPr>
      <w:sdtEndPr>
        <w:rPr>
          <w:rStyle w:val="Hypertextovprepojenie"/>
          <w:noProof/>
          <w:color w:val="0000FF" w:themeColor="hyperlink"/>
          <w:sz w:val="24"/>
          <w:szCs w:val="24"/>
          <w:u w:val="single"/>
        </w:rPr>
      </w:sdtEndPr>
      <w:sdtContent>
        <w:p w14:paraId="1930CF52" w14:textId="77777777" w:rsidR="00460F75" w:rsidRPr="00C22D4C" w:rsidRDefault="00460F75">
          <w:pPr>
            <w:pStyle w:val="Hlavikaobsahu"/>
            <w:rPr>
              <w:rFonts w:ascii="Times New Roman" w:hAnsi="Times New Roman" w:cs="Times New Roman"/>
              <w:sz w:val="36"/>
              <w:szCs w:val="36"/>
            </w:rPr>
          </w:pPr>
          <w:r w:rsidRPr="00C22D4C">
            <w:rPr>
              <w:rFonts w:ascii="Times New Roman" w:hAnsi="Times New Roman" w:cs="Times New Roman"/>
              <w:sz w:val="36"/>
              <w:szCs w:val="36"/>
            </w:rPr>
            <w:t>Obsah</w:t>
          </w:r>
        </w:p>
        <w:p w14:paraId="008E47CC" w14:textId="77777777" w:rsidR="00460F75" w:rsidRPr="00CC5171" w:rsidRDefault="00460F75" w:rsidP="00460F75">
          <w:pPr>
            <w:rPr>
              <w:sz w:val="22"/>
              <w:szCs w:val="22"/>
            </w:rPr>
          </w:pPr>
        </w:p>
        <w:p w14:paraId="44CB5492" w14:textId="563332C5" w:rsidR="00320B19" w:rsidRDefault="00460F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0D77A6">
            <w:fldChar w:fldCharType="begin"/>
          </w:r>
          <w:r w:rsidRPr="000D77A6">
            <w:instrText xml:space="preserve"> TOC \o "1-5" \h \z \u </w:instrText>
          </w:r>
          <w:r w:rsidRPr="000D77A6">
            <w:fldChar w:fldCharType="separate"/>
          </w:r>
          <w:hyperlink w:anchor="_Toc67498793" w:history="1">
            <w:r w:rsidR="00320B19" w:rsidRPr="009858C0">
              <w:rPr>
                <w:rStyle w:val="Hypertextovprepojenie"/>
                <w:noProof/>
              </w:rPr>
              <w:t>1 Úvod</w:t>
            </w:r>
            <w:r w:rsidR="00320B19">
              <w:rPr>
                <w:noProof/>
                <w:webHidden/>
              </w:rPr>
              <w:tab/>
            </w:r>
            <w:r w:rsidR="00320B19">
              <w:rPr>
                <w:noProof/>
                <w:webHidden/>
              </w:rPr>
              <w:fldChar w:fldCharType="begin"/>
            </w:r>
            <w:r w:rsidR="00320B19">
              <w:rPr>
                <w:noProof/>
                <w:webHidden/>
              </w:rPr>
              <w:instrText xml:space="preserve"> PAGEREF _Toc67498793 \h </w:instrText>
            </w:r>
            <w:r w:rsidR="00320B19">
              <w:rPr>
                <w:noProof/>
                <w:webHidden/>
              </w:rPr>
            </w:r>
            <w:r w:rsidR="00320B19">
              <w:rPr>
                <w:noProof/>
                <w:webHidden/>
              </w:rPr>
              <w:fldChar w:fldCharType="separate"/>
            </w:r>
            <w:r w:rsidR="00320B19">
              <w:rPr>
                <w:noProof/>
                <w:webHidden/>
              </w:rPr>
              <w:t>2</w:t>
            </w:r>
            <w:r w:rsidR="00320B19">
              <w:rPr>
                <w:noProof/>
                <w:webHidden/>
              </w:rPr>
              <w:fldChar w:fldCharType="end"/>
            </w:r>
          </w:hyperlink>
        </w:p>
        <w:p w14:paraId="47784745" w14:textId="5A279463" w:rsidR="00320B19" w:rsidRDefault="00207510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7498794" w:history="1">
            <w:r w:rsidR="00320B19" w:rsidRPr="009858C0">
              <w:rPr>
                <w:rStyle w:val="Hypertextovprepojenie"/>
                <w:noProof/>
              </w:rPr>
              <w:t>2 Všeobecné ustanovenia</w:t>
            </w:r>
            <w:r w:rsidR="00320B19">
              <w:rPr>
                <w:noProof/>
                <w:webHidden/>
              </w:rPr>
              <w:tab/>
            </w:r>
            <w:r w:rsidR="00320B19">
              <w:rPr>
                <w:noProof/>
                <w:webHidden/>
              </w:rPr>
              <w:fldChar w:fldCharType="begin"/>
            </w:r>
            <w:r w:rsidR="00320B19">
              <w:rPr>
                <w:noProof/>
                <w:webHidden/>
              </w:rPr>
              <w:instrText xml:space="preserve"> PAGEREF _Toc67498794 \h </w:instrText>
            </w:r>
            <w:r w:rsidR="00320B19">
              <w:rPr>
                <w:noProof/>
                <w:webHidden/>
              </w:rPr>
            </w:r>
            <w:r w:rsidR="00320B19">
              <w:rPr>
                <w:noProof/>
                <w:webHidden/>
              </w:rPr>
              <w:fldChar w:fldCharType="separate"/>
            </w:r>
            <w:r w:rsidR="00320B19">
              <w:rPr>
                <w:noProof/>
                <w:webHidden/>
              </w:rPr>
              <w:t>2</w:t>
            </w:r>
            <w:r w:rsidR="00320B19">
              <w:rPr>
                <w:noProof/>
                <w:webHidden/>
              </w:rPr>
              <w:fldChar w:fldCharType="end"/>
            </w:r>
          </w:hyperlink>
        </w:p>
        <w:p w14:paraId="6C5300EC" w14:textId="4C24F13F" w:rsidR="00320B19" w:rsidRDefault="00207510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7498795" w:history="1">
            <w:r w:rsidR="00320B19" w:rsidRPr="009858C0">
              <w:rPr>
                <w:rStyle w:val="Hypertextovprepojenie"/>
                <w:noProof/>
              </w:rPr>
              <w:t>3 Monitorovanie projektu vo vzťahu k žiadosti o platbu</w:t>
            </w:r>
            <w:r w:rsidR="00320B19">
              <w:rPr>
                <w:noProof/>
                <w:webHidden/>
              </w:rPr>
              <w:tab/>
            </w:r>
            <w:r w:rsidR="00320B19">
              <w:rPr>
                <w:noProof/>
                <w:webHidden/>
              </w:rPr>
              <w:fldChar w:fldCharType="begin"/>
            </w:r>
            <w:r w:rsidR="00320B19">
              <w:rPr>
                <w:noProof/>
                <w:webHidden/>
              </w:rPr>
              <w:instrText xml:space="preserve"> PAGEREF _Toc67498795 \h </w:instrText>
            </w:r>
            <w:r w:rsidR="00320B19">
              <w:rPr>
                <w:noProof/>
                <w:webHidden/>
              </w:rPr>
            </w:r>
            <w:r w:rsidR="00320B19">
              <w:rPr>
                <w:noProof/>
                <w:webHidden/>
              </w:rPr>
              <w:fldChar w:fldCharType="separate"/>
            </w:r>
            <w:r w:rsidR="00320B19">
              <w:rPr>
                <w:noProof/>
                <w:webHidden/>
              </w:rPr>
              <w:t>3</w:t>
            </w:r>
            <w:r w:rsidR="00320B19">
              <w:rPr>
                <w:noProof/>
                <w:webHidden/>
              </w:rPr>
              <w:fldChar w:fldCharType="end"/>
            </w:r>
          </w:hyperlink>
        </w:p>
        <w:p w14:paraId="47575C4A" w14:textId="5D1DC2AA" w:rsidR="00320B19" w:rsidRDefault="00207510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7498796" w:history="1">
            <w:r w:rsidR="00320B19" w:rsidRPr="009858C0">
              <w:rPr>
                <w:rStyle w:val="Hypertextovprepojenie"/>
                <w:noProof/>
              </w:rPr>
              <w:t>4 Mimoriadna monitorovacia správa projektu</w:t>
            </w:r>
            <w:r w:rsidR="00320B19">
              <w:rPr>
                <w:noProof/>
                <w:webHidden/>
              </w:rPr>
              <w:tab/>
            </w:r>
            <w:r w:rsidR="00320B19">
              <w:rPr>
                <w:noProof/>
                <w:webHidden/>
              </w:rPr>
              <w:fldChar w:fldCharType="begin"/>
            </w:r>
            <w:r w:rsidR="00320B19">
              <w:rPr>
                <w:noProof/>
                <w:webHidden/>
              </w:rPr>
              <w:instrText xml:space="preserve"> PAGEREF _Toc67498796 \h </w:instrText>
            </w:r>
            <w:r w:rsidR="00320B19">
              <w:rPr>
                <w:noProof/>
                <w:webHidden/>
              </w:rPr>
            </w:r>
            <w:r w:rsidR="00320B19">
              <w:rPr>
                <w:noProof/>
                <w:webHidden/>
              </w:rPr>
              <w:fldChar w:fldCharType="separate"/>
            </w:r>
            <w:r w:rsidR="00320B19">
              <w:rPr>
                <w:noProof/>
                <w:webHidden/>
              </w:rPr>
              <w:t>4</w:t>
            </w:r>
            <w:r w:rsidR="00320B19">
              <w:rPr>
                <w:noProof/>
                <w:webHidden/>
              </w:rPr>
              <w:fldChar w:fldCharType="end"/>
            </w:r>
          </w:hyperlink>
        </w:p>
        <w:p w14:paraId="7D7C54C7" w14:textId="3E5B01AA" w:rsidR="00320B19" w:rsidRDefault="00207510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7498797" w:history="1">
            <w:r w:rsidR="00320B19" w:rsidRPr="009858C0">
              <w:rPr>
                <w:rStyle w:val="Hypertextovprepojenie"/>
                <w:noProof/>
              </w:rPr>
              <w:t>5 Monitorovacia správa projektu (výročná alebo záverečná)</w:t>
            </w:r>
            <w:r w:rsidR="00320B19">
              <w:rPr>
                <w:noProof/>
                <w:webHidden/>
              </w:rPr>
              <w:tab/>
            </w:r>
            <w:r w:rsidR="00320B19">
              <w:rPr>
                <w:noProof/>
                <w:webHidden/>
              </w:rPr>
              <w:fldChar w:fldCharType="begin"/>
            </w:r>
            <w:r w:rsidR="00320B19">
              <w:rPr>
                <w:noProof/>
                <w:webHidden/>
              </w:rPr>
              <w:instrText xml:space="preserve"> PAGEREF _Toc67498797 \h </w:instrText>
            </w:r>
            <w:r w:rsidR="00320B19">
              <w:rPr>
                <w:noProof/>
                <w:webHidden/>
              </w:rPr>
            </w:r>
            <w:r w:rsidR="00320B19">
              <w:rPr>
                <w:noProof/>
                <w:webHidden/>
              </w:rPr>
              <w:fldChar w:fldCharType="separate"/>
            </w:r>
            <w:r w:rsidR="00320B19">
              <w:rPr>
                <w:noProof/>
                <w:webHidden/>
              </w:rPr>
              <w:t>4</w:t>
            </w:r>
            <w:r w:rsidR="00320B19">
              <w:rPr>
                <w:noProof/>
                <w:webHidden/>
              </w:rPr>
              <w:fldChar w:fldCharType="end"/>
            </w:r>
          </w:hyperlink>
        </w:p>
        <w:p w14:paraId="25CD4497" w14:textId="34FEF132" w:rsidR="00320B19" w:rsidRDefault="00207510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7498798" w:history="1">
            <w:r w:rsidR="00320B19" w:rsidRPr="009858C0">
              <w:rPr>
                <w:rStyle w:val="Hypertextovprepojenie"/>
                <w:noProof/>
              </w:rPr>
              <w:t>6 Následná monitorovacia správa projektu</w:t>
            </w:r>
            <w:r w:rsidR="00320B19">
              <w:rPr>
                <w:noProof/>
                <w:webHidden/>
              </w:rPr>
              <w:tab/>
            </w:r>
            <w:r w:rsidR="00320B19">
              <w:rPr>
                <w:noProof/>
                <w:webHidden/>
              </w:rPr>
              <w:fldChar w:fldCharType="begin"/>
            </w:r>
            <w:r w:rsidR="00320B19">
              <w:rPr>
                <w:noProof/>
                <w:webHidden/>
              </w:rPr>
              <w:instrText xml:space="preserve"> PAGEREF _Toc67498798 \h </w:instrText>
            </w:r>
            <w:r w:rsidR="00320B19">
              <w:rPr>
                <w:noProof/>
                <w:webHidden/>
              </w:rPr>
            </w:r>
            <w:r w:rsidR="00320B19">
              <w:rPr>
                <w:noProof/>
                <w:webHidden/>
              </w:rPr>
              <w:fldChar w:fldCharType="separate"/>
            </w:r>
            <w:r w:rsidR="00320B19">
              <w:rPr>
                <w:noProof/>
                <w:webHidden/>
              </w:rPr>
              <w:t>5</w:t>
            </w:r>
            <w:r w:rsidR="00320B19">
              <w:rPr>
                <w:noProof/>
                <w:webHidden/>
              </w:rPr>
              <w:fldChar w:fldCharType="end"/>
            </w:r>
          </w:hyperlink>
        </w:p>
        <w:p w14:paraId="4ECD16B8" w14:textId="1F6689E0" w:rsidR="00320B19" w:rsidRDefault="00207510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7498799" w:history="1">
            <w:r w:rsidR="00320B19" w:rsidRPr="009858C0">
              <w:rPr>
                <w:rStyle w:val="Hypertextovprepojenie"/>
                <w:noProof/>
              </w:rPr>
              <w:t>7 Osobitné postupy monitorovania projektov v programoch cezhraničnej spolupráce</w:t>
            </w:r>
            <w:r w:rsidR="00320B19">
              <w:rPr>
                <w:noProof/>
                <w:webHidden/>
              </w:rPr>
              <w:tab/>
            </w:r>
            <w:r w:rsidR="00320B19">
              <w:rPr>
                <w:noProof/>
                <w:webHidden/>
              </w:rPr>
              <w:fldChar w:fldCharType="begin"/>
            </w:r>
            <w:r w:rsidR="00320B19">
              <w:rPr>
                <w:noProof/>
                <w:webHidden/>
              </w:rPr>
              <w:instrText xml:space="preserve"> PAGEREF _Toc67498799 \h </w:instrText>
            </w:r>
            <w:r w:rsidR="00320B19">
              <w:rPr>
                <w:noProof/>
                <w:webHidden/>
              </w:rPr>
            </w:r>
            <w:r w:rsidR="00320B19">
              <w:rPr>
                <w:noProof/>
                <w:webHidden/>
              </w:rPr>
              <w:fldChar w:fldCharType="separate"/>
            </w:r>
            <w:r w:rsidR="00320B19">
              <w:rPr>
                <w:noProof/>
                <w:webHidden/>
              </w:rPr>
              <w:t>6</w:t>
            </w:r>
            <w:r w:rsidR="00320B19">
              <w:rPr>
                <w:noProof/>
                <w:webHidden/>
              </w:rPr>
              <w:fldChar w:fldCharType="end"/>
            </w:r>
          </w:hyperlink>
        </w:p>
        <w:p w14:paraId="69FA280A" w14:textId="777B0067" w:rsidR="00460F75" w:rsidRPr="00CD3916" w:rsidRDefault="00460F75" w:rsidP="00817207">
          <w:pPr>
            <w:pStyle w:val="Obsah2"/>
            <w:rPr>
              <w:rStyle w:val="Hypertextovprepojenie"/>
              <w:noProof/>
            </w:rPr>
          </w:pPr>
          <w:r w:rsidRPr="000D77A6">
            <w:fldChar w:fldCharType="end"/>
          </w:r>
        </w:p>
      </w:sdtContent>
    </w:sdt>
    <w:p w14:paraId="3CDF0510" w14:textId="173D83E3" w:rsidR="007A0A10" w:rsidRPr="001C61D0" w:rsidRDefault="00817207" w:rsidP="001C61D0">
      <w:pPr>
        <w:pStyle w:val="MPCKO1"/>
      </w:pPr>
      <w:bookmarkStart w:id="2" w:name="_Toc446508524"/>
      <w:bookmarkStart w:id="3" w:name="_Toc511833283"/>
      <w:bookmarkStart w:id="4" w:name="_Toc67498793"/>
      <w:r>
        <w:t xml:space="preserve">1 </w:t>
      </w:r>
      <w:r w:rsidR="00850467" w:rsidRPr="001C61D0">
        <w:t>Úvod</w:t>
      </w:r>
      <w:bookmarkEnd w:id="1"/>
      <w:bookmarkEnd w:id="0"/>
      <w:bookmarkEnd w:id="2"/>
      <w:bookmarkEnd w:id="3"/>
      <w:bookmarkEnd w:id="4"/>
    </w:p>
    <w:p w14:paraId="52D21333" w14:textId="1A9EAED5" w:rsidR="004119D0" w:rsidRPr="000D77A6" w:rsidRDefault="004119D0" w:rsidP="00C22D4C">
      <w:pPr>
        <w:numPr>
          <w:ilvl w:val="0"/>
          <w:numId w:val="4"/>
        </w:numPr>
        <w:spacing w:before="120" w:after="120"/>
        <w:ind w:left="425" w:hanging="425"/>
        <w:jc w:val="both"/>
        <w:rPr>
          <w:szCs w:val="22"/>
        </w:rPr>
      </w:pPr>
      <w:r w:rsidRPr="000D77A6">
        <w:rPr>
          <w:szCs w:val="22"/>
        </w:rPr>
        <w:t>Cieľom tohto metodického pokynu je definovať základné pravidlá, ktorými sú prijímatelia povinní riadiť sa pri monitorovaní projektov, pričom RO, ktoré sú zodpovedné za</w:t>
      </w:r>
      <w:r w:rsidR="001B2827">
        <w:rPr>
          <w:szCs w:val="22"/>
        </w:rPr>
        <w:t> </w:t>
      </w:r>
      <w:r w:rsidRPr="000D77A6">
        <w:rPr>
          <w:szCs w:val="22"/>
        </w:rPr>
        <w:t>implementáciu operačných programov v rámci P</w:t>
      </w:r>
      <w:r w:rsidR="003D0D92">
        <w:rPr>
          <w:szCs w:val="22"/>
        </w:rPr>
        <w:t>O</w:t>
      </w:r>
      <w:r w:rsidRPr="000D77A6">
        <w:rPr>
          <w:szCs w:val="22"/>
        </w:rPr>
        <w:t xml:space="preserve"> 2014 -</w:t>
      </w:r>
      <w:r w:rsidR="0004505D">
        <w:rPr>
          <w:szCs w:val="22"/>
        </w:rPr>
        <w:t xml:space="preserve"> </w:t>
      </w:r>
      <w:r w:rsidRPr="000D77A6">
        <w:rPr>
          <w:szCs w:val="22"/>
        </w:rPr>
        <w:t xml:space="preserve">2020, sú povinné zapracovať tieto pravidlá do svojej riadiacej dokumentácie a pri výkone monitorovania projektov postupovať v súlade s nimi. </w:t>
      </w:r>
    </w:p>
    <w:p w14:paraId="603763F1" w14:textId="73E342EE" w:rsidR="004119D0" w:rsidRDefault="004119D0" w:rsidP="00C22D4C">
      <w:pPr>
        <w:numPr>
          <w:ilvl w:val="0"/>
          <w:numId w:val="4"/>
        </w:numPr>
        <w:spacing w:before="120" w:after="120"/>
        <w:ind w:left="425" w:hanging="425"/>
        <w:jc w:val="both"/>
        <w:rPr>
          <w:szCs w:val="22"/>
        </w:rPr>
      </w:pPr>
      <w:r w:rsidRPr="000D77A6">
        <w:rPr>
          <w:szCs w:val="22"/>
        </w:rPr>
        <w:t xml:space="preserve">V prípade </w:t>
      </w:r>
      <w:r w:rsidR="00FD09E6">
        <w:rPr>
          <w:szCs w:val="22"/>
        </w:rPr>
        <w:t xml:space="preserve">písomného </w:t>
      </w:r>
      <w:r w:rsidRPr="000D77A6">
        <w:rPr>
          <w:szCs w:val="22"/>
        </w:rPr>
        <w:t xml:space="preserve">splnomocnenia </w:t>
      </w:r>
      <w:r w:rsidR="00FD09E6">
        <w:rPr>
          <w:szCs w:val="22"/>
        </w:rPr>
        <w:t xml:space="preserve">SO vykonávaním časti úloh RO </w:t>
      </w:r>
      <w:r w:rsidRPr="000D77A6">
        <w:rPr>
          <w:szCs w:val="22"/>
        </w:rPr>
        <w:t xml:space="preserve">je RO povinný zabezpečiť plnenie </w:t>
      </w:r>
      <w:r w:rsidR="00566935">
        <w:rPr>
          <w:szCs w:val="22"/>
        </w:rPr>
        <w:t xml:space="preserve">úloh vyplývajúcich z </w:t>
      </w:r>
      <w:r w:rsidRPr="000D77A6">
        <w:rPr>
          <w:szCs w:val="22"/>
        </w:rPr>
        <w:t xml:space="preserve">tohto metodického pokynu zo strany SO v rozsahu danom </w:t>
      </w:r>
      <w:r w:rsidR="00BD23ED">
        <w:rPr>
          <w:szCs w:val="22"/>
        </w:rPr>
        <w:t>z</w:t>
      </w:r>
      <w:r w:rsidRPr="000D77A6">
        <w:rPr>
          <w:szCs w:val="22"/>
        </w:rPr>
        <w:t>mluvou o</w:t>
      </w:r>
      <w:r w:rsidR="00404A84">
        <w:rPr>
          <w:szCs w:val="22"/>
        </w:rPr>
        <w:t> </w:t>
      </w:r>
      <w:r w:rsidRPr="000D77A6">
        <w:rPr>
          <w:szCs w:val="22"/>
        </w:rPr>
        <w:t>vykonávaní časti úloh riadiaceho orgánu sprostredkovateľským orgánom.</w:t>
      </w:r>
    </w:p>
    <w:p w14:paraId="4801FB47" w14:textId="5A428C3F" w:rsidR="002A65AC" w:rsidRDefault="002A65AC" w:rsidP="00C22D4C">
      <w:pPr>
        <w:numPr>
          <w:ilvl w:val="0"/>
          <w:numId w:val="4"/>
        </w:numPr>
        <w:spacing w:before="120" w:after="120"/>
        <w:ind w:left="425" w:hanging="425"/>
        <w:jc w:val="both"/>
        <w:rPr>
          <w:szCs w:val="22"/>
        </w:rPr>
      </w:pPr>
      <w:r>
        <w:rPr>
          <w:szCs w:val="22"/>
        </w:rPr>
        <w:t xml:space="preserve">Podrobnosti vypĺňania </w:t>
      </w:r>
      <w:r w:rsidR="001C076B">
        <w:rPr>
          <w:szCs w:val="22"/>
        </w:rPr>
        <w:t xml:space="preserve">formulárov </w:t>
      </w:r>
      <w:r w:rsidR="000F25F9">
        <w:rPr>
          <w:szCs w:val="22"/>
        </w:rPr>
        <w:t>monitorovacích správ</w:t>
      </w:r>
      <w:r w:rsidR="00E35AE4">
        <w:rPr>
          <w:szCs w:val="22"/>
        </w:rPr>
        <w:t xml:space="preserve"> projektu a Doplňujúcich monitorovacích údajov k ŽoP</w:t>
      </w:r>
      <w:r w:rsidR="000F25F9">
        <w:rPr>
          <w:szCs w:val="22"/>
        </w:rPr>
        <w:t xml:space="preserve"> </w:t>
      </w:r>
      <w:r>
        <w:rPr>
          <w:szCs w:val="22"/>
        </w:rPr>
        <w:t>, ktoré slúžia na monitorovanie projektov, sú uvedené v</w:t>
      </w:r>
      <w:r w:rsidR="001C076B">
        <w:rPr>
          <w:szCs w:val="22"/>
        </w:rPr>
        <w:t>o vzore CKO č. 25 Popis k vyplneniu monitorovacích správ projektu</w:t>
      </w:r>
      <w:r w:rsidR="00E35AE4">
        <w:rPr>
          <w:szCs w:val="22"/>
        </w:rPr>
        <w:t xml:space="preserve"> a vzore CKO č. 26 Popis k vyplneniu Doplňujúcich monitorovacích údajov k ŽoP</w:t>
      </w:r>
      <w:r>
        <w:rPr>
          <w:szCs w:val="22"/>
        </w:rPr>
        <w:t>.</w:t>
      </w:r>
    </w:p>
    <w:p w14:paraId="0F11ADC2" w14:textId="77777777" w:rsidR="00DB05E3" w:rsidRPr="000D77A6" w:rsidRDefault="00DB05E3" w:rsidP="00C22D4C">
      <w:pPr>
        <w:numPr>
          <w:ilvl w:val="0"/>
          <w:numId w:val="4"/>
        </w:numPr>
        <w:spacing w:before="120" w:after="120"/>
        <w:ind w:left="425" w:hanging="425"/>
        <w:jc w:val="both"/>
        <w:rPr>
          <w:szCs w:val="22"/>
        </w:rPr>
      </w:pPr>
      <w:r>
        <w:rPr>
          <w:szCs w:val="22"/>
        </w:rPr>
        <w:t>Skratky a pojmy, používané v tomto metodickom pokyne</w:t>
      </w:r>
      <w:r w:rsidR="00670C53">
        <w:rPr>
          <w:szCs w:val="22"/>
        </w:rPr>
        <w:t>,</w:t>
      </w:r>
      <w:r>
        <w:rPr>
          <w:szCs w:val="22"/>
        </w:rPr>
        <w:t xml:space="preserve"> sú zadefinované v Systéme riadenia EŠIF.</w:t>
      </w:r>
    </w:p>
    <w:p w14:paraId="3443B296" w14:textId="77777777" w:rsidR="000E2E4D" w:rsidRPr="001C61D0" w:rsidRDefault="00963C20" w:rsidP="001C61D0">
      <w:pPr>
        <w:pStyle w:val="MPCKO1"/>
      </w:pPr>
      <w:bookmarkStart w:id="5" w:name="_Toc446508525"/>
      <w:bookmarkStart w:id="6" w:name="_Toc511833284"/>
      <w:bookmarkStart w:id="7" w:name="_Toc67498794"/>
      <w:bookmarkStart w:id="8" w:name="_Toc404872046"/>
      <w:bookmarkStart w:id="9" w:name="_Toc404872121"/>
      <w:r w:rsidRPr="001C61D0">
        <w:t xml:space="preserve">2 </w:t>
      </w:r>
      <w:r w:rsidR="000E2E4D" w:rsidRPr="001C61D0">
        <w:t>Všeobecné ustanovenia</w:t>
      </w:r>
      <w:bookmarkEnd w:id="5"/>
      <w:bookmarkEnd w:id="6"/>
      <w:bookmarkEnd w:id="7"/>
      <w:r w:rsidR="000E2E4D" w:rsidRPr="001C61D0">
        <w:t xml:space="preserve"> </w:t>
      </w:r>
    </w:p>
    <w:p w14:paraId="2426E66E" w14:textId="76695A66" w:rsidR="009A7C4F" w:rsidRPr="000D77A6" w:rsidRDefault="00B527E3" w:rsidP="00C22D4C">
      <w:pPr>
        <w:numPr>
          <w:ilvl w:val="0"/>
          <w:numId w:val="18"/>
        </w:numPr>
        <w:spacing w:before="120" w:after="120"/>
        <w:ind w:left="425" w:hanging="425"/>
        <w:jc w:val="both"/>
        <w:rPr>
          <w:szCs w:val="22"/>
        </w:rPr>
      </w:pPr>
      <w:r w:rsidRPr="00D877C4">
        <w:rPr>
          <w:szCs w:val="22"/>
        </w:rPr>
        <w:t xml:space="preserve">Monitorovanie projektu </w:t>
      </w:r>
      <w:r w:rsidR="00817664">
        <w:rPr>
          <w:szCs w:val="22"/>
        </w:rPr>
        <w:t>sa vykonáva v rámci</w:t>
      </w:r>
      <w:r w:rsidRPr="00D877C4">
        <w:rPr>
          <w:szCs w:val="22"/>
        </w:rPr>
        <w:t xml:space="preserve"> dvoch základných etáp </w:t>
      </w:r>
      <w:r w:rsidR="005C4CB4">
        <w:rPr>
          <w:szCs w:val="22"/>
        </w:rPr>
        <w:t>projektového cyklu</w:t>
      </w:r>
      <w:r w:rsidRPr="00D877C4">
        <w:rPr>
          <w:szCs w:val="22"/>
        </w:rPr>
        <w:t xml:space="preserve"> a to je </w:t>
      </w:r>
      <w:r w:rsidR="009A7C4F" w:rsidRPr="00D877C4">
        <w:rPr>
          <w:szCs w:val="22"/>
        </w:rPr>
        <w:t xml:space="preserve">obdobie </w:t>
      </w:r>
      <w:r w:rsidRPr="00D877C4">
        <w:rPr>
          <w:szCs w:val="22"/>
        </w:rPr>
        <w:t>realizáci</w:t>
      </w:r>
      <w:r w:rsidR="009A7C4F" w:rsidRPr="00D877C4">
        <w:rPr>
          <w:szCs w:val="22"/>
        </w:rPr>
        <w:t>e</w:t>
      </w:r>
      <w:r w:rsidRPr="00D877C4">
        <w:rPr>
          <w:szCs w:val="22"/>
        </w:rPr>
        <w:t xml:space="preserve"> projektu </w:t>
      </w:r>
      <w:r w:rsidR="009A7C4F" w:rsidRPr="00D877C4">
        <w:rPr>
          <w:szCs w:val="22"/>
        </w:rPr>
        <w:t xml:space="preserve">a obdobie udržateľnosti projektu. </w:t>
      </w:r>
      <w:r w:rsidR="00760B25" w:rsidRPr="00D877C4">
        <w:rPr>
          <w:szCs w:val="22"/>
        </w:rPr>
        <w:t>Obdobie realizácie projektu je ukončené momentom fyzického a finančného ukončenia projektu, t.</w:t>
      </w:r>
      <w:r w:rsidR="00DB05E3">
        <w:rPr>
          <w:szCs w:val="22"/>
        </w:rPr>
        <w:t xml:space="preserve"> </w:t>
      </w:r>
      <w:r w:rsidR="00760B25" w:rsidRPr="00D877C4">
        <w:rPr>
          <w:szCs w:val="22"/>
        </w:rPr>
        <w:t>j. zúčtovaním/preplatením žiadosti o platbu</w:t>
      </w:r>
      <w:r w:rsidR="008A42A5">
        <w:rPr>
          <w:szCs w:val="22"/>
        </w:rPr>
        <w:t xml:space="preserve"> </w:t>
      </w:r>
      <w:r w:rsidR="00F263EA">
        <w:rPr>
          <w:szCs w:val="22"/>
        </w:rPr>
        <w:t xml:space="preserve">(s príznakom záverečná) </w:t>
      </w:r>
      <w:r w:rsidR="008A42A5">
        <w:rPr>
          <w:szCs w:val="22"/>
        </w:rPr>
        <w:t>v súlade so</w:t>
      </w:r>
      <w:r w:rsidR="00DB05E3">
        <w:rPr>
          <w:szCs w:val="22"/>
        </w:rPr>
        <w:t> </w:t>
      </w:r>
      <w:r w:rsidR="008A42A5">
        <w:rPr>
          <w:szCs w:val="22"/>
        </w:rPr>
        <w:t>Systémom finančného riadenia ŠF, KF a ENRF na PO 2014-2020</w:t>
      </w:r>
      <w:r w:rsidR="00760B25" w:rsidRPr="00D877C4">
        <w:rPr>
          <w:szCs w:val="22"/>
        </w:rPr>
        <w:t xml:space="preserve">. </w:t>
      </w:r>
      <w:r w:rsidR="001D2DED" w:rsidRPr="00D877C4">
        <w:rPr>
          <w:szCs w:val="22"/>
        </w:rPr>
        <w:t>Obdobie udržateľnosti projektu začína</w:t>
      </w:r>
      <w:r w:rsidR="00557F6E">
        <w:rPr>
          <w:szCs w:val="22"/>
        </w:rPr>
        <w:t xml:space="preserve"> </w:t>
      </w:r>
      <w:r w:rsidR="00F00D13">
        <w:rPr>
          <w:szCs w:val="22"/>
        </w:rPr>
        <w:t>kalendárny</w:t>
      </w:r>
      <w:r w:rsidR="00203490">
        <w:rPr>
          <w:szCs w:val="22"/>
        </w:rPr>
        <w:t>m</w:t>
      </w:r>
      <w:r w:rsidR="00F00D13">
        <w:rPr>
          <w:szCs w:val="22"/>
        </w:rPr>
        <w:t xml:space="preserve"> </w:t>
      </w:r>
      <w:r w:rsidR="00557F6E">
        <w:rPr>
          <w:szCs w:val="22"/>
        </w:rPr>
        <w:t>dň</w:t>
      </w:r>
      <w:r w:rsidR="00203490">
        <w:rPr>
          <w:szCs w:val="22"/>
        </w:rPr>
        <w:t>om</w:t>
      </w:r>
      <w:r w:rsidR="00557F6E">
        <w:rPr>
          <w:szCs w:val="22"/>
        </w:rPr>
        <w:t xml:space="preserve"> nasledujúci</w:t>
      </w:r>
      <w:r w:rsidR="00203490">
        <w:rPr>
          <w:szCs w:val="22"/>
        </w:rPr>
        <w:t>m</w:t>
      </w:r>
      <w:r w:rsidR="00557F6E">
        <w:rPr>
          <w:szCs w:val="22"/>
        </w:rPr>
        <w:t xml:space="preserve"> po dni</w:t>
      </w:r>
      <w:r w:rsidR="00333977">
        <w:rPr>
          <w:szCs w:val="22"/>
        </w:rPr>
        <w:t xml:space="preserve"> </w:t>
      </w:r>
      <w:r w:rsidR="00A7219D">
        <w:rPr>
          <w:szCs w:val="22"/>
        </w:rPr>
        <w:t xml:space="preserve">finančného </w:t>
      </w:r>
      <w:r w:rsidR="001D2DED" w:rsidRPr="00D877C4">
        <w:rPr>
          <w:szCs w:val="22"/>
        </w:rPr>
        <w:t>ukončenia projektu</w:t>
      </w:r>
      <w:r w:rsidR="004732B6">
        <w:rPr>
          <w:szCs w:val="22"/>
        </w:rPr>
        <w:t xml:space="preserve">  (ak je to relevantné)</w:t>
      </w:r>
      <w:r w:rsidR="00557F6E">
        <w:rPr>
          <w:szCs w:val="22"/>
        </w:rPr>
        <w:t xml:space="preserve">. </w:t>
      </w:r>
    </w:p>
    <w:p w14:paraId="0362DDCF" w14:textId="3E47ACB7" w:rsidR="00C74B4E" w:rsidRDefault="00EA1156" w:rsidP="00C22D4C">
      <w:pPr>
        <w:numPr>
          <w:ilvl w:val="0"/>
          <w:numId w:val="18"/>
        </w:numPr>
        <w:spacing w:before="120" w:after="120"/>
        <w:ind w:left="425" w:hanging="425"/>
        <w:jc w:val="both"/>
        <w:rPr>
          <w:szCs w:val="22"/>
        </w:rPr>
      </w:pPr>
      <w:r w:rsidRPr="000D77A6">
        <w:rPr>
          <w:szCs w:val="22"/>
        </w:rPr>
        <w:t xml:space="preserve">Vo vzťahu k obdobiu realizácie projektu </w:t>
      </w:r>
      <w:r w:rsidR="005C026F">
        <w:rPr>
          <w:szCs w:val="22"/>
        </w:rPr>
        <w:t xml:space="preserve">a obdobiu udržateľnosti projektu </w:t>
      </w:r>
      <w:r w:rsidRPr="000D77A6">
        <w:rPr>
          <w:szCs w:val="22"/>
        </w:rPr>
        <w:t xml:space="preserve">sú kľúčovými nástrojmi na získavanie relevantných </w:t>
      </w:r>
      <w:r w:rsidR="00585BA8">
        <w:rPr>
          <w:szCs w:val="22"/>
        </w:rPr>
        <w:t>informácií</w:t>
      </w:r>
      <w:r w:rsidRPr="000D77A6">
        <w:rPr>
          <w:szCs w:val="22"/>
        </w:rPr>
        <w:t xml:space="preserve"> údaje získavané v rámci prílohy </w:t>
      </w:r>
      <w:r w:rsidRPr="000D77A6">
        <w:rPr>
          <w:szCs w:val="22"/>
        </w:rPr>
        <w:lastRenderedPageBreak/>
        <w:t>vybraných typov žiadosti o</w:t>
      </w:r>
      <w:r w:rsidR="00041CCF">
        <w:rPr>
          <w:szCs w:val="22"/>
        </w:rPr>
        <w:t> </w:t>
      </w:r>
      <w:r w:rsidR="00D510BC" w:rsidRPr="000D77A6">
        <w:rPr>
          <w:szCs w:val="22"/>
        </w:rPr>
        <w:t>platbu</w:t>
      </w:r>
      <w:r w:rsidR="00041CCF">
        <w:rPr>
          <w:szCs w:val="22"/>
        </w:rPr>
        <w:t xml:space="preserve"> (Doplňujúce monitorovacie údaje k ŽoP)</w:t>
      </w:r>
      <w:r w:rsidR="00D510BC" w:rsidRPr="000D77A6">
        <w:rPr>
          <w:szCs w:val="22"/>
        </w:rPr>
        <w:t xml:space="preserve"> a údaje získa</w:t>
      </w:r>
      <w:r w:rsidR="00585BA8">
        <w:rPr>
          <w:szCs w:val="22"/>
        </w:rPr>
        <w:t>va</w:t>
      </w:r>
      <w:r w:rsidR="00D510BC" w:rsidRPr="000D77A6">
        <w:rPr>
          <w:szCs w:val="22"/>
        </w:rPr>
        <w:t xml:space="preserve">né prostredníctvom </w:t>
      </w:r>
      <w:r w:rsidR="00E35AA3">
        <w:rPr>
          <w:szCs w:val="22"/>
        </w:rPr>
        <w:t>Monitorovacej správy projektu (v</w:t>
      </w:r>
      <w:r w:rsidR="00D510BC" w:rsidRPr="000D77A6">
        <w:rPr>
          <w:szCs w:val="22"/>
        </w:rPr>
        <w:t>ýročn</w:t>
      </w:r>
      <w:r w:rsidR="00203490">
        <w:rPr>
          <w:szCs w:val="22"/>
        </w:rPr>
        <w:t>ej</w:t>
      </w:r>
      <w:r w:rsidR="00E35AA3">
        <w:rPr>
          <w:szCs w:val="22"/>
        </w:rPr>
        <w:t xml:space="preserve"> alebo</w:t>
      </w:r>
      <w:r w:rsidR="00D510BC" w:rsidRPr="000D77A6">
        <w:rPr>
          <w:szCs w:val="22"/>
        </w:rPr>
        <w:t> </w:t>
      </w:r>
      <w:r w:rsidR="00E35AA3">
        <w:rPr>
          <w:szCs w:val="22"/>
        </w:rPr>
        <w:t>z</w:t>
      </w:r>
      <w:r w:rsidR="00D510BC" w:rsidRPr="000D77A6">
        <w:rPr>
          <w:szCs w:val="22"/>
        </w:rPr>
        <w:t>áverečn</w:t>
      </w:r>
      <w:r w:rsidR="00203490">
        <w:rPr>
          <w:szCs w:val="22"/>
        </w:rPr>
        <w:t>ej</w:t>
      </w:r>
      <w:r w:rsidR="00E35AA3">
        <w:rPr>
          <w:szCs w:val="22"/>
        </w:rPr>
        <w:t>),</w:t>
      </w:r>
      <w:r w:rsidR="002A65AC">
        <w:rPr>
          <w:szCs w:val="22"/>
        </w:rPr>
        <w:t xml:space="preserve"> Mimoriadnej</w:t>
      </w:r>
      <w:r w:rsidR="00D510BC" w:rsidRPr="000D77A6">
        <w:rPr>
          <w:szCs w:val="22"/>
        </w:rPr>
        <w:t xml:space="preserve"> monitorovacej správy projektu</w:t>
      </w:r>
      <w:r w:rsidR="00B1346B">
        <w:rPr>
          <w:szCs w:val="22"/>
        </w:rPr>
        <w:t xml:space="preserve"> </w:t>
      </w:r>
      <w:r w:rsidR="00B1346B" w:rsidRPr="00766A0D">
        <w:t>a Následnej monitorovacej správy projektu</w:t>
      </w:r>
      <w:r w:rsidR="001C076B">
        <w:rPr>
          <w:szCs w:val="22"/>
        </w:rPr>
        <w:t xml:space="preserve">. </w:t>
      </w:r>
      <w:r w:rsidR="002A65AC">
        <w:rPr>
          <w:szCs w:val="22"/>
        </w:rPr>
        <w:t>Vyššie uvedené údaje sú predkladané prostredníctvom ich zadania do formulárov v ITMS2014+.</w:t>
      </w:r>
      <w:r w:rsidR="00722B1F">
        <w:rPr>
          <w:szCs w:val="22"/>
        </w:rPr>
        <w:t xml:space="preserve"> </w:t>
      </w:r>
    </w:p>
    <w:p w14:paraId="5CF275D4" w14:textId="52CAF858" w:rsidR="0083059D" w:rsidRPr="003E3C5D" w:rsidRDefault="002A65AC" w:rsidP="00DA16F9">
      <w:pPr>
        <w:numPr>
          <w:ilvl w:val="0"/>
          <w:numId w:val="18"/>
        </w:numPr>
        <w:spacing w:before="120" w:after="120"/>
        <w:ind w:left="425" w:hanging="425"/>
        <w:jc w:val="both"/>
        <w:rPr>
          <w:szCs w:val="22"/>
        </w:rPr>
      </w:pPr>
      <w:r w:rsidRPr="00815DA9">
        <w:rPr>
          <w:szCs w:val="22"/>
        </w:rPr>
        <w:t>RO akcept</w:t>
      </w:r>
      <w:r w:rsidR="0002533A" w:rsidRPr="00815DA9">
        <w:rPr>
          <w:szCs w:val="22"/>
        </w:rPr>
        <w:t>uje</w:t>
      </w:r>
      <w:r w:rsidRPr="00815DA9">
        <w:rPr>
          <w:szCs w:val="22"/>
        </w:rPr>
        <w:t xml:space="preserve"> predloženie monitorovacích správ projektu</w:t>
      </w:r>
      <w:r w:rsidR="0004713E">
        <w:rPr>
          <w:szCs w:val="22"/>
        </w:rPr>
        <w:t xml:space="preserve"> (v súlade s podmienkami, stanovenými v zmluve o NFP)</w:t>
      </w:r>
      <w:r w:rsidR="0083059D">
        <w:rPr>
          <w:szCs w:val="22"/>
        </w:rPr>
        <w:t>:</w:t>
      </w:r>
      <w:r w:rsidR="0002533A" w:rsidRPr="00815DA9">
        <w:rPr>
          <w:szCs w:val="22"/>
        </w:rPr>
        <w:t xml:space="preserve"> </w:t>
      </w:r>
    </w:p>
    <w:p w14:paraId="63DE2306" w14:textId="10CA0C92" w:rsidR="0083059D" w:rsidRDefault="00DD5FAF" w:rsidP="005F1688">
      <w:pPr>
        <w:numPr>
          <w:ilvl w:val="1"/>
          <w:numId w:val="18"/>
        </w:numPr>
        <w:spacing w:before="120" w:after="120"/>
        <w:ind w:left="709" w:hanging="283"/>
        <w:jc w:val="both"/>
        <w:rPr>
          <w:szCs w:val="22"/>
        </w:rPr>
      </w:pPr>
      <w:r>
        <w:rPr>
          <w:szCs w:val="22"/>
        </w:rPr>
        <w:t xml:space="preserve">vyplnením formulára a jeho </w:t>
      </w:r>
      <w:r w:rsidR="0083059D">
        <w:rPr>
          <w:szCs w:val="22"/>
        </w:rPr>
        <w:t xml:space="preserve">odoslaním prostredníctvom ITMS2014+, bez podpisu štatutárneho orgánu </w:t>
      </w:r>
      <w:r>
        <w:rPr>
          <w:szCs w:val="22"/>
        </w:rPr>
        <w:t xml:space="preserve">prijímateľa </w:t>
      </w:r>
      <w:r w:rsidR="0083059D">
        <w:rPr>
          <w:szCs w:val="22"/>
        </w:rPr>
        <w:t>alebo splnomocnenej osoby v prípade, ak formulár v ITMS2014+ odošle štatutár</w:t>
      </w:r>
      <w:r w:rsidR="009A5FFF">
        <w:rPr>
          <w:szCs w:val="22"/>
        </w:rPr>
        <w:t>ny orgán</w:t>
      </w:r>
      <w:r w:rsidR="0083059D">
        <w:rPr>
          <w:szCs w:val="22"/>
        </w:rPr>
        <w:t xml:space="preserve"> </w:t>
      </w:r>
      <w:r>
        <w:rPr>
          <w:szCs w:val="22"/>
        </w:rPr>
        <w:t xml:space="preserve">prijímateľa </w:t>
      </w:r>
      <w:r w:rsidR="0083059D">
        <w:rPr>
          <w:szCs w:val="22"/>
        </w:rPr>
        <w:t xml:space="preserve">alebo splnomocnená osoba a súčasne </w:t>
      </w:r>
      <w:r w:rsidR="0083059D" w:rsidRPr="00815DA9">
        <w:rPr>
          <w:szCs w:val="22"/>
        </w:rPr>
        <w:t>je</w:t>
      </w:r>
      <w:r w:rsidR="0083059D">
        <w:rPr>
          <w:szCs w:val="22"/>
        </w:rPr>
        <w:t xml:space="preserve"> to v súlade so zmluvou o NFP, resp. s rozhodnutím o schválení, ak je RO a prijímateľ tá istá osoba (ďalej sa používa aj v prípade, ak je RO a prijímateľ tá istá osoba</w:t>
      </w:r>
      <w:r w:rsidR="001C076B">
        <w:rPr>
          <w:szCs w:val="22"/>
        </w:rPr>
        <w:t xml:space="preserve"> pojem</w:t>
      </w:r>
      <w:r w:rsidR="0083059D">
        <w:rPr>
          <w:szCs w:val="22"/>
        </w:rPr>
        <w:t xml:space="preserve"> „zmluva o NFP“). V tomto prípade prijímateľ potvrdzuje správnosť údajov v monitorovacej správe projektu jej odoslaním; alebo</w:t>
      </w:r>
    </w:p>
    <w:p w14:paraId="1EDA7608" w14:textId="28455D72" w:rsidR="0083059D" w:rsidRPr="003E3C5D" w:rsidRDefault="0083059D" w:rsidP="0083059D">
      <w:pPr>
        <w:numPr>
          <w:ilvl w:val="1"/>
          <w:numId w:val="18"/>
        </w:numPr>
        <w:spacing w:before="120" w:after="120"/>
        <w:ind w:left="709" w:hanging="283"/>
        <w:jc w:val="both"/>
        <w:rPr>
          <w:szCs w:val="22"/>
        </w:rPr>
      </w:pPr>
      <w:r w:rsidRPr="003E3C5D">
        <w:rPr>
          <w:szCs w:val="22"/>
        </w:rPr>
        <w:t>v písomnej forme (tzn. v</w:t>
      </w:r>
      <w:r>
        <w:rPr>
          <w:szCs w:val="22"/>
        </w:rPr>
        <w:t> </w:t>
      </w:r>
      <w:r w:rsidRPr="003E3C5D">
        <w:rPr>
          <w:szCs w:val="22"/>
        </w:rPr>
        <w:t>elektronickej</w:t>
      </w:r>
      <w:r>
        <w:rPr>
          <w:szCs w:val="22"/>
        </w:rPr>
        <w:t xml:space="preserve"> podobe, v súlade so zákonom o e-Governmente, alebo listinnej podobe</w:t>
      </w:r>
      <w:r w:rsidRPr="003E3C5D">
        <w:rPr>
          <w:szCs w:val="22"/>
        </w:rPr>
        <w:t>, v</w:t>
      </w:r>
      <w:r>
        <w:rPr>
          <w:szCs w:val="22"/>
        </w:rPr>
        <w:t> súlade so zmluvou o NFP</w:t>
      </w:r>
      <w:r w:rsidRPr="003E3C5D">
        <w:rPr>
          <w:szCs w:val="22"/>
        </w:rPr>
        <w:t>) a</w:t>
      </w:r>
      <w:r w:rsidR="00DD5FAF">
        <w:rPr>
          <w:szCs w:val="22"/>
        </w:rPr>
        <w:t> </w:t>
      </w:r>
      <w:r w:rsidRPr="003E3C5D">
        <w:rPr>
          <w:szCs w:val="22"/>
        </w:rPr>
        <w:t>zároveň</w:t>
      </w:r>
      <w:r w:rsidR="00DD5FAF">
        <w:rPr>
          <w:szCs w:val="22"/>
        </w:rPr>
        <w:t xml:space="preserve"> odoslaním formulára </w:t>
      </w:r>
      <w:r w:rsidRPr="003E3C5D">
        <w:rPr>
          <w:szCs w:val="22"/>
        </w:rPr>
        <w:t>prostredníctvom ITMS2014+; alebo</w:t>
      </w:r>
    </w:p>
    <w:p w14:paraId="02E40B7F" w14:textId="081EB99B" w:rsidR="002A65AC" w:rsidRPr="000D77A6" w:rsidRDefault="00DD5FAF" w:rsidP="00DA16F9">
      <w:pPr>
        <w:numPr>
          <w:ilvl w:val="1"/>
          <w:numId w:val="18"/>
        </w:numPr>
        <w:spacing w:before="120" w:after="120"/>
        <w:ind w:left="709" w:hanging="283"/>
        <w:jc w:val="both"/>
        <w:rPr>
          <w:szCs w:val="22"/>
        </w:rPr>
      </w:pPr>
      <w:r>
        <w:rPr>
          <w:szCs w:val="22"/>
        </w:rPr>
        <w:t xml:space="preserve">vyplnením formulára a jeho odoslaním </w:t>
      </w:r>
      <w:r w:rsidR="0083059D">
        <w:rPr>
          <w:szCs w:val="22"/>
        </w:rPr>
        <w:t xml:space="preserve">prostredníctvom ITMS2014+ a zároveň </w:t>
      </w:r>
      <w:r w:rsidR="000C6B14">
        <w:rPr>
          <w:szCs w:val="22"/>
        </w:rPr>
        <w:t>odoslaním</w:t>
      </w:r>
      <w:r w:rsidR="0083059D" w:rsidRPr="00815DA9">
        <w:rPr>
          <w:szCs w:val="22"/>
        </w:rPr>
        <w:t xml:space="preserve"> skenu </w:t>
      </w:r>
      <w:r w:rsidR="000C6B14">
        <w:rPr>
          <w:szCs w:val="22"/>
        </w:rPr>
        <w:t>podpísanej monitorovacej správy prostredníctvom evidencie Komunikácia v</w:t>
      </w:r>
      <w:r w:rsidR="0083059D" w:rsidRPr="00815DA9">
        <w:rPr>
          <w:szCs w:val="22"/>
        </w:rPr>
        <w:t xml:space="preserve"> ITMS2014+ (bez potreby predloženia písomnej verzie monitorovacej správy) v prípade, ak</w:t>
      </w:r>
      <w:r w:rsidR="0083059D">
        <w:rPr>
          <w:szCs w:val="22"/>
        </w:rPr>
        <w:t xml:space="preserve"> je to v súlade so zmluvou o NFP.</w:t>
      </w:r>
    </w:p>
    <w:p w14:paraId="0199AA95" w14:textId="25F61DC9" w:rsidR="002A65AC" w:rsidRPr="00A45F2D" w:rsidRDefault="00C74B4E" w:rsidP="00A45F2D">
      <w:pPr>
        <w:numPr>
          <w:ilvl w:val="0"/>
          <w:numId w:val="18"/>
        </w:numPr>
        <w:spacing w:before="120" w:after="120"/>
        <w:ind w:left="425" w:hanging="425"/>
        <w:jc w:val="both"/>
        <w:rPr>
          <w:szCs w:val="22"/>
        </w:rPr>
      </w:pPr>
      <w:r w:rsidRPr="00A45F2D">
        <w:rPr>
          <w:szCs w:val="22"/>
        </w:rPr>
        <w:t>Ďalšími podpornými nástroj</w:t>
      </w:r>
      <w:r w:rsidR="00760B25" w:rsidRPr="00A45F2D">
        <w:rPr>
          <w:szCs w:val="22"/>
        </w:rPr>
        <w:t xml:space="preserve">mi slúžiacimi na monitorovanie projektu sú najmä informácie predkladané prijímateľmi na základe požiadaviek RO a to v rozsahu a termínoch určených RO. Prijímateľ </w:t>
      </w:r>
      <w:r w:rsidR="00C72B72" w:rsidRPr="00DE0DEB">
        <w:rPr>
          <w:szCs w:val="22"/>
        </w:rPr>
        <w:t xml:space="preserve">je v tomto prípade </w:t>
      </w:r>
      <w:r w:rsidR="00760B25" w:rsidRPr="00DE0DEB">
        <w:rPr>
          <w:szCs w:val="22"/>
        </w:rPr>
        <w:t xml:space="preserve">povinný </w:t>
      </w:r>
      <w:r w:rsidR="00C72B72" w:rsidRPr="00DE0DEB">
        <w:rPr>
          <w:szCs w:val="22"/>
        </w:rPr>
        <w:t>b</w:t>
      </w:r>
      <w:r w:rsidR="00760B25" w:rsidRPr="00DE0DEB">
        <w:rPr>
          <w:szCs w:val="22"/>
        </w:rPr>
        <w:t xml:space="preserve">ezodkladne alebo v inom termíne určenom </w:t>
      </w:r>
      <w:r w:rsidR="00C72B72" w:rsidRPr="0026568C">
        <w:rPr>
          <w:szCs w:val="22"/>
        </w:rPr>
        <w:t>RO</w:t>
      </w:r>
      <w:r w:rsidR="00760B25" w:rsidRPr="0026568C">
        <w:rPr>
          <w:szCs w:val="22"/>
        </w:rPr>
        <w:t xml:space="preserve"> predložiť </w:t>
      </w:r>
      <w:r w:rsidR="00203490" w:rsidRPr="00A45F2D">
        <w:rPr>
          <w:szCs w:val="22"/>
        </w:rPr>
        <w:t xml:space="preserve">požadované </w:t>
      </w:r>
      <w:r w:rsidR="00760B25" w:rsidRPr="00A45F2D">
        <w:rPr>
          <w:szCs w:val="22"/>
        </w:rPr>
        <w:t>informácie</w:t>
      </w:r>
      <w:r w:rsidR="004D3BB1" w:rsidRPr="00A45F2D">
        <w:rPr>
          <w:szCs w:val="22"/>
        </w:rPr>
        <w:t xml:space="preserve"> vo vzťahu k projektu (napr.</w:t>
      </w:r>
      <w:r w:rsidR="00760B25" w:rsidRPr="00A45F2D">
        <w:rPr>
          <w:szCs w:val="22"/>
        </w:rPr>
        <w:t xml:space="preserve"> dokum</w:t>
      </w:r>
      <w:r w:rsidR="00945CF9" w:rsidRPr="00A45F2D">
        <w:rPr>
          <w:szCs w:val="22"/>
        </w:rPr>
        <w:t xml:space="preserve">entáciu súvisiacu s charakterom </w:t>
      </w:r>
      <w:r w:rsidR="00760B25" w:rsidRPr="00A45F2D">
        <w:rPr>
          <w:szCs w:val="22"/>
        </w:rPr>
        <w:t>a postave</w:t>
      </w:r>
      <w:r w:rsidR="00C72B72" w:rsidRPr="00A45F2D">
        <w:rPr>
          <w:szCs w:val="22"/>
        </w:rPr>
        <w:t>ním prijímateľa, s realizáciou projektu, účelom p</w:t>
      </w:r>
      <w:r w:rsidR="00760B25" w:rsidRPr="00A45F2D">
        <w:rPr>
          <w:szCs w:val="22"/>
        </w:rPr>
        <w:t xml:space="preserve">rojektu, </w:t>
      </w:r>
      <w:r w:rsidR="00C72B72" w:rsidRPr="00A45F2D">
        <w:rPr>
          <w:szCs w:val="22"/>
        </w:rPr>
        <w:t>a</w:t>
      </w:r>
      <w:r w:rsidR="00760B25" w:rsidRPr="00A45F2D">
        <w:rPr>
          <w:szCs w:val="22"/>
        </w:rPr>
        <w:t xml:space="preserve">ktivitami </w:t>
      </w:r>
      <w:r w:rsidR="00C72B72" w:rsidRPr="00A45F2D">
        <w:rPr>
          <w:szCs w:val="22"/>
        </w:rPr>
        <w:t>p</w:t>
      </w:r>
      <w:r w:rsidR="00760B25" w:rsidRPr="00A45F2D">
        <w:rPr>
          <w:szCs w:val="22"/>
        </w:rPr>
        <w:t>rijímateľa súvisiacimi s</w:t>
      </w:r>
      <w:r w:rsidR="00C72B72" w:rsidRPr="00A45F2D">
        <w:rPr>
          <w:szCs w:val="22"/>
        </w:rPr>
        <w:t> </w:t>
      </w:r>
      <w:r w:rsidR="00760B25" w:rsidRPr="00A45F2D">
        <w:rPr>
          <w:szCs w:val="22"/>
        </w:rPr>
        <w:t>účelom</w:t>
      </w:r>
      <w:r w:rsidR="00C72B72" w:rsidRPr="00A45F2D">
        <w:rPr>
          <w:szCs w:val="22"/>
        </w:rPr>
        <w:t xml:space="preserve"> projektu</w:t>
      </w:r>
      <w:r w:rsidR="00760B25" w:rsidRPr="00A45F2D">
        <w:rPr>
          <w:szCs w:val="22"/>
        </w:rPr>
        <w:t>,</w:t>
      </w:r>
      <w:r w:rsidR="004D3BB1" w:rsidRPr="00A45F2D">
        <w:rPr>
          <w:szCs w:val="22"/>
        </w:rPr>
        <w:t xml:space="preserve"> s vedením účtovníctva</w:t>
      </w:r>
      <w:r w:rsidR="00A7219D" w:rsidRPr="00A45F2D">
        <w:rPr>
          <w:szCs w:val="22"/>
        </w:rPr>
        <w:t>, údaje o účastníkoch projektu, údaje o začatí a ukončení každej hlavnej aktivity projektu a pod.</w:t>
      </w:r>
      <w:r w:rsidR="004D3BB1" w:rsidRPr="00A45F2D">
        <w:rPr>
          <w:szCs w:val="22"/>
        </w:rPr>
        <w:t>)</w:t>
      </w:r>
      <w:r w:rsidR="00760B25" w:rsidRPr="00A45F2D">
        <w:rPr>
          <w:szCs w:val="22"/>
        </w:rPr>
        <w:t xml:space="preserve"> a to aj mimo poskytovania </w:t>
      </w:r>
      <w:r w:rsidR="00945CF9" w:rsidRPr="00A45F2D">
        <w:rPr>
          <w:szCs w:val="22"/>
        </w:rPr>
        <w:t>doplňujúcich</w:t>
      </w:r>
      <w:r w:rsidR="00760B25" w:rsidRPr="00A45F2D">
        <w:rPr>
          <w:szCs w:val="22"/>
        </w:rPr>
        <w:t xml:space="preserve"> monitorovacích údajov k </w:t>
      </w:r>
      <w:r w:rsidR="00054CF1" w:rsidRPr="00A45F2D">
        <w:rPr>
          <w:szCs w:val="22"/>
        </w:rPr>
        <w:t>ž</w:t>
      </w:r>
      <w:r w:rsidR="00760B25" w:rsidRPr="00A45F2D">
        <w:rPr>
          <w:szCs w:val="22"/>
        </w:rPr>
        <w:t>iadosti o platbu,</w:t>
      </w:r>
      <w:r w:rsidR="00054CF1" w:rsidRPr="00A45F2D">
        <w:rPr>
          <w:szCs w:val="22"/>
        </w:rPr>
        <w:t xml:space="preserve"> resp.</w:t>
      </w:r>
      <w:r w:rsidR="00760B25" w:rsidRPr="00A45F2D">
        <w:rPr>
          <w:szCs w:val="22"/>
        </w:rPr>
        <w:t xml:space="preserve"> pre</w:t>
      </w:r>
      <w:r w:rsidR="004D3BB1" w:rsidRPr="00A45F2D">
        <w:rPr>
          <w:szCs w:val="22"/>
        </w:rPr>
        <w:t xml:space="preserve">dkladania </w:t>
      </w:r>
      <w:r w:rsidR="000C1C20" w:rsidRPr="00A45F2D">
        <w:rPr>
          <w:szCs w:val="22"/>
        </w:rPr>
        <w:t xml:space="preserve">jednotlivých </w:t>
      </w:r>
      <w:r w:rsidR="004D3BB1" w:rsidRPr="00A45F2D">
        <w:rPr>
          <w:szCs w:val="22"/>
        </w:rPr>
        <w:t>monitorovacích správ p</w:t>
      </w:r>
      <w:r w:rsidR="00760B25" w:rsidRPr="00A45F2D">
        <w:rPr>
          <w:szCs w:val="22"/>
        </w:rPr>
        <w:t xml:space="preserve">rojektu alebo poskytovania informácií o monitorovaných </w:t>
      </w:r>
      <w:r w:rsidR="00113A7F" w:rsidRPr="00A45F2D">
        <w:rPr>
          <w:szCs w:val="22"/>
        </w:rPr>
        <w:t>údajoch</w:t>
      </w:r>
      <w:r w:rsidR="00760B25" w:rsidRPr="00A45F2D">
        <w:rPr>
          <w:szCs w:val="22"/>
        </w:rPr>
        <w:t xml:space="preserve"> na úrovni </w:t>
      </w:r>
      <w:r w:rsidR="004D3BB1" w:rsidRPr="00A45F2D">
        <w:rPr>
          <w:szCs w:val="22"/>
        </w:rPr>
        <w:t>p</w:t>
      </w:r>
      <w:r w:rsidR="00760B25" w:rsidRPr="00A45F2D">
        <w:rPr>
          <w:szCs w:val="22"/>
        </w:rPr>
        <w:t xml:space="preserve">rojektu.   </w:t>
      </w:r>
      <w:r w:rsidR="00D510BC" w:rsidRPr="00A45F2D">
        <w:rPr>
          <w:szCs w:val="22"/>
        </w:rPr>
        <w:t xml:space="preserve">  </w:t>
      </w:r>
      <w:r w:rsidR="00EA1156" w:rsidRPr="00A45F2D">
        <w:rPr>
          <w:szCs w:val="22"/>
        </w:rPr>
        <w:t xml:space="preserve"> </w:t>
      </w:r>
      <w:r w:rsidR="009A7C4F" w:rsidRPr="00A45F2D">
        <w:rPr>
          <w:szCs w:val="22"/>
        </w:rPr>
        <w:t xml:space="preserve">  </w:t>
      </w:r>
    </w:p>
    <w:p w14:paraId="7F31C662" w14:textId="7D9ED958" w:rsidR="000E2E4D" w:rsidRPr="00CC5171" w:rsidRDefault="000D77A6" w:rsidP="000D77A6">
      <w:pPr>
        <w:pStyle w:val="MPCKO1"/>
        <w:jc w:val="both"/>
      </w:pPr>
      <w:bookmarkStart w:id="10" w:name="_Toc446508526"/>
      <w:bookmarkStart w:id="11" w:name="_Toc511833285"/>
      <w:bookmarkStart w:id="12" w:name="_Toc67498795"/>
      <w:r>
        <w:t xml:space="preserve">3 </w:t>
      </w:r>
      <w:r w:rsidR="00323A29">
        <w:t xml:space="preserve">Monitorovanie </w:t>
      </w:r>
      <w:r w:rsidR="004D3BB1">
        <w:t xml:space="preserve">projektu </w:t>
      </w:r>
      <w:r w:rsidR="00323A29">
        <w:t>vo vzťahu k žiadosti o</w:t>
      </w:r>
      <w:r w:rsidR="002A65AC">
        <w:t> </w:t>
      </w:r>
      <w:r w:rsidR="00323A29">
        <w:t>platbu</w:t>
      </w:r>
      <w:bookmarkEnd w:id="10"/>
      <w:bookmarkEnd w:id="11"/>
      <w:bookmarkEnd w:id="12"/>
    </w:p>
    <w:p w14:paraId="33948D8A" w14:textId="651BD846" w:rsidR="004D3BB1" w:rsidRPr="000D77A6" w:rsidRDefault="004D3BB1" w:rsidP="000D77A6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r w:rsidRPr="000D77A6">
        <w:rPr>
          <w:szCs w:val="22"/>
        </w:rPr>
        <w:t xml:space="preserve">Monitorovanie projektu vo vzťahu k žiadosti o platbu je kľúčovou časťou monitorovania projektu. Rozsah údajov poskytovaných na úrovni prijímateľa </w:t>
      </w:r>
      <w:r w:rsidR="00E35AE4">
        <w:rPr>
          <w:szCs w:val="22"/>
        </w:rPr>
        <w:t>je zadefinovaný v</w:t>
      </w:r>
      <w:r w:rsidR="00DD5FAF">
        <w:rPr>
          <w:szCs w:val="22"/>
        </w:rPr>
        <w:t>o formulári v</w:t>
      </w:r>
      <w:r w:rsidR="00E35AE4">
        <w:rPr>
          <w:szCs w:val="22"/>
        </w:rPr>
        <w:t> ITMS2014+. Popis k vyplneniu Doplňujúcich monitorovacích údajov k</w:t>
      </w:r>
      <w:r w:rsidR="00DD5FAF">
        <w:rPr>
          <w:szCs w:val="22"/>
        </w:rPr>
        <w:t> </w:t>
      </w:r>
      <w:r w:rsidR="00E35AE4">
        <w:rPr>
          <w:szCs w:val="22"/>
        </w:rPr>
        <w:t>ŽoP je uvedený vo vzore CKO č. 26</w:t>
      </w:r>
      <w:r w:rsidR="00E35AE4">
        <w:rPr>
          <w:rStyle w:val="Odkaznapoznmkupodiarou"/>
          <w:szCs w:val="22"/>
        </w:rPr>
        <w:footnoteReference w:id="2"/>
      </w:r>
      <w:r w:rsidR="009A5FFF">
        <w:rPr>
          <w:szCs w:val="22"/>
        </w:rPr>
        <w:t xml:space="preserve">. </w:t>
      </w:r>
      <w:r w:rsidR="00506D67" w:rsidRPr="00506D67">
        <w:rPr>
          <w:szCs w:val="22"/>
        </w:rPr>
        <w:t xml:space="preserve">Informácie nad rámec </w:t>
      </w:r>
      <w:r w:rsidR="00E35AE4">
        <w:rPr>
          <w:szCs w:val="22"/>
        </w:rPr>
        <w:t>formuláru Doplňujúcich monitorovacích údajov k ŽoP</w:t>
      </w:r>
      <w:r w:rsidR="00506D67" w:rsidRPr="00506D67">
        <w:rPr>
          <w:szCs w:val="22"/>
        </w:rPr>
        <w:t xml:space="preserve"> a</w:t>
      </w:r>
      <w:r w:rsidR="00506D67" w:rsidRPr="00E06CAD">
        <w:rPr>
          <w:szCs w:val="22"/>
        </w:rPr>
        <w:t> v nadväznosti na potreby OP je RO oprávnený požadovať od prijímateľa prostredníctvom ďalšej prílohy k</w:t>
      </w:r>
      <w:r w:rsidR="00506D67">
        <w:rPr>
          <w:szCs w:val="22"/>
        </w:rPr>
        <w:t> </w:t>
      </w:r>
      <w:r w:rsidR="00506D67" w:rsidRPr="00892323">
        <w:rPr>
          <w:szCs w:val="22"/>
        </w:rPr>
        <w:t>ŽoP</w:t>
      </w:r>
      <w:r w:rsidR="00506D67">
        <w:rPr>
          <w:szCs w:val="22"/>
        </w:rPr>
        <w:t xml:space="preserve">, ktorej rozsah a obsah RO určí vopred </w:t>
      </w:r>
      <w:r w:rsidR="009C1698">
        <w:rPr>
          <w:szCs w:val="22"/>
        </w:rPr>
        <w:t xml:space="preserve">v riadiacej dokumentácii </w:t>
      </w:r>
      <w:r w:rsidR="00506D67">
        <w:rPr>
          <w:szCs w:val="22"/>
        </w:rPr>
        <w:t xml:space="preserve">(napr. </w:t>
      </w:r>
      <w:r w:rsidR="009C1698">
        <w:rPr>
          <w:szCs w:val="22"/>
        </w:rPr>
        <w:t xml:space="preserve">v </w:t>
      </w:r>
      <w:r w:rsidR="00506D67">
        <w:rPr>
          <w:szCs w:val="22"/>
        </w:rPr>
        <w:t>príručk</w:t>
      </w:r>
      <w:r w:rsidR="009C1698">
        <w:rPr>
          <w:szCs w:val="22"/>
        </w:rPr>
        <w:t>e</w:t>
      </w:r>
      <w:r w:rsidR="00506D67">
        <w:rPr>
          <w:szCs w:val="22"/>
        </w:rPr>
        <w:t xml:space="preserve"> pre prijímateľa)</w:t>
      </w:r>
      <w:r w:rsidR="00506D67" w:rsidRPr="00892323">
        <w:rPr>
          <w:szCs w:val="22"/>
        </w:rPr>
        <w:t xml:space="preserve">. </w:t>
      </w:r>
      <w:r w:rsidRPr="000D77A6">
        <w:rPr>
          <w:szCs w:val="22"/>
        </w:rPr>
        <w:t xml:space="preserve"> </w:t>
      </w:r>
    </w:p>
    <w:p w14:paraId="6506BC2D" w14:textId="5C4C61A3" w:rsidR="001217AF" w:rsidRPr="000D77A6" w:rsidRDefault="00D90DCB" w:rsidP="000D77A6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r w:rsidRPr="000D77A6">
        <w:rPr>
          <w:szCs w:val="22"/>
        </w:rPr>
        <w:t xml:space="preserve">Doplňujúce monitorovacie údaje </w:t>
      </w:r>
      <w:r w:rsidR="0002533A">
        <w:rPr>
          <w:szCs w:val="22"/>
        </w:rPr>
        <w:t xml:space="preserve">k ŽoP </w:t>
      </w:r>
      <w:r w:rsidRPr="000D77A6">
        <w:rPr>
          <w:szCs w:val="22"/>
        </w:rPr>
        <w:t xml:space="preserve">sú poskytované len </w:t>
      </w:r>
      <w:r w:rsidR="002A65AC">
        <w:rPr>
          <w:szCs w:val="22"/>
        </w:rPr>
        <w:t>k</w:t>
      </w:r>
      <w:r w:rsidR="005B3B3B" w:rsidRPr="000D77A6">
        <w:rPr>
          <w:szCs w:val="22"/>
        </w:rPr>
        <w:t xml:space="preserve"> priebežn</w:t>
      </w:r>
      <w:r w:rsidR="002A65AC">
        <w:rPr>
          <w:szCs w:val="22"/>
        </w:rPr>
        <w:t>ej</w:t>
      </w:r>
      <w:r w:rsidR="005B3B3B" w:rsidRPr="000D77A6">
        <w:rPr>
          <w:szCs w:val="22"/>
        </w:rPr>
        <w:t xml:space="preserve"> </w:t>
      </w:r>
      <w:r w:rsidR="002A65AC">
        <w:rPr>
          <w:szCs w:val="22"/>
        </w:rPr>
        <w:t>ŽoP</w:t>
      </w:r>
      <w:r w:rsidR="005B3B3B" w:rsidRPr="000D77A6">
        <w:rPr>
          <w:szCs w:val="22"/>
        </w:rPr>
        <w:t>, zúčtovani</w:t>
      </w:r>
      <w:r w:rsidR="002A65AC">
        <w:rPr>
          <w:szCs w:val="22"/>
        </w:rPr>
        <w:t>u</w:t>
      </w:r>
      <w:r w:rsidR="005B3B3B" w:rsidRPr="000D77A6">
        <w:rPr>
          <w:szCs w:val="22"/>
        </w:rPr>
        <w:t xml:space="preserve"> zálohovej platby a poskytnuti</w:t>
      </w:r>
      <w:r w:rsidR="002A65AC">
        <w:rPr>
          <w:szCs w:val="22"/>
        </w:rPr>
        <w:t>u</w:t>
      </w:r>
      <w:r w:rsidR="005B3B3B" w:rsidRPr="000D77A6">
        <w:rPr>
          <w:szCs w:val="22"/>
        </w:rPr>
        <w:t xml:space="preserve"> predfinancovania</w:t>
      </w:r>
      <w:r w:rsidR="0083026B" w:rsidRPr="000D77A6">
        <w:rPr>
          <w:szCs w:val="22"/>
        </w:rPr>
        <w:t xml:space="preserve"> (ďalej len „relevantn</w:t>
      </w:r>
      <w:r w:rsidR="009C64E2" w:rsidRPr="000D77A6">
        <w:rPr>
          <w:szCs w:val="22"/>
        </w:rPr>
        <w:t>á</w:t>
      </w:r>
      <w:r w:rsidR="0083026B" w:rsidRPr="000D77A6">
        <w:rPr>
          <w:szCs w:val="22"/>
        </w:rPr>
        <w:t xml:space="preserve"> ŽoP“)</w:t>
      </w:r>
      <w:r w:rsidR="005B3B3B" w:rsidRPr="000D77A6">
        <w:rPr>
          <w:szCs w:val="22"/>
        </w:rPr>
        <w:t>.</w:t>
      </w:r>
      <w:r w:rsidR="004D3BB1" w:rsidRPr="000D77A6">
        <w:rPr>
          <w:szCs w:val="22"/>
        </w:rPr>
        <w:t xml:space="preserve"> </w:t>
      </w:r>
      <w:r w:rsidR="005B3B3B" w:rsidRPr="000D77A6">
        <w:rPr>
          <w:szCs w:val="22"/>
        </w:rPr>
        <w:lastRenderedPageBreak/>
        <w:t>Pri</w:t>
      </w:r>
      <w:r w:rsidR="002A65AC">
        <w:rPr>
          <w:szCs w:val="22"/>
        </w:rPr>
        <w:t> </w:t>
      </w:r>
      <w:r w:rsidR="005B3B3B" w:rsidRPr="000D77A6">
        <w:rPr>
          <w:szCs w:val="22"/>
        </w:rPr>
        <w:t>ostatných typoch žiadosti o platbu (t.</w:t>
      </w:r>
      <w:r w:rsidR="002A65AC">
        <w:rPr>
          <w:szCs w:val="22"/>
        </w:rPr>
        <w:t xml:space="preserve"> </w:t>
      </w:r>
      <w:r w:rsidR="005B3B3B" w:rsidRPr="000D77A6">
        <w:rPr>
          <w:szCs w:val="22"/>
        </w:rPr>
        <w:t xml:space="preserve">j. žiadosť o zálohovú platbu a zúčtovanie predfinancovania) </w:t>
      </w:r>
      <w:r w:rsidR="002A65AC">
        <w:rPr>
          <w:szCs w:val="22"/>
        </w:rPr>
        <w:t>sa</w:t>
      </w:r>
      <w:r w:rsidR="005B3B3B" w:rsidRPr="000D77A6">
        <w:rPr>
          <w:szCs w:val="22"/>
        </w:rPr>
        <w:t xml:space="preserve"> </w:t>
      </w:r>
      <w:r w:rsidR="0002533A">
        <w:rPr>
          <w:szCs w:val="22"/>
        </w:rPr>
        <w:t>D</w:t>
      </w:r>
      <w:r w:rsidR="005B3B3B" w:rsidRPr="000D77A6">
        <w:rPr>
          <w:szCs w:val="22"/>
        </w:rPr>
        <w:t>oplňujúce monitorovacie údaje</w:t>
      </w:r>
      <w:r w:rsidR="002A65AC">
        <w:rPr>
          <w:szCs w:val="22"/>
        </w:rPr>
        <w:t xml:space="preserve"> </w:t>
      </w:r>
      <w:r w:rsidR="0002533A">
        <w:rPr>
          <w:szCs w:val="22"/>
        </w:rPr>
        <w:t xml:space="preserve">k ŽoP </w:t>
      </w:r>
      <w:r w:rsidR="002A65AC">
        <w:rPr>
          <w:szCs w:val="22"/>
        </w:rPr>
        <w:t>nevyžadujú</w:t>
      </w:r>
      <w:r w:rsidR="005B3B3B" w:rsidRPr="000D77A6">
        <w:rPr>
          <w:szCs w:val="22"/>
        </w:rPr>
        <w:t xml:space="preserve">. </w:t>
      </w:r>
    </w:p>
    <w:p w14:paraId="4E6DEA68" w14:textId="07E68128" w:rsidR="00CB2F76" w:rsidRDefault="00CB2F76" w:rsidP="000D77A6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r w:rsidRPr="000D77A6">
        <w:rPr>
          <w:szCs w:val="22"/>
        </w:rPr>
        <w:t>Periodicita predkladania doplňujúcich monitorovacích údajov k ŽoP je totožná s periodicitou predkladania relevantnej ŽoP</w:t>
      </w:r>
      <w:r w:rsidR="00AF180D">
        <w:rPr>
          <w:szCs w:val="22"/>
        </w:rPr>
        <w:t xml:space="preserve"> a</w:t>
      </w:r>
      <w:r w:rsidRPr="000D77A6">
        <w:rPr>
          <w:szCs w:val="22"/>
        </w:rPr>
        <w:t xml:space="preserve"> je stanovená v </w:t>
      </w:r>
      <w:r w:rsidR="00BD23ED">
        <w:rPr>
          <w:szCs w:val="22"/>
        </w:rPr>
        <w:t>z</w:t>
      </w:r>
      <w:r w:rsidRPr="000D77A6">
        <w:rPr>
          <w:szCs w:val="22"/>
        </w:rPr>
        <w:t>mluve o</w:t>
      </w:r>
      <w:r w:rsidR="00011232">
        <w:rPr>
          <w:szCs w:val="22"/>
        </w:rPr>
        <w:t> </w:t>
      </w:r>
      <w:r w:rsidRPr="000D77A6">
        <w:rPr>
          <w:szCs w:val="22"/>
        </w:rPr>
        <w:t>NFP</w:t>
      </w:r>
      <w:r w:rsidRPr="00BF1D4F">
        <w:rPr>
          <w:szCs w:val="22"/>
        </w:rPr>
        <w:t xml:space="preserve">. </w:t>
      </w:r>
    </w:p>
    <w:p w14:paraId="5F66EBD4" w14:textId="2070E1F1" w:rsidR="007D2198" w:rsidRPr="00BF1D4F" w:rsidRDefault="007D2198" w:rsidP="000304E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r w:rsidRPr="007D2198">
        <w:rPr>
          <w:szCs w:val="22"/>
        </w:rPr>
        <w:t>Monitorova</w:t>
      </w:r>
      <w:r w:rsidR="004F3595">
        <w:rPr>
          <w:szCs w:val="22"/>
        </w:rPr>
        <w:t>né</w:t>
      </w:r>
      <w:r w:rsidRPr="007D2198">
        <w:rPr>
          <w:szCs w:val="22"/>
        </w:rPr>
        <w:t xml:space="preserve"> obdobie </w:t>
      </w:r>
      <w:r w:rsidR="002F5E24">
        <w:rPr>
          <w:szCs w:val="22"/>
        </w:rPr>
        <w:t>prvých</w:t>
      </w:r>
      <w:r w:rsidR="004F3595">
        <w:rPr>
          <w:szCs w:val="22"/>
        </w:rPr>
        <w:t xml:space="preserve"> Doplňujúcich monitorovacích údajoch k ŽoP </w:t>
      </w:r>
      <w:r w:rsidR="002F5E24">
        <w:rPr>
          <w:szCs w:val="22"/>
        </w:rPr>
        <w:t>je obdobie od účinnosti zmluvy o NFP alebo začiatku realizácie hlavných aktivít projektu (podľa toho čo nastalo skôr) do dňa predloženia ŽoP</w:t>
      </w:r>
      <w:r w:rsidR="00977D17">
        <w:rPr>
          <w:szCs w:val="22"/>
        </w:rPr>
        <w:t xml:space="preserve"> </w:t>
      </w:r>
      <w:r w:rsidR="002F5E24">
        <w:rPr>
          <w:szCs w:val="22"/>
        </w:rPr>
        <w:t xml:space="preserve">prostredníctvom ITMS2014+. </w:t>
      </w:r>
      <w:r w:rsidR="00F4538B" w:rsidRPr="00F16E8E">
        <w:rPr>
          <w:szCs w:val="22"/>
        </w:rPr>
        <w:t>Monitorované</w:t>
      </w:r>
      <w:r w:rsidR="00F4538B">
        <w:rPr>
          <w:szCs w:val="22"/>
        </w:rPr>
        <w:t xml:space="preserve"> obdobie ďalších Doplňujúcich monitorovacích údajov k ŽoP (predložených v ďalších rokoch) </w:t>
      </w:r>
      <w:r w:rsidR="00F4538B" w:rsidRPr="00F16E8E">
        <w:rPr>
          <w:szCs w:val="22"/>
        </w:rPr>
        <w:t>je stanovené od 1.1. roku</w:t>
      </w:r>
      <w:r w:rsidR="00977D17">
        <w:rPr>
          <w:szCs w:val="22"/>
        </w:rPr>
        <w:t>, v ktorom je ŽoP predkladaná, d</w:t>
      </w:r>
      <w:r w:rsidR="00F4538B" w:rsidRPr="00F16E8E">
        <w:rPr>
          <w:szCs w:val="22"/>
        </w:rPr>
        <w:t xml:space="preserve">o </w:t>
      </w:r>
      <w:r w:rsidR="00F4538B">
        <w:rPr>
          <w:szCs w:val="22"/>
        </w:rPr>
        <w:t xml:space="preserve">dňa predloženia ŽoP, prostredníctvom ITMS2014+. </w:t>
      </w:r>
    </w:p>
    <w:p w14:paraId="69C66C60" w14:textId="2E6AA872" w:rsidR="002A206B" w:rsidRPr="00BF1D4F" w:rsidRDefault="00CB2F76" w:rsidP="00BF1D4F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r w:rsidRPr="00BF1D4F">
        <w:rPr>
          <w:szCs w:val="22"/>
        </w:rPr>
        <w:t xml:space="preserve">Kontrola doplňujúcich monitorovacích údajov k ŽoP prebieha v rámci kontroly </w:t>
      </w:r>
      <w:r w:rsidR="000F52C6" w:rsidRPr="00BF1D4F">
        <w:rPr>
          <w:szCs w:val="22"/>
        </w:rPr>
        <w:t xml:space="preserve">správnosti </w:t>
      </w:r>
      <w:r w:rsidRPr="00BF1D4F">
        <w:rPr>
          <w:szCs w:val="22"/>
        </w:rPr>
        <w:t xml:space="preserve">ŽoP, nakoľko </w:t>
      </w:r>
      <w:r w:rsidR="004732B6">
        <w:rPr>
          <w:szCs w:val="22"/>
        </w:rPr>
        <w:t>sú</w:t>
      </w:r>
      <w:r w:rsidRPr="00BF1D4F">
        <w:rPr>
          <w:szCs w:val="22"/>
        </w:rPr>
        <w:t xml:space="preserve"> neoddeliteľnou súčasťou samotnej </w:t>
      </w:r>
      <w:r w:rsidR="009A5FFF">
        <w:rPr>
          <w:szCs w:val="22"/>
        </w:rPr>
        <w:t xml:space="preserve">relevantnej </w:t>
      </w:r>
      <w:r w:rsidRPr="00BF1D4F">
        <w:rPr>
          <w:szCs w:val="22"/>
        </w:rPr>
        <w:t>ŽoP</w:t>
      </w:r>
      <w:r w:rsidR="000F52C6" w:rsidRPr="00BF1D4F">
        <w:rPr>
          <w:szCs w:val="22"/>
        </w:rPr>
        <w:t xml:space="preserve">. </w:t>
      </w:r>
    </w:p>
    <w:p w14:paraId="7C387B7C" w14:textId="77777777" w:rsidR="001E2A72" w:rsidRDefault="001E2A72" w:rsidP="001E2A72">
      <w:pPr>
        <w:pStyle w:val="MPCKO1"/>
        <w:jc w:val="both"/>
      </w:pPr>
      <w:bookmarkStart w:id="13" w:name="_Toc511833286"/>
      <w:bookmarkStart w:id="14" w:name="_Toc67498796"/>
      <w:r>
        <w:t>4 Mimoriadna monitorovacia správa projektu</w:t>
      </w:r>
      <w:bookmarkEnd w:id="13"/>
      <w:bookmarkEnd w:id="14"/>
    </w:p>
    <w:p w14:paraId="1DE6315F" w14:textId="25ABC7E2" w:rsidR="00BD23ED" w:rsidRDefault="00CB530A" w:rsidP="006D744B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r>
        <w:t>P</w:t>
      </w:r>
      <w:r w:rsidR="00BD23ED">
        <w:t>rijímateľ</w:t>
      </w:r>
      <w:r w:rsidR="00BD23ED" w:rsidRPr="00A91910">
        <w:t xml:space="preserve"> </w:t>
      </w:r>
      <w:r>
        <w:t xml:space="preserve">je </w:t>
      </w:r>
      <w:r w:rsidR="00BD23ED">
        <w:t>p</w:t>
      </w:r>
      <w:r w:rsidR="00BD23ED" w:rsidRPr="00A91910">
        <w:t>ovinný</w:t>
      </w:r>
      <w:r>
        <w:t>,</w:t>
      </w:r>
      <w:r w:rsidR="00BD23ED" w:rsidRPr="00A91910">
        <w:t xml:space="preserve"> </w:t>
      </w:r>
      <w:r>
        <w:t>na požiadanie RO,</w:t>
      </w:r>
      <w:r w:rsidRPr="00A91910">
        <w:t xml:space="preserve"> </w:t>
      </w:r>
      <w:r w:rsidR="00BD23ED" w:rsidRPr="00A91910">
        <w:t xml:space="preserve">predložiť </w:t>
      </w:r>
      <w:r w:rsidR="00BD23ED">
        <w:t>informácie</w:t>
      </w:r>
      <w:r w:rsidR="00BD23ED" w:rsidRPr="00A91910">
        <w:t xml:space="preserve"> o stave </w:t>
      </w:r>
      <w:r w:rsidR="00BD23ED">
        <w:t>r</w:t>
      </w:r>
      <w:r w:rsidR="00BD23ED" w:rsidRPr="00A91910">
        <w:t xml:space="preserve">ealizácie </w:t>
      </w:r>
      <w:r w:rsidR="00BD23ED">
        <w:t>a</w:t>
      </w:r>
      <w:r w:rsidR="00BD23ED" w:rsidRPr="00A91910">
        <w:t>ktivít</w:t>
      </w:r>
      <w:r w:rsidR="00BD23ED">
        <w:t xml:space="preserve"> projektu</w:t>
      </w:r>
      <w:r w:rsidR="00BD23ED" w:rsidRPr="00A91910">
        <w:t xml:space="preserve">, </w:t>
      </w:r>
      <w:r w:rsidR="00BD23ED">
        <w:t>pokroku projektu, identifikovaných problémoch a rizikách realizovania projektu, ako aj ďalš</w:t>
      </w:r>
      <w:r w:rsidR="00B80611">
        <w:t>ie</w:t>
      </w:r>
      <w:r w:rsidR="00BD23ED">
        <w:t xml:space="preserve"> </w:t>
      </w:r>
      <w:r w:rsidR="00B80611">
        <w:t xml:space="preserve">informácie </w:t>
      </w:r>
      <w:r w:rsidR="00BD23ED">
        <w:t xml:space="preserve">v súvislosti s realizáciou projektu vo formáte stanovenom </w:t>
      </w:r>
      <w:r w:rsidR="00F850E9">
        <w:t>RO</w:t>
      </w:r>
      <w:r w:rsidR="00BD23ED">
        <w:t xml:space="preserve"> </w:t>
      </w:r>
      <w:r w:rsidR="00F850E9">
        <w:t>(</w:t>
      </w:r>
      <w:r w:rsidR="00C20709">
        <w:t xml:space="preserve">napr. </w:t>
      </w:r>
      <w:r w:rsidR="00F850E9">
        <w:t xml:space="preserve">formulár Mimoriadnej monitorovacej správy </w:t>
      </w:r>
      <w:r w:rsidR="00BD23ED">
        <w:t>projektu</w:t>
      </w:r>
      <w:r w:rsidR="00F850E9">
        <w:t xml:space="preserve"> v ITMS2014+</w:t>
      </w:r>
      <w:r w:rsidR="00F54F03">
        <w:t>)</w:t>
      </w:r>
      <w:r w:rsidRPr="000D77A6">
        <w:rPr>
          <w:szCs w:val="22"/>
        </w:rPr>
        <w:t xml:space="preserve">, príp. </w:t>
      </w:r>
      <w:r>
        <w:rPr>
          <w:szCs w:val="22"/>
        </w:rPr>
        <w:t xml:space="preserve">iné </w:t>
      </w:r>
      <w:r w:rsidRPr="000D77A6">
        <w:rPr>
          <w:szCs w:val="22"/>
        </w:rPr>
        <w:t>informácie</w:t>
      </w:r>
      <w:r w:rsidR="00BD23ED" w:rsidRPr="000D77A6">
        <w:rPr>
          <w:szCs w:val="22"/>
        </w:rPr>
        <w:t xml:space="preserve">. </w:t>
      </w:r>
    </w:p>
    <w:p w14:paraId="2300BD97" w14:textId="59BC4631" w:rsidR="00BD23ED" w:rsidRPr="00A8395F" w:rsidRDefault="00BF336F" w:rsidP="0017616D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r w:rsidRPr="00A8395F">
        <w:rPr>
          <w:szCs w:val="22"/>
        </w:rPr>
        <w:t>RO môže vyžadovať od prijímateľa, aby k Mimoriadnej monitorovacej správe projektu pripoji</w:t>
      </w:r>
      <w:r w:rsidRPr="00DE0DEB">
        <w:rPr>
          <w:szCs w:val="22"/>
        </w:rPr>
        <w:t>l relevantnú dokumentáciu podľa potreby (napr. fotodokumentáciu, prezenčné listiny a pod.)</w:t>
      </w:r>
      <w:r w:rsidRPr="0026568C">
        <w:rPr>
          <w:szCs w:val="22"/>
        </w:rPr>
        <w:t>, aby vylúčil prípadné pochybnosti pri preukazovaní skutočností vyplývajúcich z realizácie projektu</w:t>
      </w:r>
      <w:r w:rsidRPr="00A8395F">
        <w:rPr>
          <w:szCs w:val="22"/>
        </w:rPr>
        <w:t>.</w:t>
      </w:r>
      <w:r w:rsidR="00924E26">
        <w:rPr>
          <w:szCs w:val="22"/>
        </w:rPr>
        <w:t xml:space="preserve"> </w:t>
      </w:r>
      <w:r w:rsidR="00924E26" w:rsidRPr="000D77A6">
        <w:rPr>
          <w:szCs w:val="22"/>
        </w:rPr>
        <w:t xml:space="preserve">Rozsah údajov poskytovaných na úrovni prijímateľa </w:t>
      </w:r>
      <w:r w:rsidR="00924E26">
        <w:rPr>
          <w:szCs w:val="22"/>
        </w:rPr>
        <w:t xml:space="preserve">prostredníctvom Mimoriadnej monitorovacej správy </w:t>
      </w:r>
      <w:r w:rsidR="00924E26" w:rsidRPr="000D77A6">
        <w:rPr>
          <w:szCs w:val="22"/>
        </w:rPr>
        <w:t xml:space="preserve">je </w:t>
      </w:r>
      <w:r w:rsidR="00924E26">
        <w:rPr>
          <w:szCs w:val="22"/>
        </w:rPr>
        <w:t>zadefinovaný vo formulári v ITMS2014+</w:t>
      </w:r>
      <w:r w:rsidR="00924E26" w:rsidRPr="000D77A6">
        <w:rPr>
          <w:szCs w:val="22"/>
        </w:rPr>
        <w:t xml:space="preserve">. </w:t>
      </w:r>
      <w:r w:rsidR="00924E26">
        <w:rPr>
          <w:szCs w:val="22"/>
        </w:rPr>
        <w:t>Popis k vyplneniu monitorovacej správy projektu je uvedený vo vzore CKO č. 25</w:t>
      </w:r>
      <w:r w:rsidR="00924E26">
        <w:rPr>
          <w:rStyle w:val="Odkaznapoznmkupodiarou"/>
          <w:szCs w:val="22"/>
        </w:rPr>
        <w:footnoteReference w:id="3"/>
      </w:r>
      <w:r w:rsidR="00924E26">
        <w:rPr>
          <w:szCs w:val="22"/>
        </w:rPr>
        <w:t>.</w:t>
      </w:r>
    </w:p>
    <w:p w14:paraId="6E76068B" w14:textId="4F264832" w:rsidR="001E2B03" w:rsidRPr="001C61D0" w:rsidRDefault="001E2A72" w:rsidP="005F1688">
      <w:pPr>
        <w:pStyle w:val="MPCKO1"/>
        <w:ind w:left="284" w:hanging="284"/>
        <w:jc w:val="both"/>
      </w:pPr>
      <w:bookmarkStart w:id="15" w:name="_Toc446508527"/>
      <w:bookmarkStart w:id="16" w:name="_Toc511833287"/>
      <w:bookmarkStart w:id="17" w:name="_Toc67498797"/>
      <w:r>
        <w:t>5</w:t>
      </w:r>
      <w:r w:rsidR="000D77A6">
        <w:t xml:space="preserve"> </w:t>
      </w:r>
      <w:r w:rsidR="00203490">
        <w:t>M</w:t>
      </w:r>
      <w:r w:rsidR="00323A29">
        <w:t>onitorovacia správa projektu</w:t>
      </w:r>
      <w:bookmarkEnd w:id="15"/>
      <w:r w:rsidR="00203490">
        <w:t xml:space="preserve"> (výročná alebo záverečná)</w:t>
      </w:r>
      <w:bookmarkEnd w:id="16"/>
      <w:bookmarkEnd w:id="17"/>
    </w:p>
    <w:p w14:paraId="40E607A5" w14:textId="4779FC1B" w:rsidR="00D9147E" w:rsidRPr="000D77A6" w:rsidRDefault="00D9147E" w:rsidP="000D77A6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szCs w:val="22"/>
        </w:rPr>
      </w:pPr>
      <w:r w:rsidRPr="000D77A6">
        <w:rPr>
          <w:szCs w:val="22"/>
        </w:rPr>
        <w:t xml:space="preserve">Monitorovanie projektu na pravidelnej báze je dôležitou súčasťou monitorovacích a hodnotiacich procesov. Rozsah údajov poskytovaných na úrovni prijímateľa je </w:t>
      </w:r>
      <w:r w:rsidR="001C076B">
        <w:rPr>
          <w:szCs w:val="22"/>
        </w:rPr>
        <w:t>zadefinovaný vo formulári v ITMS2014+</w:t>
      </w:r>
      <w:r w:rsidRPr="000D77A6">
        <w:rPr>
          <w:szCs w:val="22"/>
        </w:rPr>
        <w:t xml:space="preserve">. </w:t>
      </w:r>
      <w:r w:rsidR="001C076B">
        <w:rPr>
          <w:szCs w:val="22"/>
        </w:rPr>
        <w:t>Popis k vyplneniu monitorovacej správy projektu je uvedený vo vzore CKO č. 25</w:t>
      </w:r>
      <w:r w:rsidR="00F16E8E">
        <w:rPr>
          <w:rStyle w:val="Odkaznapoznmkupodiarou"/>
          <w:szCs w:val="22"/>
        </w:rPr>
        <w:footnoteReference w:id="4"/>
      </w:r>
      <w:r w:rsidR="001C076B">
        <w:rPr>
          <w:szCs w:val="22"/>
        </w:rPr>
        <w:t>.</w:t>
      </w:r>
    </w:p>
    <w:p w14:paraId="53C0163D" w14:textId="5CA7BB61" w:rsidR="00011232" w:rsidRDefault="00D9147E" w:rsidP="00EC1DBA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szCs w:val="22"/>
        </w:rPr>
      </w:pPr>
      <w:r w:rsidRPr="00EC1DBA">
        <w:rPr>
          <w:szCs w:val="22"/>
        </w:rPr>
        <w:t>Monitorovaci</w:t>
      </w:r>
      <w:r w:rsidR="006C0A14" w:rsidRPr="00EC1DBA">
        <w:rPr>
          <w:szCs w:val="22"/>
        </w:rPr>
        <w:t>a</w:t>
      </w:r>
      <w:r w:rsidRPr="00EC1DBA">
        <w:rPr>
          <w:szCs w:val="22"/>
        </w:rPr>
        <w:t xml:space="preserve"> správ</w:t>
      </w:r>
      <w:r w:rsidR="006C0A14" w:rsidRPr="00EC1DBA">
        <w:rPr>
          <w:szCs w:val="22"/>
        </w:rPr>
        <w:t>a</w:t>
      </w:r>
      <w:r w:rsidRPr="00EC1DBA">
        <w:rPr>
          <w:szCs w:val="22"/>
        </w:rPr>
        <w:t xml:space="preserve"> projektu </w:t>
      </w:r>
      <w:r w:rsidR="006C0A14" w:rsidRPr="00EC1DBA">
        <w:rPr>
          <w:szCs w:val="22"/>
        </w:rPr>
        <w:t xml:space="preserve">môže byť dvojakého typu </w:t>
      </w:r>
      <w:r w:rsidR="00F61EAA" w:rsidRPr="00EC1DBA">
        <w:rPr>
          <w:szCs w:val="22"/>
        </w:rPr>
        <w:t xml:space="preserve">vzhľadom na </w:t>
      </w:r>
      <w:r w:rsidR="00203490">
        <w:rPr>
          <w:szCs w:val="22"/>
        </w:rPr>
        <w:t xml:space="preserve">fázu </w:t>
      </w:r>
      <w:r w:rsidR="00F61EAA" w:rsidRPr="00EC1DBA">
        <w:rPr>
          <w:szCs w:val="22"/>
        </w:rPr>
        <w:t>realizáci</w:t>
      </w:r>
      <w:r w:rsidR="00203490">
        <w:rPr>
          <w:szCs w:val="22"/>
        </w:rPr>
        <w:t>e</w:t>
      </w:r>
      <w:r w:rsidR="00F61EAA" w:rsidRPr="00EC1DBA">
        <w:rPr>
          <w:szCs w:val="22"/>
        </w:rPr>
        <w:t xml:space="preserve"> projektu, </w:t>
      </w:r>
      <w:r w:rsidR="006C0A14" w:rsidRPr="00EC1DBA">
        <w:rPr>
          <w:szCs w:val="22"/>
        </w:rPr>
        <w:t xml:space="preserve">a to výročná </w:t>
      </w:r>
      <w:r w:rsidR="00203490">
        <w:rPr>
          <w:szCs w:val="22"/>
        </w:rPr>
        <w:t xml:space="preserve">monitorovacia správa </w:t>
      </w:r>
      <w:r w:rsidRPr="00EC1DBA">
        <w:rPr>
          <w:szCs w:val="22"/>
        </w:rPr>
        <w:t>a</w:t>
      </w:r>
      <w:r w:rsidR="006C0A14" w:rsidRPr="00EC1DBA">
        <w:rPr>
          <w:szCs w:val="22"/>
        </w:rPr>
        <w:t>lebo záverečná</w:t>
      </w:r>
      <w:r w:rsidR="00203490">
        <w:rPr>
          <w:szCs w:val="22"/>
        </w:rPr>
        <w:t xml:space="preserve"> monitorovacia správa projektu</w:t>
      </w:r>
      <w:r w:rsidR="006E08CD" w:rsidRPr="00EC1DBA">
        <w:rPr>
          <w:szCs w:val="22"/>
        </w:rPr>
        <w:t xml:space="preserve">, pričom prijímateľ v závislosti </w:t>
      </w:r>
      <w:r w:rsidR="006756CA" w:rsidRPr="00EC1DBA">
        <w:rPr>
          <w:szCs w:val="22"/>
        </w:rPr>
        <w:t xml:space="preserve">od </w:t>
      </w:r>
      <w:r w:rsidR="006E08CD" w:rsidRPr="00EC1DBA">
        <w:rPr>
          <w:szCs w:val="22"/>
        </w:rPr>
        <w:t>toho, o akú monitorovaciu správu ide</w:t>
      </w:r>
      <w:r w:rsidR="00203490">
        <w:rPr>
          <w:szCs w:val="22"/>
        </w:rPr>
        <w:t>,</w:t>
      </w:r>
      <w:r w:rsidR="00E95BDC" w:rsidRPr="00EC1DBA">
        <w:rPr>
          <w:szCs w:val="22"/>
        </w:rPr>
        <w:t xml:space="preserve"> </w:t>
      </w:r>
      <w:r w:rsidR="00233238" w:rsidRPr="00EC1DBA">
        <w:rPr>
          <w:szCs w:val="22"/>
        </w:rPr>
        <w:t xml:space="preserve">vyberie relevantný </w:t>
      </w:r>
      <w:r w:rsidR="00203490">
        <w:rPr>
          <w:szCs w:val="22"/>
        </w:rPr>
        <w:t>typ</w:t>
      </w:r>
      <w:r w:rsidR="00203490" w:rsidRPr="00EC1DBA">
        <w:rPr>
          <w:szCs w:val="22"/>
        </w:rPr>
        <w:t xml:space="preserve"> </w:t>
      </w:r>
      <w:r w:rsidR="00233238" w:rsidRPr="00EC1DBA">
        <w:rPr>
          <w:szCs w:val="22"/>
        </w:rPr>
        <w:t>monitorovacej správy</w:t>
      </w:r>
      <w:r w:rsidRPr="00EC1DBA">
        <w:rPr>
          <w:szCs w:val="22"/>
        </w:rPr>
        <w:t xml:space="preserve">. V záujme zníženia </w:t>
      </w:r>
      <w:r w:rsidR="001836AB" w:rsidRPr="00EC1DBA">
        <w:rPr>
          <w:szCs w:val="22"/>
        </w:rPr>
        <w:t>administratívnej</w:t>
      </w:r>
      <w:r w:rsidRPr="00EC1DBA">
        <w:rPr>
          <w:szCs w:val="22"/>
        </w:rPr>
        <w:t xml:space="preserve"> záťaže je výročná monitorovacia správa projektu vypracovávaná v ročnej periodicite, pričom priebežné monitorovanie počas roka je zabezpečené </w:t>
      </w:r>
      <w:r w:rsidR="00087D39" w:rsidRPr="00EC1DBA">
        <w:rPr>
          <w:szCs w:val="22"/>
        </w:rPr>
        <w:t xml:space="preserve">najmä </w:t>
      </w:r>
      <w:r w:rsidRPr="00EC1DBA">
        <w:rPr>
          <w:szCs w:val="22"/>
        </w:rPr>
        <w:t>cez monitorovanie projektu vo</w:t>
      </w:r>
      <w:r w:rsidR="000F53EC">
        <w:rPr>
          <w:szCs w:val="22"/>
        </w:rPr>
        <w:t> </w:t>
      </w:r>
      <w:r w:rsidRPr="00EC1DBA">
        <w:rPr>
          <w:szCs w:val="22"/>
        </w:rPr>
        <w:t xml:space="preserve">vzťahu k žiadosti o platbu </w:t>
      </w:r>
      <w:r w:rsidR="005B36F4" w:rsidRPr="00EC1DBA">
        <w:rPr>
          <w:szCs w:val="22"/>
        </w:rPr>
        <w:t>(</w:t>
      </w:r>
      <w:r w:rsidRPr="00EC1DBA">
        <w:rPr>
          <w:szCs w:val="22"/>
        </w:rPr>
        <w:t>vi</w:t>
      </w:r>
      <w:r w:rsidR="00432FD3" w:rsidRPr="00EC1DBA">
        <w:rPr>
          <w:szCs w:val="22"/>
        </w:rPr>
        <w:t>ď kapitola</w:t>
      </w:r>
      <w:r w:rsidRPr="00EC1DBA">
        <w:rPr>
          <w:szCs w:val="22"/>
        </w:rPr>
        <w:t xml:space="preserve"> 3</w:t>
      </w:r>
      <w:r w:rsidR="005B36F4" w:rsidRPr="00EC1DBA">
        <w:rPr>
          <w:szCs w:val="22"/>
        </w:rPr>
        <w:t>)</w:t>
      </w:r>
      <w:r w:rsidRPr="00EC1DBA">
        <w:rPr>
          <w:szCs w:val="22"/>
        </w:rPr>
        <w:t>. Zároveň bol stanovený jednotný termín vypracovania výročnej monitorovacej správy tak</w:t>
      </w:r>
      <w:r w:rsidR="000F53EC">
        <w:rPr>
          <w:szCs w:val="22"/>
        </w:rPr>
        <w:t>,</w:t>
      </w:r>
      <w:r w:rsidRPr="00EC1DBA">
        <w:rPr>
          <w:szCs w:val="22"/>
        </w:rPr>
        <w:t xml:space="preserve"> aby obsahovala </w:t>
      </w:r>
      <w:r w:rsidR="000F53EC">
        <w:rPr>
          <w:szCs w:val="22"/>
        </w:rPr>
        <w:t xml:space="preserve">požadované </w:t>
      </w:r>
      <w:r w:rsidRPr="00EC1DBA">
        <w:rPr>
          <w:szCs w:val="22"/>
        </w:rPr>
        <w:t xml:space="preserve">údaje </w:t>
      </w:r>
      <w:r w:rsidRPr="00EC1DBA">
        <w:rPr>
          <w:szCs w:val="22"/>
        </w:rPr>
        <w:lastRenderedPageBreak/>
        <w:t>a reflektovala stav projektu k 31.12. roku n</w:t>
      </w:r>
      <w:r w:rsidR="000F53EC">
        <w:rPr>
          <w:szCs w:val="22"/>
        </w:rPr>
        <w:t>;</w:t>
      </w:r>
      <w:r w:rsidRPr="00EC1DBA">
        <w:rPr>
          <w:szCs w:val="22"/>
        </w:rPr>
        <w:t xml:space="preserve"> </w:t>
      </w:r>
      <w:r w:rsidR="000F53EC">
        <w:rPr>
          <w:szCs w:val="22"/>
        </w:rPr>
        <w:t>uvedený t</w:t>
      </w:r>
      <w:r w:rsidRPr="00EC1DBA">
        <w:rPr>
          <w:szCs w:val="22"/>
        </w:rPr>
        <w:t>ermín je stanovený aj s ohľadom na</w:t>
      </w:r>
      <w:r w:rsidR="000F53EC">
        <w:rPr>
          <w:szCs w:val="22"/>
        </w:rPr>
        <w:t> </w:t>
      </w:r>
      <w:r w:rsidRPr="00EC1DBA">
        <w:rPr>
          <w:szCs w:val="22"/>
        </w:rPr>
        <w:t xml:space="preserve">získavanie </w:t>
      </w:r>
      <w:r w:rsidR="000F53EC">
        <w:rPr>
          <w:szCs w:val="22"/>
        </w:rPr>
        <w:t>údajov</w:t>
      </w:r>
      <w:r w:rsidR="000F53EC" w:rsidRPr="00EC1DBA">
        <w:rPr>
          <w:szCs w:val="22"/>
        </w:rPr>
        <w:t xml:space="preserve"> </w:t>
      </w:r>
      <w:r w:rsidRPr="00EC1DBA">
        <w:rPr>
          <w:szCs w:val="22"/>
        </w:rPr>
        <w:t xml:space="preserve">potrebných k monitorovaniu a hodnoteniu EŠIF (napr. </w:t>
      </w:r>
      <w:r w:rsidR="002A65AC" w:rsidRPr="00EC1DBA">
        <w:rPr>
          <w:szCs w:val="22"/>
        </w:rPr>
        <w:t xml:space="preserve">Informácia </w:t>
      </w:r>
      <w:r w:rsidRPr="00EC1DBA">
        <w:rPr>
          <w:szCs w:val="22"/>
        </w:rPr>
        <w:t>o</w:t>
      </w:r>
      <w:r w:rsidR="000F53EC">
        <w:rPr>
          <w:szCs w:val="22"/>
        </w:rPr>
        <w:t> </w:t>
      </w:r>
      <w:r w:rsidRPr="00EC1DBA">
        <w:rPr>
          <w:szCs w:val="22"/>
        </w:rPr>
        <w:t>stave implementácie EŠIF, Výročná správa/záverečná správa o vykonávaní operačného programu</w:t>
      </w:r>
      <w:r w:rsidR="00BD23ED">
        <w:rPr>
          <w:szCs w:val="22"/>
        </w:rPr>
        <w:t>, Záväzný plán OP</w:t>
      </w:r>
      <w:r w:rsidRPr="00EC1DBA">
        <w:rPr>
          <w:szCs w:val="22"/>
        </w:rPr>
        <w:t>).</w:t>
      </w:r>
    </w:p>
    <w:p w14:paraId="0B21FF13" w14:textId="426CB04E" w:rsidR="00771FDD" w:rsidRPr="00F16E8E" w:rsidRDefault="009D4F7D" w:rsidP="00EB064A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szCs w:val="22"/>
        </w:rPr>
      </w:pPr>
      <w:r w:rsidRPr="00EC1DBA">
        <w:rPr>
          <w:szCs w:val="22"/>
        </w:rPr>
        <w:t xml:space="preserve">Monitorované obdobie v rámci prvej </w:t>
      </w:r>
      <w:r w:rsidR="00E33C90">
        <w:rPr>
          <w:szCs w:val="22"/>
        </w:rPr>
        <w:t xml:space="preserve">výročnej </w:t>
      </w:r>
      <w:r w:rsidRPr="00EC1DBA">
        <w:rPr>
          <w:szCs w:val="22"/>
        </w:rPr>
        <w:t xml:space="preserve">monitorovacej správy </w:t>
      </w:r>
      <w:r w:rsidR="00E33C90">
        <w:rPr>
          <w:szCs w:val="22"/>
        </w:rPr>
        <w:t xml:space="preserve">projektu </w:t>
      </w:r>
      <w:r w:rsidRPr="00EC1DBA">
        <w:rPr>
          <w:szCs w:val="22"/>
        </w:rPr>
        <w:t>je obdobie od</w:t>
      </w:r>
      <w:r w:rsidR="00011232">
        <w:rPr>
          <w:szCs w:val="22"/>
        </w:rPr>
        <w:t> </w:t>
      </w:r>
      <w:r w:rsidR="000F53EC">
        <w:rPr>
          <w:szCs w:val="22"/>
        </w:rPr>
        <w:t xml:space="preserve">nadobudnutia </w:t>
      </w:r>
      <w:r w:rsidRPr="00EC1DBA">
        <w:rPr>
          <w:szCs w:val="22"/>
        </w:rPr>
        <w:t xml:space="preserve">účinnosti </w:t>
      </w:r>
      <w:r w:rsidR="00326486">
        <w:rPr>
          <w:szCs w:val="22"/>
        </w:rPr>
        <w:t>z</w:t>
      </w:r>
      <w:r w:rsidRPr="00EC1DBA">
        <w:rPr>
          <w:szCs w:val="22"/>
        </w:rPr>
        <w:t>mluvy o NFP do 31.12.</w:t>
      </w:r>
      <w:r w:rsidR="00F16E8E">
        <w:rPr>
          <w:szCs w:val="22"/>
        </w:rPr>
        <w:t xml:space="preserve"> </w:t>
      </w:r>
      <w:r w:rsidRPr="00F16E8E">
        <w:rPr>
          <w:szCs w:val="22"/>
        </w:rPr>
        <w:t>roku</w:t>
      </w:r>
      <w:r w:rsidR="00CB530A" w:rsidRPr="00F16E8E">
        <w:rPr>
          <w:szCs w:val="22"/>
        </w:rPr>
        <w:t xml:space="preserve">, </w:t>
      </w:r>
      <w:r w:rsidR="0043204C" w:rsidRPr="0043204C">
        <w:rPr>
          <w:szCs w:val="22"/>
        </w:rPr>
        <w:t>v ktorom nadobudla zmluva o NFP účinnosť (ak re</w:t>
      </w:r>
      <w:r w:rsidR="0043204C">
        <w:rPr>
          <w:szCs w:val="22"/>
        </w:rPr>
        <w:t>alizácia hlavných aktivít proje</w:t>
      </w:r>
      <w:r w:rsidR="0043204C" w:rsidRPr="0043204C">
        <w:rPr>
          <w:szCs w:val="22"/>
        </w:rPr>
        <w:t>k</w:t>
      </w:r>
      <w:r w:rsidR="0043204C">
        <w:rPr>
          <w:szCs w:val="22"/>
        </w:rPr>
        <w:t>t</w:t>
      </w:r>
      <w:r w:rsidR="0043204C" w:rsidRPr="0043204C">
        <w:rPr>
          <w:szCs w:val="22"/>
        </w:rPr>
        <w:t>u začala v rovnakom roku</w:t>
      </w:r>
      <w:r w:rsidR="000304E8" w:rsidRPr="000304E8">
        <w:rPr>
          <w:color w:val="FF0000"/>
        </w:rPr>
        <w:t xml:space="preserve"> </w:t>
      </w:r>
      <w:r w:rsidR="000304E8" w:rsidRPr="00237ABF">
        <w:rPr>
          <w:szCs w:val="22"/>
        </w:rPr>
        <w:t>a po nadobudnutí účinnosti zmluvy o NFP</w:t>
      </w:r>
      <w:r w:rsidR="00A32E75">
        <w:rPr>
          <w:szCs w:val="22"/>
        </w:rPr>
        <w:t>)</w:t>
      </w:r>
      <w:r w:rsidR="0043204C" w:rsidRPr="0043204C">
        <w:rPr>
          <w:szCs w:val="22"/>
        </w:rPr>
        <w:t xml:space="preserve"> alebo v ktorom začal prijímateľ realizovať hlavné aktivity projektu (ak realizácie hlavných aktivít projektu začala </w:t>
      </w:r>
      <w:r w:rsidR="0043204C">
        <w:rPr>
          <w:szCs w:val="22"/>
        </w:rPr>
        <w:t xml:space="preserve">v roku </w:t>
      </w:r>
      <w:r w:rsidR="00A32E75">
        <w:rPr>
          <w:szCs w:val="22"/>
        </w:rPr>
        <w:t>p</w:t>
      </w:r>
      <w:r w:rsidR="000304E8">
        <w:rPr>
          <w:szCs w:val="22"/>
        </w:rPr>
        <w:t>o roku</w:t>
      </w:r>
      <w:r w:rsidR="0043204C">
        <w:rPr>
          <w:szCs w:val="22"/>
        </w:rPr>
        <w:t> </w:t>
      </w:r>
      <w:r w:rsidR="0043204C" w:rsidRPr="0043204C">
        <w:rPr>
          <w:szCs w:val="22"/>
        </w:rPr>
        <w:t>nadobudnut</w:t>
      </w:r>
      <w:r w:rsidR="000304E8">
        <w:rPr>
          <w:szCs w:val="22"/>
        </w:rPr>
        <w:t>ia</w:t>
      </w:r>
      <w:r w:rsidR="0043204C" w:rsidRPr="0043204C">
        <w:rPr>
          <w:szCs w:val="22"/>
        </w:rPr>
        <w:t xml:space="preserve"> účinnosti zmluvy o</w:t>
      </w:r>
      <w:r w:rsidR="00D71CD6">
        <w:rPr>
          <w:szCs w:val="22"/>
        </w:rPr>
        <w:t> </w:t>
      </w:r>
      <w:r w:rsidR="0043204C" w:rsidRPr="0043204C">
        <w:rPr>
          <w:szCs w:val="22"/>
        </w:rPr>
        <w:t>NFP</w:t>
      </w:r>
      <w:r w:rsidR="00D71CD6">
        <w:rPr>
          <w:szCs w:val="22"/>
        </w:rPr>
        <w:t>)</w:t>
      </w:r>
      <w:r w:rsidRPr="00F16E8E">
        <w:rPr>
          <w:szCs w:val="22"/>
        </w:rPr>
        <w:t>.</w:t>
      </w:r>
      <w:r w:rsidR="00951670" w:rsidRPr="00F16E8E">
        <w:rPr>
          <w:szCs w:val="22"/>
        </w:rPr>
        <w:t xml:space="preserve"> </w:t>
      </w:r>
      <w:r w:rsidR="000304E8" w:rsidRPr="000304E8">
        <w:rPr>
          <w:szCs w:val="22"/>
        </w:rPr>
        <w:t>Ak realizácia hlavných aktivít projektu začala pred nadobudnutím účinnosti zmluvy o NFP, monitorovaným obdobím prvej výročnej monitorovacej správy je obdobie od začiatku realizácie hlavných aktivít projektu do 31.12. roku, v ktorom nadobudla zmluva o NFP účinnosť</w:t>
      </w:r>
      <w:r w:rsidR="000304E8">
        <w:rPr>
          <w:rStyle w:val="Odkaznapoznmkupodiarou"/>
          <w:szCs w:val="22"/>
        </w:rPr>
        <w:footnoteReference w:id="5"/>
      </w:r>
      <w:r w:rsidR="000304E8" w:rsidRPr="000304E8">
        <w:rPr>
          <w:szCs w:val="22"/>
        </w:rPr>
        <w:t xml:space="preserve">. </w:t>
      </w:r>
      <w:r w:rsidR="00951670" w:rsidRPr="00F16E8E">
        <w:rPr>
          <w:szCs w:val="22"/>
        </w:rPr>
        <w:t>Monitorova</w:t>
      </w:r>
      <w:r w:rsidR="005B7EBF" w:rsidRPr="00F16E8E">
        <w:rPr>
          <w:szCs w:val="22"/>
        </w:rPr>
        <w:t>né</w:t>
      </w:r>
      <w:r w:rsidR="00951670" w:rsidRPr="00F16E8E">
        <w:rPr>
          <w:szCs w:val="22"/>
        </w:rPr>
        <w:t xml:space="preserve"> obdobie každej ďalšej výročnej monitorovacej správy je stanovené od 1.</w:t>
      </w:r>
      <w:r w:rsidR="000F5787" w:rsidRPr="00F16E8E">
        <w:rPr>
          <w:szCs w:val="22"/>
        </w:rPr>
        <w:t>1. roku n+1 do 31.12. roku n+1. Prijímateľ má povinnosť predložiť výročnú monitorovaciu správu do 31. januára roku nasledujúceho po</w:t>
      </w:r>
      <w:r w:rsidR="002A65AC" w:rsidRPr="00F16E8E">
        <w:rPr>
          <w:szCs w:val="22"/>
        </w:rPr>
        <w:t> </w:t>
      </w:r>
      <w:r w:rsidR="000F5787" w:rsidRPr="00F16E8E">
        <w:rPr>
          <w:szCs w:val="22"/>
        </w:rPr>
        <w:t>monitorovanom období (napr. monitorovaciu správu za obdobie od 1.1.2015 do</w:t>
      </w:r>
      <w:r w:rsidR="002A65AC" w:rsidRPr="00F16E8E">
        <w:rPr>
          <w:szCs w:val="22"/>
        </w:rPr>
        <w:t> </w:t>
      </w:r>
      <w:r w:rsidR="000F5787" w:rsidRPr="00F16E8E">
        <w:rPr>
          <w:szCs w:val="22"/>
        </w:rPr>
        <w:t xml:space="preserve">31.12.2015 je prijímateľ povinný predložiť najneskôr do 31. januára 2016). </w:t>
      </w:r>
      <w:r w:rsidR="005B7EBF" w:rsidRPr="00F16E8E">
        <w:rPr>
          <w:szCs w:val="22"/>
        </w:rPr>
        <w:t xml:space="preserve">Počet výročných monitorovacích správ je závislý od dĺžky realizácie </w:t>
      </w:r>
      <w:r w:rsidR="00F569B2" w:rsidRPr="00F16E8E">
        <w:rPr>
          <w:szCs w:val="22"/>
        </w:rPr>
        <w:t xml:space="preserve">aktivít </w:t>
      </w:r>
      <w:r w:rsidR="005B7EBF" w:rsidRPr="00F16E8E">
        <w:rPr>
          <w:szCs w:val="22"/>
        </w:rPr>
        <w:t xml:space="preserve">projektu. </w:t>
      </w:r>
      <w:r w:rsidR="00D001AC" w:rsidRPr="00F16E8E">
        <w:rPr>
          <w:szCs w:val="22"/>
        </w:rPr>
        <w:t xml:space="preserve"> </w:t>
      </w:r>
    </w:p>
    <w:p w14:paraId="3243385F" w14:textId="5E1A1EB6" w:rsidR="009D4F7D" w:rsidRPr="000D77A6" w:rsidRDefault="00771FDD" w:rsidP="000D77A6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szCs w:val="22"/>
        </w:rPr>
      </w:pPr>
      <w:r w:rsidRPr="000D77A6">
        <w:rPr>
          <w:szCs w:val="22"/>
        </w:rPr>
        <w:t xml:space="preserve">Záverečná </w:t>
      </w:r>
      <w:r w:rsidR="006B33CC" w:rsidRPr="000D77A6">
        <w:rPr>
          <w:szCs w:val="22"/>
        </w:rPr>
        <w:t>monitorovacia správa proj</w:t>
      </w:r>
      <w:r w:rsidR="00F80C9A" w:rsidRPr="000D77A6">
        <w:rPr>
          <w:szCs w:val="22"/>
        </w:rPr>
        <w:t>e</w:t>
      </w:r>
      <w:r w:rsidR="006B33CC" w:rsidRPr="000D77A6">
        <w:rPr>
          <w:szCs w:val="22"/>
        </w:rPr>
        <w:t>k</w:t>
      </w:r>
      <w:r w:rsidR="00F80C9A" w:rsidRPr="000D77A6">
        <w:rPr>
          <w:szCs w:val="22"/>
        </w:rPr>
        <w:t>tu</w:t>
      </w:r>
      <w:r w:rsidR="006B33CC" w:rsidRPr="000D77A6">
        <w:rPr>
          <w:szCs w:val="22"/>
        </w:rPr>
        <w:t xml:space="preserve"> </w:t>
      </w:r>
      <w:r w:rsidR="00326486">
        <w:rPr>
          <w:szCs w:val="22"/>
        </w:rPr>
        <w:t>zahŕňa</w:t>
      </w:r>
      <w:r w:rsidR="00326486" w:rsidRPr="000D77A6">
        <w:rPr>
          <w:szCs w:val="22"/>
        </w:rPr>
        <w:t xml:space="preserve"> </w:t>
      </w:r>
      <w:r w:rsidR="006B33CC" w:rsidRPr="000D77A6">
        <w:rPr>
          <w:szCs w:val="22"/>
        </w:rPr>
        <w:t xml:space="preserve">monitorované obdobie od </w:t>
      </w:r>
      <w:r w:rsidR="00326486">
        <w:rPr>
          <w:szCs w:val="22"/>
        </w:rPr>
        <w:t xml:space="preserve">nadobudnutia </w:t>
      </w:r>
      <w:r w:rsidR="00B214E8">
        <w:rPr>
          <w:szCs w:val="22"/>
        </w:rPr>
        <w:t xml:space="preserve">účinnosti </w:t>
      </w:r>
      <w:r w:rsidR="00326486">
        <w:rPr>
          <w:szCs w:val="22"/>
        </w:rPr>
        <w:t>z</w:t>
      </w:r>
      <w:r w:rsidR="00B214E8">
        <w:rPr>
          <w:szCs w:val="22"/>
        </w:rPr>
        <w:t>mluvy o</w:t>
      </w:r>
      <w:r w:rsidR="00011232">
        <w:rPr>
          <w:szCs w:val="22"/>
        </w:rPr>
        <w:t xml:space="preserve"> </w:t>
      </w:r>
      <w:r w:rsidR="00B214E8">
        <w:rPr>
          <w:szCs w:val="22"/>
        </w:rPr>
        <w:t xml:space="preserve">NFP </w:t>
      </w:r>
      <w:r w:rsidR="00F06844">
        <w:rPr>
          <w:szCs w:val="22"/>
        </w:rPr>
        <w:t>(</w:t>
      </w:r>
      <w:r w:rsidR="00F06844">
        <w:t xml:space="preserve">resp. od začatia </w:t>
      </w:r>
      <w:r w:rsidR="00FB1B10">
        <w:t xml:space="preserve">realizácie </w:t>
      </w:r>
      <w:r w:rsidR="00F06844">
        <w:t xml:space="preserve">hlavných aktivít projektu pred nadobudnutím účinnosti zmluvy o NFP v zmysle predchádzajúceho odseku) </w:t>
      </w:r>
      <w:r w:rsidR="00B214E8">
        <w:rPr>
          <w:szCs w:val="22"/>
        </w:rPr>
        <w:t xml:space="preserve">do </w:t>
      </w:r>
      <w:r w:rsidR="006B33CC" w:rsidRPr="000D77A6">
        <w:rPr>
          <w:szCs w:val="22"/>
        </w:rPr>
        <w:t xml:space="preserve">momentu </w:t>
      </w:r>
      <w:r w:rsidR="00B214E8">
        <w:rPr>
          <w:szCs w:val="22"/>
        </w:rPr>
        <w:t>ukončenia realizácie aktivít projektu</w:t>
      </w:r>
      <w:r w:rsidR="0077707A" w:rsidRPr="000D77A6">
        <w:rPr>
          <w:szCs w:val="22"/>
        </w:rPr>
        <w:t>, pričom prijímateľ má povinnosť predložiť túto záverečnú monitorovaciu správu do 30 pracovných dní odo dňa ukončenia aktivít projektu</w:t>
      </w:r>
      <w:r w:rsidR="003B796C">
        <w:rPr>
          <w:szCs w:val="22"/>
        </w:rPr>
        <w:t xml:space="preserve"> (resp. vo výnimočných prípadoch, ak sú aktivity ukončené pred</w:t>
      </w:r>
      <w:r w:rsidR="00C61D87">
        <w:rPr>
          <w:szCs w:val="22"/>
        </w:rPr>
        <w:t> </w:t>
      </w:r>
      <w:r w:rsidR="003B796C">
        <w:rPr>
          <w:szCs w:val="22"/>
        </w:rPr>
        <w:t xml:space="preserve">nadobudnutím účinnosti </w:t>
      </w:r>
      <w:r w:rsidR="00BD23ED">
        <w:rPr>
          <w:szCs w:val="22"/>
        </w:rPr>
        <w:t>z</w:t>
      </w:r>
      <w:r w:rsidR="003B796C">
        <w:rPr>
          <w:szCs w:val="22"/>
        </w:rPr>
        <w:t>mluvy o</w:t>
      </w:r>
      <w:r w:rsidR="00011232">
        <w:rPr>
          <w:szCs w:val="22"/>
        </w:rPr>
        <w:t xml:space="preserve"> </w:t>
      </w:r>
      <w:r w:rsidR="003B796C">
        <w:rPr>
          <w:szCs w:val="22"/>
        </w:rPr>
        <w:t>NFP</w:t>
      </w:r>
      <w:r w:rsidR="00011232">
        <w:rPr>
          <w:szCs w:val="22"/>
        </w:rPr>
        <w:t>,</w:t>
      </w:r>
      <w:r w:rsidR="003B796C">
        <w:rPr>
          <w:szCs w:val="22"/>
        </w:rPr>
        <w:t xml:space="preserve"> do 30 pracovných dní odo dňa nadobudnutia účinnosti </w:t>
      </w:r>
      <w:r w:rsidR="00BD23ED">
        <w:rPr>
          <w:szCs w:val="22"/>
        </w:rPr>
        <w:t>z</w:t>
      </w:r>
      <w:r w:rsidR="003B796C">
        <w:rPr>
          <w:szCs w:val="22"/>
        </w:rPr>
        <w:t>mluvy o</w:t>
      </w:r>
      <w:r w:rsidR="00011232">
        <w:rPr>
          <w:szCs w:val="22"/>
        </w:rPr>
        <w:t xml:space="preserve"> </w:t>
      </w:r>
      <w:r w:rsidR="003B796C">
        <w:rPr>
          <w:szCs w:val="22"/>
        </w:rPr>
        <w:t>NFP)</w:t>
      </w:r>
      <w:r w:rsidR="0077707A" w:rsidRPr="000D77A6">
        <w:rPr>
          <w:szCs w:val="22"/>
        </w:rPr>
        <w:t xml:space="preserve">. </w:t>
      </w:r>
      <w:r w:rsidR="003573AC">
        <w:rPr>
          <w:szCs w:val="22"/>
        </w:rPr>
        <w:t>Prijímateľ predkladá za monitorované obdobie posledného roku, v ktorom boli ukončené aktivity projektu</w:t>
      </w:r>
      <w:r w:rsidR="004732B6">
        <w:rPr>
          <w:szCs w:val="22"/>
        </w:rPr>
        <w:t>,</w:t>
      </w:r>
      <w:r w:rsidR="003573AC">
        <w:rPr>
          <w:szCs w:val="22"/>
        </w:rPr>
        <w:t xml:space="preserve"> </w:t>
      </w:r>
      <w:r w:rsidR="00C31B14">
        <w:rPr>
          <w:szCs w:val="22"/>
        </w:rPr>
        <w:t>iba monitorovaciu správu typu záverečná (monitorovacia správa typu výročná sa nepredkladá).</w:t>
      </w:r>
    </w:p>
    <w:p w14:paraId="57D65E64" w14:textId="1C95AAA9" w:rsidR="00A45F2D" w:rsidRDefault="00A45F2D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szCs w:val="22"/>
        </w:rPr>
      </w:pPr>
      <w:r>
        <w:rPr>
          <w:szCs w:val="22"/>
        </w:rPr>
        <w:t>RO je oprávnený stanoviť v riadiacej dokumentácii iný termín na predloženie monitorovacích správ, ako je uvedené vyššie.</w:t>
      </w:r>
    </w:p>
    <w:p w14:paraId="55EFFFEA" w14:textId="679E12F8" w:rsidR="00571126" w:rsidRPr="00511000" w:rsidRDefault="007C6B8B" w:rsidP="00511000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szCs w:val="22"/>
        </w:rPr>
      </w:pPr>
      <w:r w:rsidRPr="00511000">
        <w:rPr>
          <w:szCs w:val="22"/>
        </w:rPr>
        <w:t>RO môže vyžadovať od prijímateľa, aby k</w:t>
      </w:r>
      <w:r w:rsidR="00D9147E" w:rsidRPr="00511000">
        <w:rPr>
          <w:szCs w:val="22"/>
        </w:rPr>
        <w:t> monitorovacej správe projektu pripoji</w:t>
      </w:r>
      <w:r w:rsidRPr="00511000">
        <w:rPr>
          <w:szCs w:val="22"/>
        </w:rPr>
        <w:t>l</w:t>
      </w:r>
      <w:r w:rsidR="00D9147E" w:rsidRPr="00511000">
        <w:rPr>
          <w:szCs w:val="22"/>
        </w:rPr>
        <w:t xml:space="preserve"> </w:t>
      </w:r>
      <w:r w:rsidR="00326486" w:rsidRPr="00511000">
        <w:rPr>
          <w:szCs w:val="22"/>
        </w:rPr>
        <w:t xml:space="preserve">relevantnú dokumentáciu </w:t>
      </w:r>
      <w:r w:rsidR="00D9147E" w:rsidRPr="00511000">
        <w:rPr>
          <w:szCs w:val="22"/>
        </w:rPr>
        <w:t>podľa potreby (napr. fotodokumentáciu</w:t>
      </w:r>
      <w:r w:rsidR="00432FD3" w:rsidRPr="00511000">
        <w:rPr>
          <w:szCs w:val="22"/>
        </w:rPr>
        <w:t>, prezenčné listiny a pod.</w:t>
      </w:r>
      <w:r w:rsidR="00D9147E" w:rsidRPr="00511000">
        <w:rPr>
          <w:szCs w:val="22"/>
        </w:rPr>
        <w:t>)</w:t>
      </w:r>
      <w:r w:rsidR="00CD4A51" w:rsidRPr="00511000">
        <w:rPr>
          <w:szCs w:val="22"/>
        </w:rPr>
        <w:t xml:space="preserve">, </w:t>
      </w:r>
      <w:r w:rsidRPr="00511000">
        <w:rPr>
          <w:szCs w:val="22"/>
        </w:rPr>
        <w:t xml:space="preserve">aby vylúčil prípadné </w:t>
      </w:r>
      <w:r w:rsidR="005C0DC1" w:rsidRPr="00511000">
        <w:rPr>
          <w:szCs w:val="22"/>
        </w:rPr>
        <w:t>pochybnosti</w:t>
      </w:r>
      <w:r w:rsidR="00CD4A51" w:rsidRPr="00511000">
        <w:rPr>
          <w:szCs w:val="22"/>
        </w:rPr>
        <w:t xml:space="preserve"> pri preukazovaní skutočností vyplývajúcich z realizácie projektu</w:t>
      </w:r>
      <w:r w:rsidR="00D9147E" w:rsidRPr="00511000">
        <w:rPr>
          <w:szCs w:val="22"/>
        </w:rPr>
        <w:t xml:space="preserve">. </w:t>
      </w:r>
    </w:p>
    <w:p w14:paraId="733988D3" w14:textId="00255E3A" w:rsidR="00744A3A" w:rsidRPr="00744A3A" w:rsidRDefault="001E2A72" w:rsidP="00817207">
      <w:pPr>
        <w:pStyle w:val="MPCKO1"/>
      </w:pPr>
      <w:bookmarkStart w:id="18" w:name="_Toc446508528"/>
      <w:bookmarkStart w:id="19" w:name="_Toc511833288"/>
      <w:bookmarkStart w:id="20" w:name="_Toc67498798"/>
      <w:r>
        <w:lastRenderedPageBreak/>
        <w:t>6</w:t>
      </w:r>
      <w:r w:rsidR="00817207">
        <w:t xml:space="preserve"> </w:t>
      </w:r>
      <w:r w:rsidR="00CD3916">
        <w:t>Následná monitorovacia správa projektu</w:t>
      </w:r>
      <w:bookmarkEnd w:id="18"/>
      <w:bookmarkEnd w:id="19"/>
      <w:bookmarkEnd w:id="20"/>
      <w:r w:rsidR="00CD3916">
        <w:t xml:space="preserve"> </w:t>
      </w:r>
    </w:p>
    <w:p w14:paraId="0142F82C" w14:textId="79907EFA" w:rsidR="00BC70EF" w:rsidRPr="000D77A6" w:rsidRDefault="00BC70EF" w:rsidP="00B64525">
      <w:pPr>
        <w:numPr>
          <w:ilvl w:val="0"/>
          <w:numId w:val="20"/>
        </w:numPr>
        <w:spacing w:before="120" w:after="120"/>
        <w:ind w:left="425" w:hanging="425"/>
        <w:jc w:val="both"/>
        <w:rPr>
          <w:szCs w:val="22"/>
        </w:rPr>
      </w:pPr>
      <w:r w:rsidRPr="000D77A6">
        <w:rPr>
          <w:szCs w:val="22"/>
        </w:rPr>
        <w:t>Povinnosť vypracovať následnú monitorovaciu správu</w:t>
      </w:r>
      <w:r w:rsidR="00B64525">
        <w:rPr>
          <w:szCs w:val="22"/>
        </w:rPr>
        <w:t xml:space="preserve"> sa vzťahuje na projekty, v rámci ktorých existuje povinnosť udržateľnosti projektu (</w:t>
      </w:r>
      <w:r w:rsidRPr="000D77A6">
        <w:rPr>
          <w:szCs w:val="22"/>
        </w:rPr>
        <w:t xml:space="preserve">5 rokov od </w:t>
      </w:r>
      <w:r>
        <w:rPr>
          <w:szCs w:val="22"/>
        </w:rPr>
        <w:t xml:space="preserve">finančného </w:t>
      </w:r>
      <w:r w:rsidRPr="000D77A6">
        <w:rPr>
          <w:szCs w:val="22"/>
        </w:rPr>
        <w:t>ukončenia</w:t>
      </w:r>
      <w:r w:rsidR="004732B6">
        <w:rPr>
          <w:szCs w:val="22"/>
        </w:rPr>
        <w:t xml:space="preserve"> </w:t>
      </w:r>
      <w:r w:rsidRPr="000D77A6">
        <w:rPr>
          <w:szCs w:val="22"/>
        </w:rPr>
        <w:t>projektu, resp. 3 rok</w:t>
      </w:r>
      <w:r w:rsidR="003E189E">
        <w:rPr>
          <w:szCs w:val="22"/>
        </w:rPr>
        <w:t>y</w:t>
      </w:r>
      <w:r w:rsidRPr="000D77A6">
        <w:rPr>
          <w:szCs w:val="22"/>
        </w:rPr>
        <w:t xml:space="preserve"> v prípade malých a stredných podnikov alebo obdobie stanovené v</w:t>
      </w:r>
      <w:r w:rsidR="002A65AC">
        <w:rPr>
          <w:szCs w:val="22"/>
        </w:rPr>
        <w:t> </w:t>
      </w:r>
      <w:r w:rsidRPr="000D77A6">
        <w:rPr>
          <w:szCs w:val="22"/>
        </w:rPr>
        <w:t>pravidlách o štátnej pomoci</w:t>
      </w:r>
      <w:r w:rsidR="00B64525">
        <w:rPr>
          <w:szCs w:val="22"/>
        </w:rPr>
        <w:t>)</w:t>
      </w:r>
      <w:r w:rsidRPr="000D77A6">
        <w:rPr>
          <w:szCs w:val="22"/>
        </w:rPr>
        <w:t>.</w:t>
      </w:r>
      <w:r>
        <w:rPr>
          <w:szCs w:val="22"/>
        </w:rPr>
        <w:t xml:space="preserve"> V prípade projektov, ktoré nepredstavujú investíciu do</w:t>
      </w:r>
      <w:r w:rsidR="002A65AC">
        <w:rPr>
          <w:szCs w:val="22"/>
        </w:rPr>
        <w:t> </w:t>
      </w:r>
      <w:r>
        <w:rPr>
          <w:szCs w:val="22"/>
        </w:rPr>
        <w:t>infraštruktúry alebo investíciu do výroby</w:t>
      </w:r>
      <w:r w:rsidR="00861FB3">
        <w:rPr>
          <w:szCs w:val="22"/>
        </w:rPr>
        <w:t xml:space="preserve"> (najmä projekty podporované z</w:t>
      </w:r>
      <w:r w:rsidR="0033406E">
        <w:rPr>
          <w:szCs w:val="22"/>
        </w:rPr>
        <w:t> </w:t>
      </w:r>
      <w:r w:rsidR="00861FB3">
        <w:rPr>
          <w:szCs w:val="22"/>
        </w:rPr>
        <w:t>ESF</w:t>
      </w:r>
      <w:r w:rsidR="0033406E">
        <w:rPr>
          <w:szCs w:val="22"/>
        </w:rPr>
        <w:t>/IZM</w:t>
      </w:r>
      <w:r w:rsidR="00861FB3">
        <w:rPr>
          <w:szCs w:val="22"/>
        </w:rPr>
        <w:t xml:space="preserve"> a projekty technickej pomoci)</w:t>
      </w:r>
      <w:r>
        <w:rPr>
          <w:szCs w:val="22"/>
        </w:rPr>
        <w:t>, plynie udržateľnosť iba vtedy, keď tieto projekty podliehajú povinnosti zachovať investíciu podľa uplatniteľných pravidiel štátnej pomoci.</w:t>
      </w:r>
      <w:r w:rsidR="00AA73B0">
        <w:rPr>
          <w:szCs w:val="22"/>
        </w:rPr>
        <w:t xml:space="preserve"> </w:t>
      </w:r>
      <w:r w:rsidR="00101608">
        <w:t>RO požaduje predkladanie následnej monitorovacej správy projektu len v prípade ak sa na</w:t>
      </w:r>
      <w:r w:rsidR="00F16E8E">
        <w:t> </w:t>
      </w:r>
      <w:r w:rsidR="00101608">
        <w:t xml:space="preserve">projekt vzťahuje povinnosť udržateľnosti, alebo dosahovanie </w:t>
      </w:r>
      <w:r w:rsidR="0065258B">
        <w:t xml:space="preserve">požadovaných </w:t>
      </w:r>
      <w:r w:rsidR="00CD509D">
        <w:t xml:space="preserve">hodnôt merateľných </w:t>
      </w:r>
      <w:r w:rsidR="00101608">
        <w:t>ukazovateľov prebieha až po skončení projektu</w:t>
      </w:r>
      <w:r w:rsidR="00BF336F">
        <w:t xml:space="preserve"> (</w:t>
      </w:r>
      <w:r w:rsidR="00566F98">
        <w:t>v špecifických odôvodnených prípadoch je RO oprávnený rozhodnúť o predkladaní následnej monitorovacej správy aj pri</w:t>
      </w:r>
      <w:r w:rsidR="00CD509D">
        <w:t> </w:t>
      </w:r>
      <w:r w:rsidR="00566F98">
        <w:t xml:space="preserve">projektoch, na ktoré sa nevzťahuje povinnosť udržateľnosti, alebo sa nedosahujú </w:t>
      </w:r>
      <w:r w:rsidR="00CD509D">
        <w:t xml:space="preserve">hodnoty merateľných </w:t>
      </w:r>
      <w:r w:rsidR="00566F98">
        <w:t>ukazovate</w:t>
      </w:r>
      <w:r w:rsidR="00CD509D">
        <w:t>ľov</w:t>
      </w:r>
      <w:r w:rsidR="00566F98">
        <w:t xml:space="preserve"> až po skončení projektu)</w:t>
      </w:r>
      <w:r w:rsidR="00101608">
        <w:t xml:space="preserve">. </w:t>
      </w:r>
      <w:r w:rsidR="00B64525">
        <w:rPr>
          <w:szCs w:val="22"/>
        </w:rPr>
        <w:t xml:space="preserve">  </w:t>
      </w:r>
    </w:p>
    <w:p w14:paraId="01376AA8" w14:textId="4079BA35" w:rsidR="00BD53F1" w:rsidRPr="000D77A6" w:rsidRDefault="00BD53F1" w:rsidP="00BC70EF">
      <w:pPr>
        <w:numPr>
          <w:ilvl w:val="0"/>
          <w:numId w:val="20"/>
        </w:numPr>
        <w:spacing w:before="120" w:after="120"/>
        <w:ind w:left="425" w:hanging="425"/>
        <w:jc w:val="both"/>
        <w:rPr>
          <w:szCs w:val="22"/>
        </w:rPr>
      </w:pPr>
      <w:r w:rsidRPr="000D77A6">
        <w:rPr>
          <w:szCs w:val="22"/>
        </w:rPr>
        <w:t xml:space="preserve">Obdobie udržateľnosti projektu predstavuje časový úsek, v rámci ktorého je prijímateľ ktorý </w:t>
      </w:r>
      <w:r w:rsidR="00326486">
        <w:rPr>
          <w:szCs w:val="22"/>
        </w:rPr>
        <w:t>dosiahol určené</w:t>
      </w:r>
      <w:r w:rsidRPr="000D77A6">
        <w:rPr>
          <w:szCs w:val="22"/>
        </w:rPr>
        <w:t xml:space="preserve"> ciele projektu povinný zabezpečiť zachovanie účelu a podmienok realizácie projektu, na základe ktorých </w:t>
      </w:r>
      <w:r w:rsidR="00326486">
        <w:rPr>
          <w:szCs w:val="22"/>
        </w:rPr>
        <w:t xml:space="preserve">mu </w:t>
      </w:r>
      <w:r w:rsidRPr="000D77A6">
        <w:rPr>
          <w:szCs w:val="22"/>
        </w:rPr>
        <w:t>bol poskytnut</w:t>
      </w:r>
      <w:r w:rsidR="00154A74">
        <w:rPr>
          <w:szCs w:val="22"/>
        </w:rPr>
        <w:t>ý príspevok</w:t>
      </w:r>
      <w:r w:rsidRPr="000D77A6">
        <w:rPr>
          <w:szCs w:val="22"/>
        </w:rPr>
        <w:t>.</w:t>
      </w:r>
      <w:r w:rsidR="00EB5B0C">
        <w:rPr>
          <w:szCs w:val="22"/>
        </w:rPr>
        <w:t xml:space="preserve"> Ide najmä o udržanie výsledkov projektu </w:t>
      </w:r>
      <w:r w:rsidR="00EB5B0C" w:rsidRPr="00EB5B0C">
        <w:rPr>
          <w:szCs w:val="22"/>
        </w:rPr>
        <w:t>počas stanoveného obdobia</w:t>
      </w:r>
      <w:r w:rsidR="000E561D">
        <w:rPr>
          <w:szCs w:val="22"/>
        </w:rPr>
        <w:t>,</w:t>
      </w:r>
      <w:r w:rsidR="00EB5B0C" w:rsidRPr="00EB5B0C">
        <w:rPr>
          <w:szCs w:val="22"/>
        </w:rPr>
        <w:t xml:space="preserve"> ako aj </w:t>
      </w:r>
      <w:r w:rsidR="00A97CCD">
        <w:rPr>
          <w:szCs w:val="22"/>
        </w:rPr>
        <w:t xml:space="preserve">o </w:t>
      </w:r>
      <w:r w:rsidR="00EB5B0C" w:rsidRPr="00EB5B0C">
        <w:rPr>
          <w:szCs w:val="22"/>
        </w:rPr>
        <w:t xml:space="preserve">dodržanie ostatných podmienok vyplývajúcich z čl. 71 </w:t>
      </w:r>
      <w:r w:rsidR="002A65AC">
        <w:rPr>
          <w:szCs w:val="22"/>
        </w:rPr>
        <w:t>všeobecného nariadenia</w:t>
      </w:r>
      <w:r w:rsidR="00BE626F" w:rsidRPr="00BE626F">
        <w:t xml:space="preserve"> </w:t>
      </w:r>
      <w:r w:rsidR="00BE626F">
        <w:t>alebo z uplatniteľných pravidiel o štátnej pomoci</w:t>
      </w:r>
      <w:r w:rsidR="00BC70EF">
        <w:rPr>
          <w:szCs w:val="22"/>
        </w:rPr>
        <w:t>.</w:t>
      </w:r>
    </w:p>
    <w:p w14:paraId="46036B20" w14:textId="1807E913" w:rsidR="00BD53F1" w:rsidRPr="000D77A6" w:rsidRDefault="00BD53F1" w:rsidP="00BC70EF">
      <w:pPr>
        <w:numPr>
          <w:ilvl w:val="0"/>
          <w:numId w:val="20"/>
        </w:numPr>
        <w:spacing w:before="120" w:after="120"/>
        <w:ind w:left="425" w:hanging="425"/>
        <w:jc w:val="both"/>
        <w:rPr>
          <w:szCs w:val="22"/>
        </w:rPr>
      </w:pPr>
      <w:r w:rsidRPr="000D77A6">
        <w:rPr>
          <w:szCs w:val="22"/>
        </w:rPr>
        <w:t xml:space="preserve">Podrobné pravidlá pre stanovenie obdobia a podmienok udržateľnosti v závislosti </w:t>
      </w:r>
      <w:r w:rsidRPr="000D77A6">
        <w:rPr>
          <w:szCs w:val="22"/>
        </w:rPr>
        <w:br/>
        <w:t>od typu projektu, ako aj postup RO v prípade neplnenia povinnost</w:t>
      </w:r>
      <w:r w:rsidR="00C426E4">
        <w:rPr>
          <w:szCs w:val="22"/>
        </w:rPr>
        <w:t>í</w:t>
      </w:r>
      <w:r w:rsidRPr="000D77A6">
        <w:rPr>
          <w:szCs w:val="22"/>
        </w:rPr>
        <w:t xml:space="preserve"> prijímateľa spojených so zachovaním </w:t>
      </w:r>
      <w:r w:rsidR="003E189E">
        <w:rPr>
          <w:szCs w:val="22"/>
        </w:rPr>
        <w:t>účelu a podmienok realizácie</w:t>
      </w:r>
      <w:r w:rsidR="003E189E" w:rsidRPr="000D77A6">
        <w:rPr>
          <w:szCs w:val="22"/>
        </w:rPr>
        <w:t xml:space="preserve"> </w:t>
      </w:r>
      <w:r w:rsidRPr="000D77A6">
        <w:rPr>
          <w:szCs w:val="22"/>
        </w:rPr>
        <w:t>projektu</w:t>
      </w:r>
      <w:r w:rsidR="00AB25D8">
        <w:rPr>
          <w:szCs w:val="22"/>
        </w:rPr>
        <w:t xml:space="preserve"> upravuje </w:t>
      </w:r>
      <w:r w:rsidR="00BD23ED">
        <w:rPr>
          <w:szCs w:val="22"/>
        </w:rPr>
        <w:t>z</w:t>
      </w:r>
      <w:r w:rsidRPr="000D77A6">
        <w:rPr>
          <w:szCs w:val="22"/>
        </w:rPr>
        <w:t>mluv</w:t>
      </w:r>
      <w:r w:rsidR="00AB25D8">
        <w:rPr>
          <w:szCs w:val="22"/>
        </w:rPr>
        <w:t>a</w:t>
      </w:r>
      <w:r w:rsidRPr="000D77A6">
        <w:rPr>
          <w:szCs w:val="22"/>
        </w:rPr>
        <w:t xml:space="preserve"> o</w:t>
      </w:r>
      <w:r w:rsidR="00011232">
        <w:rPr>
          <w:szCs w:val="22"/>
        </w:rPr>
        <w:t xml:space="preserve"> </w:t>
      </w:r>
      <w:r w:rsidRPr="000D77A6">
        <w:rPr>
          <w:szCs w:val="22"/>
        </w:rPr>
        <w:t>NFP</w:t>
      </w:r>
      <w:r w:rsidR="003E189E">
        <w:rPr>
          <w:szCs w:val="22"/>
        </w:rPr>
        <w:t xml:space="preserve"> </w:t>
      </w:r>
      <w:r w:rsidR="00AB25D8">
        <w:rPr>
          <w:szCs w:val="22"/>
        </w:rPr>
        <w:t>a</w:t>
      </w:r>
      <w:r w:rsidR="006756C5">
        <w:rPr>
          <w:szCs w:val="22"/>
        </w:rPr>
        <w:t xml:space="preserve"> </w:t>
      </w:r>
      <w:r w:rsidRPr="000D77A6">
        <w:rPr>
          <w:szCs w:val="22"/>
        </w:rPr>
        <w:t xml:space="preserve">Metodický pokyn CKO </w:t>
      </w:r>
      <w:r w:rsidR="002A65AC">
        <w:rPr>
          <w:szCs w:val="22"/>
        </w:rPr>
        <w:t xml:space="preserve">č. 26 </w:t>
      </w:r>
      <w:hyperlink r:id="rId10" w:history="1">
        <w:r w:rsidR="002A65AC" w:rsidRPr="006D744B">
          <w:rPr>
            <w:szCs w:val="22"/>
          </w:rPr>
          <w:t>k postupom zmenového konania a monitorovaniu dodržania podmienok udržateľnosti projektu</w:t>
        </w:r>
      </w:hyperlink>
      <w:r w:rsidRPr="000D77A6">
        <w:rPr>
          <w:szCs w:val="22"/>
        </w:rPr>
        <w:t>.</w:t>
      </w:r>
    </w:p>
    <w:p w14:paraId="0C318387" w14:textId="7106265D" w:rsidR="00BD53F1" w:rsidRPr="000D77A6" w:rsidRDefault="00BD53F1" w:rsidP="00BC70EF">
      <w:pPr>
        <w:numPr>
          <w:ilvl w:val="0"/>
          <w:numId w:val="20"/>
        </w:numPr>
        <w:spacing w:before="120" w:after="120"/>
        <w:ind w:left="425" w:hanging="425"/>
        <w:jc w:val="both"/>
        <w:rPr>
          <w:szCs w:val="22"/>
        </w:rPr>
      </w:pPr>
      <w:r w:rsidRPr="000D77A6">
        <w:rPr>
          <w:szCs w:val="22"/>
        </w:rPr>
        <w:t>Následná monitorovacia správa predstavuje nástroj RO pre zber informáci</w:t>
      </w:r>
      <w:r w:rsidR="00154A74">
        <w:rPr>
          <w:szCs w:val="22"/>
        </w:rPr>
        <w:t>í</w:t>
      </w:r>
      <w:r w:rsidRPr="000D77A6">
        <w:rPr>
          <w:szCs w:val="22"/>
        </w:rPr>
        <w:t xml:space="preserve"> o projekte, na</w:t>
      </w:r>
      <w:r w:rsidR="002A65AC">
        <w:rPr>
          <w:szCs w:val="22"/>
        </w:rPr>
        <w:t> </w:t>
      </w:r>
      <w:r w:rsidRPr="000D77A6">
        <w:rPr>
          <w:szCs w:val="22"/>
        </w:rPr>
        <w:t xml:space="preserve">základe ktorých vyhodnocuje zachovanie účelu poskytnutia NFP ako aj údajov, ktoré agreguje a využíva na programovej úrovni pri vypracovaní výstupov monitorovania a hodnotenia programu. </w:t>
      </w:r>
      <w:r w:rsidR="00924E26" w:rsidRPr="000D77A6">
        <w:rPr>
          <w:szCs w:val="22"/>
        </w:rPr>
        <w:t xml:space="preserve">Rozsah údajov poskytovaných na úrovni prijímateľa je </w:t>
      </w:r>
      <w:r w:rsidR="00924E26">
        <w:rPr>
          <w:szCs w:val="22"/>
        </w:rPr>
        <w:t>zadefinovaný vo formulári v ITMS2014+</w:t>
      </w:r>
      <w:r w:rsidR="00924E26" w:rsidRPr="000D77A6">
        <w:rPr>
          <w:szCs w:val="22"/>
        </w:rPr>
        <w:t xml:space="preserve">. </w:t>
      </w:r>
      <w:r w:rsidR="00924E26">
        <w:rPr>
          <w:szCs w:val="22"/>
        </w:rPr>
        <w:t>Popis k vyplneniu monitorovacej správy projektu je uvedený vo vzore CKO č. 25</w:t>
      </w:r>
      <w:r w:rsidR="00924E26">
        <w:rPr>
          <w:rStyle w:val="Odkaznapoznmkupodiarou"/>
          <w:szCs w:val="22"/>
        </w:rPr>
        <w:footnoteReference w:id="6"/>
      </w:r>
    </w:p>
    <w:p w14:paraId="628F958D" w14:textId="02854098" w:rsidR="00104718" w:rsidRDefault="00BD53F1" w:rsidP="00031C8F">
      <w:pPr>
        <w:numPr>
          <w:ilvl w:val="0"/>
          <w:numId w:val="20"/>
        </w:numPr>
        <w:spacing w:before="120" w:after="120"/>
        <w:ind w:left="425" w:hanging="425"/>
        <w:jc w:val="both"/>
        <w:rPr>
          <w:szCs w:val="22"/>
        </w:rPr>
      </w:pPr>
      <w:r w:rsidRPr="000D77A6">
        <w:rPr>
          <w:szCs w:val="22"/>
        </w:rPr>
        <w:t xml:space="preserve">Následná monitorovacia správa sa predkladá </w:t>
      </w:r>
      <w:r w:rsidR="00031C8F" w:rsidRPr="00031C8F">
        <w:rPr>
          <w:szCs w:val="22"/>
        </w:rPr>
        <w:t>do 30 kalendárnych dní od uplynutia monitorovaného obdobia</w:t>
      </w:r>
      <w:r w:rsidR="0065258B">
        <w:rPr>
          <w:szCs w:val="22"/>
        </w:rPr>
        <w:t xml:space="preserve"> (RO je oprávnený stanoviť v riadiacej dokumentácii iný termín na predloženie Následnej monitorovacej správy)</w:t>
      </w:r>
      <w:r w:rsidRPr="000D77A6">
        <w:rPr>
          <w:szCs w:val="22"/>
        </w:rPr>
        <w:t>. Za prvé monitorované obdobie sa považuje obdobie od</w:t>
      </w:r>
      <w:r w:rsidR="002A65AC">
        <w:rPr>
          <w:szCs w:val="22"/>
        </w:rPr>
        <w:t> </w:t>
      </w:r>
      <w:r w:rsidRPr="000D77A6">
        <w:rPr>
          <w:szCs w:val="22"/>
        </w:rPr>
        <w:t xml:space="preserve">ukončenia </w:t>
      </w:r>
      <w:r w:rsidR="00E54612">
        <w:rPr>
          <w:szCs w:val="22"/>
        </w:rPr>
        <w:t xml:space="preserve">realizácie </w:t>
      </w:r>
      <w:r w:rsidRPr="000D77A6">
        <w:rPr>
          <w:szCs w:val="22"/>
        </w:rPr>
        <w:t>aktivít projektu (t.</w:t>
      </w:r>
      <w:r w:rsidR="002A65AC">
        <w:rPr>
          <w:szCs w:val="22"/>
        </w:rPr>
        <w:t xml:space="preserve"> </w:t>
      </w:r>
      <w:r w:rsidRPr="000D77A6">
        <w:rPr>
          <w:szCs w:val="22"/>
        </w:rPr>
        <w:t>j. deň nasledujúci po</w:t>
      </w:r>
      <w:r w:rsidR="0065258B">
        <w:rPr>
          <w:szCs w:val="22"/>
        </w:rPr>
        <w:t> </w:t>
      </w:r>
      <w:r w:rsidRPr="000D77A6">
        <w:rPr>
          <w:szCs w:val="22"/>
        </w:rPr>
        <w:t>poslednom dni monitorovaného obdobia záverečnej monitorovacej správy projektu) do</w:t>
      </w:r>
      <w:r w:rsidR="0087413F">
        <w:rPr>
          <w:szCs w:val="22"/>
        </w:rPr>
        <w:t> </w:t>
      </w:r>
      <w:r w:rsidRPr="000D77A6">
        <w:rPr>
          <w:szCs w:val="22"/>
        </w:rPr>
        <w:t>12 mesiacov odo</w:t>
      </w:r>
      <w:r w:rsidR="002A65AC">
        <w:rPr>
          <w:szCs w:val="22"/>
        </w:rPr>
        <w:t> </w:t>
      </w:r>
      <w:r w:rsidRPr="000D77A6">
        <w:rPr>
          <w:szCs w:val="22"/>
        </w:rPr>
        <w:t xml:space="preserve">dňa </w:t>
      </w:r>
      <w:r w:rsidR="0010495C">
        <w:rPr>
          <w:szCs w:val="22"/>
        </w:rPr>
        <w:t xml:space="preserve">finančného </w:t>
      </w:r>
      <w:r w:rsidRPr="000D77A6">
        <w:rPr>
          <w:szCs w:val="22"/>
        </w:rPr>
        <w:t>ukončenia projektu. Ďalšie následné monitorovacie správy sa predkladajú každých 12 mesiacov až do doby uplynutia obdobia udržateľnosti projektu.</w:t>
      </w:r>
      <w:r w:rsidR="002105EE">
        <w:rPr>
          <w:szCs w:val="22"/>
        </w:rPr>
        <w:t xml:space="preserve"> </w:t>
      </w:r>
    </w:p>
    <w:p w14:paraId="39693550" w14:textId="5B827F36" w:rsidR="00197127" w:rsidRPr="00197127" w:rsidRDefault="00197127" w:rsidP="0017616D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r w:rsidRPr="00A8395F">
        <w:rPr>
          <w:szCs w:val="22"/>
        </w:rPr>
        <w:t>RO môže vyžadovať od prijímateľa, aby k </w:t>
      </w:r>
      <w:r>
        <w:rPr>
          <w:szCs w:val="22"/>
        </w:rPr>
        <w:t>Násled</w:t>
      </w:r>
      <w:r w:rsidRPr="00A8395F">
        <w:rPr>
          <w:szCs w:val="22"/>
        </w:rPr>
        <w:t>nej monitorovacej správe projektu pripoji</w:t>
      </w:r>
      <w:r w:rsidRPr="00DE0DEB">
        <w:rPr>
          <w:szCs w:val="22"/>
        </w:rPr>
        <w:t xml:space="preserve">l relevantnú dokumentáciu podľa potreby (napr. </w:t>
      </w:r>
      <w:r w:rsidRPr="000D77A6">
        <w:rPr>
          <w:szCs w:val="22"/>
        </w:rPr>
        <w:t>preukázanie splnenia pravidiel publicity doložením fotodokumentácie z miesta umiestnenia stálej tabule</w:t>
      </w:r>
      <w:r>
        <w:rPr>
          <w:szCs w:val="22"/>
        </w:rPr>
        <w:t>,</w:t>
      </w:r>
      <w:r w:rsidRPr="00C57FE2">
        <w:rPr>
          <w:szCs w:val="22"/>
        </w:rPr>
        <w:t xml:space="preserve"> relevantné doklady preukazujúce </w:t>
      </w:r>
      <w:r>
        <w:rPr>
          <w:szCs w:val="22"/>
        </w:rPr>
        <w:t>dosiahnut</w:t>
      </w:r>
      <w:r w:rsidRPr="00C57FE2">
        <w:rPr>
          <w:szCs w:val="22"/>
        </w:rPr>
        <w:t>ie merateľných ukazovateľov,</w:t>
      </w:r>
      <w:r>
        <w:rPr>
          <w:szCs w:val="22"/>
        </w:rPr>
        <w:t xml:space="preserve"> poistné zmluvy a </w:t>
      </w:r>
      <w:r w:rsidRPr="00C57FE2">
        <w:rPr>
          <w:szCs w:val="22"/>
        </w:rPr>
        <w:t xml:space="preserve">doklady </w:t>
      </w:r>
      <w:r w:rsidRPr="00C57FE2">
        <w:rPr>
          <w:szCs w:val="22"/>
        </w:rPr>
        <w:lastRenderedPageBreak/>
        <w:t>preukazujúce úhradu poistného, doklady pre</w:t>
      </w:r>
      <w:r>
        <w:rPr>
          <w:szCs w:val="22"/>
        </w:rPr>
        <w:t>ukazujúce skutočnosti týkajúce</w:t>
      </w:r>
      <w:r w:rsidRPr="00C57FE2">
        <w:rPr>
          <w:szCs w:val="22"/>
        </w:rPr>
        <w:t xml:space="preserve"> sa čistého príjmu v prípade projektov generujúcich príjmy</w:t>
      </w:r>
      <w:r>
        <w:rPr>
          <w:szCs w:val="22"/>
        </w:rPr>
        <w:t>, kolaudačné rozhodnutie, rozhodnutie o uvedení stavby do riadneho užívania</w:t>
      </w:r>
      <w:r w:rsidRPr="00C57FE2">
        <w:rPr>
          <w:szCs w:val="22"/>
        </w:rPr>
        <w:t xml:space="preserve"> a pod.)</w:t>
      </w:r>
      <w:r w:rsidRPr="00A8395F">
        <w:rPr>
          <w:szCs w:val="22"/>
        </w:rPr>
        <w:t>.</w:t>
      </w:r>
    </w:p>
    <w:p w14:paraId="142F17E8" w14:textId="77777777" w:rsidR="000167BC" w:rsidRPr="00744A3A" w:rsidRDefault="000167BC" w:rsidP="00A13C9B">
      <w:pPr>
        <w:pStyle w:val="MPCKO1"/>
        <w:jc w:val="both"/>
      </w:pPr>
      <w:bookmarkStart w:id="21" w:name="_Toc511833289"/>
      <w:bookmarkStart w:id="22" w:name="_Toc67498799"/>
      <w:bookmarkEnd w:id="8"/>
      <w:bookmarkEnd w:id="9"/>
      <w:r>
        <w:t>7 Osobitné postupy monitorovania projektov v programoch cezhraničnej spolupráce</w:t>
      </w:r>
      <w:bookmarkEnd w:id="21"/>
      <w:bookmarkEnd w:id="22"/>
    </w:p>
    <w:p w14:paraId="6DB4CA96" w14:textId="20BB741C" w:rsidR="00F02AD4" w:rsidRDefault="000167BC" w:rsidP="00E77971">
      <w:pPr>
        <w:numPr>
          <w:ilvl w:val="0"/>
          <w:numId w:val="28"/>
        </w:numPr>
        <w:spacing w:before="120" w:after="120"/>
        <w:ind w:left="426" w:hanging="426"/>
        <w:jc w:val="both"/>
        <w:rPr>
          <w:szCs w:val="22"/>
        </w:rPr>
      </w:pPr>
      <w:r w:rsidRPr="000167BC">
        <w:rPr>
          <w:szCs w:val="22"/>
        </w:rPr>
        <w:t xml:space="preserve">V programoch cezhraničnej spolupráce </w:t>
      </w:r>
      <w:r w:rsidR="00935296">
        <w:rPr>
          <w:szCs w:val="22"/>
        </w:rPr>
        <w:t xml:space="preserve">(ďalej len „PCS“) </w:t>
      </w:r>
      <w:r w:rsidRPr="000167BC">
        <w:rPr>
          <w:szCs w:val="22"/>
        </w:rPr>
        <w:t>sa monitorovanie projektov realizuje v súlade s kapitolami 1, 2</w:t>
      </w:r>
      <w:r w:rsidR="00843AA6">
        <w:rPr>
          <w:szCs w:val="22"/>
        </w:rPr>
        <w:t xml:space="preserve"> a </w:t>
      </w:r>
      <w:r w:rsidR="00F02AD4">
        <w:rPr>
          <w:szCs w:val="22"/>
        </w:rPr>
        <w:t>3</w:t>
      </w:r>
      <w:r w:rsidR="00843AA6">
        <w:rPr>
          <w:szCs w:val="22"/>
        </w:rPr>
        <w:t xml:space="preserve"> </w:t>
      </w:r>
      <w:r w:rsidRPr="000167BC">
        <w:rPr>
          <w:szCs w:val="22"/>
        </w:rPr>
        <w:t>toht</w:t>
      </w:r>
      <w:r w:rsidR="00AB1EA1">
        <w:rPr>
          <w:szCs w:val="22"/>
        </w:rPr>
        <w:t xml:space="preserve">o metodického pokynu. </w:t>
      </w:r>
      <w:r w:rsidR="00F02AD4">
        <w:rPr>
          <w:szCs w:val="22"/>
        </w:rPr>
        <w:t xml:space="preserve">RO je oprávnený pri monitorovaní projektov stanoviť povinnosť využívania Monitorovacích správ projektu v zmysle </w:t>
      </w:r>
      <w:r w:rsidR="005B692A">
        <w:rPr>
          <w:szCs w:val="22"/>
        </w:rPr>
        <w:t>kapitoly</w:t>
      </w:r>
      <w:r w:rsidR="00F02AD4">
        <w:rPr>
          <w:szCs w:val="22"/>
        </w:rPr>
        <w:t xml:space="preserve"> </w:t>
      </w:r>
      <w:r w:rsidR="005B692A">
        <w:rPr>
          <w:szCs w:val="22"/>
        </w:rPr>
        <w:t xml:space="preserve">4 a </w:t>
      </w:r>
      <w:r w:rsidR="00F02AD4">
        <w:rPr>
          <w:szCs w:val="22"/>
        </w:rPr>
        <w:t>5 tohto metodického pokynu.</w:t>
      </w:r>
      <w:r w:rsidR="00E77971">
        <w:rPr>
          <w:szCs w:val="22"/>
        </w:rPr>
        <w:t xml:space="preserve"> V prípade, ak RO monitorovacie správy projektu </w:t>
      </w:r>
      <w:r w:rsidR="005B692A">
        <w:rPr>
          <w:szCs w:val="22"/>
        </w:rPr>
        <w:t xml:space="preserve">uvedené v kapitole 5 tohto metodického pokynu </w:t>
      </w:r>
      <w:r w:rsidR="00E77971">
        <w:rPr>
          <w:szCs w:val="22"/>
        </w:rPr>
        <w:t>nebude využívať, zabezpečí plnenie povinností, vyplývajúc</w:t>
      </w:r>
      <w:r w:rsidR="009E0742">
        <w:rPr>
          <w:szCs w:val="22"/>
        </w:rPr>
        <w:t>ich</w:t>
      </w:r>
      <w:r w:rsidR="00E77971">
        <w:rPr>
          <w:szCs w:val="22"/>
        </w:rPr>
        <w:t xml:space="preserve"> z článku 24 Delegovaného nariadenia EK č. 480/2014 alternatívnym spôsobom a zaznamená </w:t>
      </w:r>
      <w:r w:rsidR="00E77971" w:rsidRPr="00A13C9B">
        <w:rPr>
          <w:szCs w:val="22"/>
        </w:rPr>
        <w:t>v systéme ITMS2014+ dosiahnuté hodnoty ukazovateľov na úrovni programu k 31.12. každého roku</w:t>
      </w:r>
      <w:r w:rsidR="00E77971">
        <w:rPr>
          <w:szCs w:val="22"/>
        </w:rPr>
        <w:t xml:space="preserve"> p</w:t>
      </w:r>
      <w:r w:rsidR="00E77971" w:rsidRPr="00A13C9B">
        <w:rPr>
          <w:szCs w:val="22"/>
        </w:rPr>
        <w:t>re potreby spoločného monitorovania na úrovni EŠIF</w:t>
      </w:r>
      <w:r w:rsidR="005B692A">
        <w:rPr>
          <w:szCs w:val="22"/>
        </w:rPr>
        <w:t xml:space="preserve"> (Mimoriadna monitorovacia správa projektu)</w:t>
      </w:r>
      <w:r w:rsidR="00E77971" w:rsidRPr="00A13C9B">
        <w:rPr>
          <w:szCs w:val="22"/>
        </w:rPr>
        <w:t>.</w:t>
      </w:r>
    </w:p>
    <w:p w14:paraId="4BCCDC3F" w14:textId="61630EE4" w:rsidR="000167BC" w:rsidRPr="00A35748" w:rsidRDefault="00843AA6" w:rsidP="005F1688">
      <w:pPr>
        <w:numPr>
          <w:ilvl w:val="0"/>
          <w:numId w:val="28"/>
        </w:numPr>
        <w:spacing w:before="120" w:after="120"/>
        <w:ind w:left="426" w:hanging="426"/>
        <w:jc w:val="both"/>
        <w:rPr>
          <w:szCs w:val="22"/>
        </w:rPr>
      </w:pPr>
      <w:r w:rsidRPr="00A35748">
        <w:rPr>
          <w:szCs w:val="22"/>
        </w:rPr>
        <w:t>RO je oprávnený pri</w:t>
      </w:r>
      <w:r w:rsidR="00F02AD4" w:rsidRPr="00A35748">
        <w:rPr>
          <w:szCs w:val="22"/>
        </w:rPr>
        <w:t> </w:t>
      </w:r>
      <w:r w:rsidRPr="00A35748">
        <w:rPr>
          <w:szCs w:val="22"/>
        </w:rPr>
        <w:t xml:space="preserve">monitorovaní udržateľnosti projektu stanoviť povinnosť využívania následnej monitorovacej správy projektu v zmysle </w:t>
      </w:r>
      <w:r w:rsidR="005B692A" w:rsidRPr="00A35748">
        <w:rPr>
          <w:szCs w:val="22"/>
        </w:rPr>
        <w:t xml:space="preserve">kapitoly </w:t>
      </w:r>
      <w:r w:rsidRPr="00A35748">
        <w:rPr>
          <w:szCs w:val="22"/>
        </w:rPr>
        <w:t>6 tohto metodického pokynu</w:t>
      </w:r>
      <w:r w:rsidR="00A35748">
        <w:rPr>
          <w:szCs w:val="22"/>
        </w:rPr>
        <w:t xml:space="preserve">. Následná monitorovacia správa je predkladaná v súlade s odsekom 1 tejto kapitoly.  </w:t>
      </w:r>
    </w:p>
    <w:p w14:paraId="0D2A2B31" w14:textId="303F3950" w:rsidR="00E5527B" w:rsidRPr="00A13C9B" w:rsidRDefault="00E5527B" w:rsidP="00A13C9B">
      <w:pPr>
        <w:numPr>
          <w:ilvl w:val="0"/>
          <w:numId w:val="28"/>
        </w:numPr>
        <w:spacing w:before="120" w:after="120"/>
        <w:ind w:left="426" w:hanging="426"/>
        <w:jc w:val="both"/>
        <w:rPr>
          <w:szCs w:val="22"/>
        </w:rPr>
      </w:pPr>
      <w:r>
        <w:rPr>
          <w:rFonts w:eastAsiaTheme="minorHAnsi" w:cs="ArialNarrow"/>
          <w:szCs w:val="22"/>
          <w:lang w:eastAsia="en-US"/>
        </w:rPr>
        <w:t>Nad rámec monitorovania projektov v zmysle odseku 1 tejto kapitoly sú projekty PCS m</w:t>
      </w:r>
      <w:r w:rsidR="005D67C9">
        <w:rPr>
          <w:rFonts w:eastAsiaTheme="minorHAnsi" w:cs="ArialNarrow"/>
          <w:szCs w:val="22"/>
          <w:lang w:eastAsia="en-US"/>
        </w:rPr>
        <w:t>onitorované podľa odsekov 3 až 5</w:t>
      </w:r>
      <w:r>
        <w:rPr>
          <w:rFonts w:eastAsiaTheme="minorHAnsi" w:cs="ArialNarrow"/>
          <w:szCs w:val="22"/>
          <w:lang w:eastAsia="en-US"/>
        </w:rPr>
        <w:t xml:space="preserve"> tejto kapitoly.</w:t>
      </w:r>
      <w:r w:rsidR="00686884">
        <w:rPr>
          <w:rFonts w:eastAsiaTheme="minorHAnsi" w:cs="ArialNarrow"/>
          <w:szCs w:val="22"/>
          <w:lang w:eastAsia="en-US"/>
        </w:rPr>
        <w:t xml:space="preserve"> Špecifiká monitorovania projektov PCS </w:t>
      </w:r>
      <w:r w:rsidR="00494980">
        <w:rPr>
          <w:rFonts w:eastAsiaTheme="minorHAnsi" w:cs="ArialNarrow"/>
          <w:szCs w:val="22"/>
          <w:lang w:eastAsia="en-US"/>
        </w:rPr>
        <w:t xml:space="preserve">v týchto odsekoch </w:t>
      </w:r>
      <w:r w:rsidR="00686884">
        <w:rPr>
          <w:rFonts w:eastAsiaTheme="minorHAnsi" w:cs="ArialNarrow"/>
          <w:szCs w:val="22"/>
          <w:lang w:eastAsia="en-US"/>
        </w:rPr>
        <w:t>nie sú podporované prostredníctvom ITMS2014+.</w:t>
      </w:r>
    </w:p>
    <w:p w14:paraId="25C7A329" w14:textId="77777777" w:rsidR="00B25948" w:rsidRPr="007513B8" w:rsidRDefault="00B25948" w:rsidP="00B25948">
      <w:pPr>
        <w:numPr>
          <w:ilvl w:val="0"/>
          <w:numId w:val="28"/>
        </w:numPr>
        <w:spacing w:before="120" w:after="120"/>
        <w:ind w:left="426" w:hanging="426"/>
        <w:jc w:val="both"/>
        <w:rPr>
          <w:szCs w:val="22"/>
        </w:rPr>
      </w:pPr>
      <w:r w:rsidRPr="007513B8">
        <w:rPr>
          <w:szCs w:val="22"/>
        </w:rPr>
        <w:t xml:space="preserve">Monitorovanie projektu v rámci </w:t>
      </w:r>
      <w:r>
        <w:rPr>
          <w:szCs w:val="22"/>
        </w:rPr>
        <w:t>PCS</w:t>
      </w:r>
      <w:r w:rsidRPr="007513B8">
        <w:rPr>
          <w:szCs w:val="22"/>
        </w:rPr>
        <w:t xml:space="preserve"> je rozdelené na dve základné časti:</w:t>
      </w:r>
    </w:p>
    <w:p w14:paraId="76CB23BF" w14:textId="77777777" w:rsidR="00B25948" w:rsidRDefault="00B25948" w:rsidP="00B25948">
      <w:pPr>
        <w:pStyle w:val="Odsekzoznamu"/>
        <w:numPr>
          <w:ilvl w:val="0"/>
          <w:numId w:val="30"/>
        </w:numPr>
        <w:spacing w:before="120" w:after="120"/>
        <w:ind w:left="709" w:hanging="283"/>
        <w:jc w:val="both"/>
        <w:rPr>
          <w:szCs w:val="22"/>
        </w:rPr>
      </w:pPr>
      <w:r w:rsidRPr="00935296">
        <w:rPr>
          <w:szCs w:val="22"/>
        </w:rPr>
        <w:t xml:space="preserve">monitorovanie projektu za jednotlivých </w:t>
      </w:r>
      <w:r>
        <w:rPr>
          <w:szCs w:val="22"/>
        </w:rPr>
        <w:t>projektových partnerov</w:t>
      </w:r>
      <w:r w:rsidRPr="00935296">
        <w:rPr>
          <w:szCs w:val="22"/>
        </w:rPr>
        <w:t xml:space="preserve"> </w:t>
      </w:r>
      <w:r>
        <w:rPr>
          <w:szCs w:val="22"/>
        </w:rPr>
        <w:t>(Správa o aktivitách projektu (ďalej len „MS“)</w:t>
      </w:r>
      <w:r w:rsidR="00494980">
        <w:rPr>
          <w:szCs w:val="22"/>
        </w:rPr>
        <w:t>)</w:t>
      </w:r>
      <w:r>
        <w:rPr>
          <w:szCs w:val="22"/>
        </w:rPr>
        <w:t xml:space="preserve"> </w:t>
      </w:r>
      <w:r w:rsidRPr="00935296">
        <w:rPr>
          <w:szCs w:val="22"/>
        </w:rPr>
        <w:t>a</w:t>
      </w:r>
    </w:p>
    <w:p w14:paraId="6A275E01" w14:textId="48CA80B6" w:rsidR="00B25948" w:rsidRDefault="00B25948" w:rsidP="00B25948">
      <w:pPr>
        <w:pStyle w:val="Odsekzoznamu"/>
        <w:numPr>
          <w:ilvl w:val="0"/>
          <w:numId w:val="30"/>
        </w:numPr>
        <w:spacing w:before="120" w:after="120"/>
        <w:ind w:left="709" w:hanging="283"/>
        <w:jc w:val="both"/>
        <w:rPr>
          <w:szCs w:val="22"/>
        </w:rPr>
      </w:pPr>
      <w:r w:rsidRPr="00935296">
        <w:rPr>
          <w:szCs w:val="22"/>
        </w:rPr>
        <w:t>monitorovanie projektu ako celku</w:t>
      </w:r>
      <w:r>
        <w:rPr>
          <w:szCs w:val="22"/>
        </w:rPr>
        <w:t xml:space="preserve"> (Súhrnná monitorovacia správa</w:t>
      </w:r>
      <w:r w:rsidR="00E04767">
        <w:rPr>
          <w:rStyle w:val="Odkaznapoznmkupodiarou"/>
          <w:szCs w:val="22"/>
        </w:rPr>
        <w:footnoteReference w:id="7"/>
      </w:r>
      <w:r>
        <w:rPr>
          <w:szCs w:val="22"/>
        </w:rPr>
        <w:t xml:space="preserve"> –</w:t>
      </w:r>
      <w:r w:rsidR="00494980">
        <w:rPr>
          <w:szCs w:val="22"/>
        </w:rPr>
        <w:t xml:space="preserve"> priebežná a záverečná, Následná</w:t>
      </w:r>
      <w:r>
        <w:rPr>
          <w:szCs w:val="22"/>
        </w:rPr>
        <w:t xml:space="preserve"> monitorovacia správa)</w:t>
      </w:r>
      <w:r w:rsidRPr="00935296">
        <w:rPr>
          <w:szCs w:val="22"/>
        </w:rPr>
        <w:t>.</w:t>
      </w:r>
    </w:p>
    <w:p w14:paraId="034E43E1" w14:textId="581B7BDF" w:rsidR="00B2256A" w:rsidRPr="00A13C9B" w:rsidRDefault="00B25948" w:rsidP="00A13C9B">
      <w:pPr>
        <w:numPr>
          <w:ilvl w:val="0"/>
          <w:numId w:val="28"/>
        </w:numPr>
        <w:spacing w:before="120" w:after="120"/>
        <w:ind w:left="426" w:hanging="426"/>
        <w:jc w:val="both"/>
        <w:rPr>
          <w:szCs w:val="22"/>
        </w:rPr>
      </w:pPr>
      <w:r>
        <w:rPr>
          <w:rFonts w:eastAsiaTheme="minorHAnsi" w:cs="ArialNarrow"/>
          <w:szCs w:val="22"/>
          <w:lang w:eastAsia="en-US"/>
        </w:rPr>
        <w:t>Pri monitorovaní projektu za jednotlivých projektových partnerov v</w:t>
      </w:r>
      <w:r w:rsidR="00B2256A">
        <w:rPr>
          <w:rFonts w:eastAsiaTheme="minorHAnsi" w:cs="ArialNarrow"/>
          <w:szCs w:val="22"/>
          <w:lang w:eastAsia="en-US"/>
        </w:rPr>
        <w:t> rámci PCS sú v</w:t>
      </w:r>
      <w:r w:rsidR="00B2256A" w:rsidRPr="0080460F">
        <w:rPr>
          <w:rFonts w:eastAsiaTheme="minorHAnsi" w:cs="ArialNarrow"/>
          <w:szCs w:val="22"/>
          <w:lang w:eastAsia="en-US"/>
        </w:rPr>
        <w:t>šetci Partneri projektu povinní podávať priebežné informácie o</w:t>
      </w:r>
      <w:r w:rsidR="00B2256A">
        <w:rPr>
          <w:rFonts w:eastAsiaTheme="minorHAnsi" w:cs="ArialNarrow"/>
          <w:szCs w:val="22"/>
          <w:lang w:eastAsia="en-US"/>
        </w:rPr>
        <w:t> </w:t>
      </w:r>
      <w:r w:rsidR="00B2256A" w:rsidRPr="0080460F">
        <w:rPr>
          <w:rFonts w:eastAsiaTheme="minorHAnsi" w:cs="ArialNarrow"/>
          <w:szCs w:val="22"/>
          <w:lang w:eastAsia="en-US"/>
        </w:rPr>
        <w:t>postupe realizácie projektu príslušným Národným kontrolórom</w:t>
      </w:r>
      <w:r>
        <w:rPr>
          <w:rFonts w:eastAsiaTheme="minorHAnsi" w:cs="ArialNarrow"/>
          <w:szCs w:val="22"/>
          <w:lang w:eastAsia="en-US"/>
        </w:rPr>
        <w:t xml:space="preserve"> </w:t>
      </w:r>
      <w:r>
        <w:t>(projektoví partneri zo SR predkladajú MS na RO, projektoví partneri z Českej republiky, resp. z Rakúska predkladajú MS na príslušný národný orgán – Centrum pro regionální rozvoj ČR, resp. spolkové kraje v Rakúsku)</w:t>
      </w:r>
      <w:r w:rsidRPr="0080460F">
        <w:rPr>
          <w:rFonts w:eastAsiaTheme="minorHAnsi" w:cs="ArialNarrow"/>
          <w:szCs w:val="22"/>
          <w:lang w:eastAsia="en-US"/>
        </w:rPr>
        <w:t>.</w:t>
      </w:r>
      <w:r w:rsidR="00B2256A">
        <w:rPr>
          <w:rFonts w:eastAsiaTheme="minorHAnsi" w:cs="ArialNarrow"/>
          <w:szCs w:val="22"/>
          <w:lang w:eastAsia="en-US"/>
        </w:rPr>
        <w:t xml:space="preserve"> </w:t>
      </w:r>
      <w:r w:rsidR="00B2256A" w:rsidRPr="0080460F">
        <w:rPr>
          <w:rFonts w:eastAsiaTheme="minorHAnsi" w:cs="ArialNarrow"/>
          <w:szCs w:val="22"/>
          <w:lang w:eastAsia="en-US"/>
        </w:rPr>
        <w:t>Tieto informácie sa týkajú vecnej a finančnej stránky realizácie aktivít. Vecné informácie sú podávané prostredníctvom M</w:t>
      </w:r>
      <w:r w:rsidR="00B2256A">
        <w:rPr>
          <w:rFonts w:eastAsiaTheme="minorHAnsi" w:cs="ArialNarrow"/>
          <w:szCs w:val="22"/>
          <w:lang w:eastAsia="en-US"/>
        </w:rPr>
        <w:t xml:space="preserve">S, ktoré nie sú procesované v ITMS2014+ </w:t>
      </w:r>
      <w:r w:rsidR="00B2256A" w:rsidRPr="0080460F">
        <w:rPr>
          <w:rFonts w:eastAsiaTheme="minorHAnsi" w:cs="ArialNarrow"/>
          <w:szCs w:val="22"/>
          <w:lang w:eastAsia="en-US"/>
        </w:rPr>
        <w:t>a finančné prostredníctvom Zoznamov deklarovaných výdavkov a</w:t>
      </w:r>
      <w:r w:rsidR="00B2256A">
        <w:rPr>
          <w:rFonts w:eastAsiaTheme="minorHAnsi" w:cs="ArialNarrow"/>
          <w:szCs w:val="22"/>
          <w:lang w:eastAsia="en-US"/>
        </w:rPr>
        <w:t xml:space="preserve"> Žiadost</w:t>
      </w:r>
      <w:r w:rsidR="00511000">
        <w:rPr>
          <w:rFonts w:eastAsiaTheme="minorHAnsi" w:cs="ArialNarrow"/>
          <w:szCs w:val="22"/>
          <w:lang w:eastAsia="en-US"/>
        </w:rPr>
        <w:t>í</w:t>
      </w:r>
      <w:r w:rsidR="00B2256A">
        <w:rPr>
          <w:rFonts w:eastAsiaTheme="minorHAnsi" w:cs="ArialNarrow"/>
          <w:szCs w:val="22"/>
          <w:lang w:eastAsia="en-US"/>
        </w:rPr>
        <w:t xml:space="preserve"> o platbu</w:t>
      </w:r>
      <w:r w:rsidR="00B2256A" w:rsidRPr="0080460F">
        <w:rPr>
          <w:rFonts w:eastAsiaTheme="minorHAnsi" w:cs="ArialNarrow"/>
          <w:szCs w:val="22"/>
          <w:lang w:eastAsia="en-US"/>
        </w:rPr>
        <w:t>. Obe tieto časti sú úzko previazané.</w:t>
      </w:r>
      <w:r w:rsidR="00B2256A">
        <w:rPr>
          <w:rFonts w:eastAsiaTheme="minorHAnsi" w:cs="ArialNarrow"/>
          <w:szCs w:val="22"/>
          <w:lang w:eastAsia="en-US"/>
        </w:rPr>
        <w:t xml:space="preserve"> MS a Zoznamy deklarovaných výdavkov sa predkladajú podľa harmonogramu, ktorý je prílohou </w:t>
      </w:r>
      <w:r w:rsidR="00DF6331">
        <w:rPr>
          <w:rFonts w:eastAsiaTheme="minorHAnsi" w:cs="ArialNarrow"/>
          <w:szCs w:val="22"/>
          <w:lang w:eastAsia="en-US"/>
        </w:rPr>
        <w:t>z</w:t>
      </w:r>
      <w:r w:rsidR="00B2256A">
        <w:rPr>
          <w:rFonts w:eastAsiaTheme="minorHAnsi" w:cs="ArialNarrow"/>
          <w:szCs w:val="22"/>
          <w:lang w:eastAsia="en-US"/>
        </w:rPr>
        <w:t>mluvy o</w:t>
      </w:r>
      <w:r w:rsidR="00CF15F8">
        <w:rPr>
          <w:rFonts w:eastAsiaTheme="minorHAnsi" w:cs="ArialNarrow"/>
          <w:szCs w:val="22"/>
          <w:lang w:eastAsia="en-US"/>
        </w:rPr>
        <w:t xml:space="preserve"> </w:t>
      </w:r>
      <w:r w:rsidR="00B2256A">
        <w:rPr>
          <w:rFonts w:eastAsiaTheme="minorHAnsi" w:cs="ArialNarrow"/>
          <w:szCs w:val="22"/>
          <w:lang w:eastAsia="en-US"/>
        </w:rPr>
        <w:t>NFP.</w:t>
      </w:r>
    </w:p>
    <w:p w14:paraId="6C8EB759" w14:textId="316BF739" w:rsidR="00F02AD4" w:rsidRDefault="00427A08" w:rsidP="0017616D">
      <w:pPr>
        <w:numPr>
          <w:ilvl w:val="0"/>
          <w:numId w:val="28"/>
        </w:numPr>
        <w:spacing w:before="120" w:after="120"/>
        <w:ind w:left="426" w:hanging="426"/>
        <w:jc w:val="both"/>
        <w:rPr>
          <w:szCs w:val="22"/>
        </w:rPr>
      </w:pPr>
      <w:r>
        <w:rPr>
          <w:szCs w:val="22"/>
        </w:rPr>
        <w:t xml:space="preserve">Súhrnnú monitorovaciu správu </w:t>
      </w:r>
      <w:r w:rsidR="00E22401">
        <w:rPr>
          <w:szCs w:val="22"/>
        </w:rPr>
        <w:t>predkladá vedúci partner v termínoch, stanovených v zmluve o</w:t>
      </w:r>
      <w:r w:rsidR="00CF15F8">
        <w:rPr>
          <w:szCs w:val="22"/>
        </w:rPr>
        <w:t xml:space="preserve"> </w:t>
      </w:r>
      <w:r w:rsidR="00E22401">
        <w:rPr>
          <w:szCs w:val="22"/>
        </w:rPr>
        <w:t>NFP na RO.</w:t>
      </w:r>
      <w:r>
        <w:rPr>
          <w:szCs w:val="22"/>
        </w:rPr>
        <w:t xml:space="preserve"> </w:t>
      </w:r>
    </w:p>
    <w:p w14:paraId="3A1CBC68" w14:textId="6CE367FB" w:rsidR="00427A08" w:rsidRPr="003169C9" w:rsidRDefault="00427A08" w:rsidP="0017616D">
      <w:pPr>
        <w:spacing w:before="120" w:after="120"/>
        <w:ind w:left="426"/>
        <w:jc w:val="both"/>
      </w:pPr>
    </w:p>
    <w:sectPr w:rsidR="00427A08" w:rsidRPr="003169C9" w:rsidSect="0081720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6B956" w14:textId="77777777" w:rsidR="00CA2B5D" w:rsidRDefault="00CA2B5D" w:rsidP="00B948E0">
      <w:r>
        <w:separator/>
      </w:r>
    </w:p>
  </w:endnote>
  <w:endnote w:type="continuationSeparator" w:id="0">
    <w:p w14:paraId="385BBE12" w14:textId="77777777" w:rsidR="00CA2B5D" w:rsidRDefault="00CA2B5D" w:rsidP="00B948E0">
      <w:r>
        <w:continuationSeparator/>
      </w:r>
    </w:p>
  </w:endnote>
  <w:endnote w:type="continuationNotice" w:id="1">
    <w:p w14:paraId="77D53314" w14:textId="77777777" w:rsidR="00CA2B5D" w:rsidRDefault="00CA2B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MS Mincho"/>
    <w:charset w:val="EE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AE5CD" w14:textId="77777777" w:rsidR="005973E6" w:rsidRPr="00CF60E2" w:rsidRDefault="005973E6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B7BD50" wp14:editId="1BE69D2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FC4C7DB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00AED2C0" w14:textId="27D0789F" w:rsidR="005973E6" w:rsidRPr="00CF60E2" w:rsidRDefault="005973E6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7926A026" wp14:editId="59DAD59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5F1688">
          <w:rPr>
            <w:noProof/>
          </w:rPr>
          <w:t>7</w:t>
        </w:r>
        <w:r w:rsidRPr="00CF60E2">
          <w:fldChar w:fldCharType="end"/>
        </w:r>
      </w:sdtContent>
    </w:sdt>
  </w:p>
  <w:p w14:paraId="4DD7CB2B" w14:textId="77777777" w:rsidR="005973E6" w:rsidRDefault="005973E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ECAF6" w14:textId="77777777" w:rsidR="00CA2B5D" w:rsidRDefault="00CA2B5D" w:rsidP="00B948E0">
      <w:r>
        <w:separator/>
      </w:r>
    </w:p>
  </w:footnote>
  <w:footnote w:type="continuationSeparator" w:id="0">
    <w:p w14:paraId="0EF75881" w14:textId="77777777" w:rsidR="00CA2B5D" w:rsidRDefault="00CA2B5D" w:rsidP="00B948E0">
      <w:r>
        <w:continuationSeparator/>
      </w:r>
    </w:p>
  </w:footnote>
  <w:footnote w:type="continuationNotice" w:id="1">
    <w:p w14:paraId="3A6F42E8" w14:textId="77777777" w:rsidR="00CA2B5D" w:rsidRDefault="00CA2B5D"/>
  </w:footnote>
  <w:footnote w:id="2">
    <w:p w14:paraId="2DC6F233" w14:textId="6E33366B" w:rsidR="00E35AE4" w:rsidRDefault="00E35AE4" w:rsidP="00E35AE4">
      <w:pPr>
        <w:pStyle w:val="Textpoznmkypodiarou"/>
      </w:pPr>
      <w:r>
        <w:rPr>
          <w:rStyle w:val="Odkaznapoznmkupodiarou"/>
        </w:rPr>
        <w:footnoteRef/>
      </w:r>
      <w:r>
        <w:t xml:space="preserve"> V</w:t>
      </w:r>
      <w:r>
        <w:rPr>
          <w:szCs w:val="22"/>
        </w:rPr>
        <w:t>zor CKO č. 26 Popis k vyplneniu Doplňujúcich monitorovacích údajov k ŽoP.</w:t>
      </w:r>
    </w:p>
  </w:footnote>
  <w:footnote w:id="3">
    <w:p w14:paraId="6348BF05" w14:textId="77777777" w:rsidR="00924E26" w:rsidRDefault="00924E26" w:rsidP="00924E26">
      <w:pPr>
        <w:pStyle w:val="Textpoznmkypodiarou"/>
      </w:pPr>
      <w:r>
        <w:rPr>
          <w:rStyle w:val="Odkaznapoznmkupodiarou"/>
        </w:rPr>
        <w:footnoteRef/>
      </w:r>
      <w:r>
        <w:t xml:space="preserve"> V</w:t>
      </w:r>
      <w:r>
        <w:rPr>
          <w:szCs w:val="22"/>
        </w:rPr>
        <w:t>zor CKO č. 25 Popis k vyplneniu monitorovacích správ projektu.</w:t>
      </w:r>
    </w:p>
  </w:footnote>
  <w:footnote w:id="4">
    <w:p w14:paraId="687E6CEB" w14:textId="3B3162A6" w:rsidR="00F16E8E" w:rsidRDefault="00F16E8E">
      <w:pPr>
        <w:pStyle w:val="Textpoznmkypodiarou"/>
      </w:pPr>
      <w:r>
        <w:rPr>
          <w:rStyle w:val="Odkaznapoznmkupodiarou"/>
        </w:rPr>
        <w:footnoteRef/>
      </w:r>
      <w:r>
        <w:t xml:space="preserve"> V</w:t>
      </w:r>
      <w:r>
        <w:rPr>
          <w:szCs w:val="22"/>
        </w:rPr>
        <w:t>zor CKO č. 25 Popis k vyplneniu monitorovacích správ projektu.</w:t>
      </w:r>
    </w:p>
  </w:footnote>
  <w:footnote w:id="5">
    <w:p w14:paraId="45C76A7A" w14:textId="77777777" w:rsidR="000304E8" w:rsidRDefault="000304E8" w:rsidP="000304E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Ak začal prijímateľ realizovať aktivity projektu napr. v 05/2019, zmluva o NFP nadobudla účinnosť v 02/2020, monitorované obdobie 1. MS je od 05/2019 do 31.12.2020.</w:t>
      </w:r>
    </w:p>
    <w:p w14:paraId="0E4C9268" w14:textId="77777777" w:rsidR="000304E8" w:rsidRDefault="000304E8" w:rsidP="000304E8">
      <w:pPr>
        <w:pStyle w:val="Textpoznmkypodiarou"/>
        <w:jc w:val="both"/>
      </w:pPr>
      <w:r>
        <w:t>Ak začal prijímateľ realizovať aktivity projektu napr. v 05/2020, zmluva o NFP nadobudla účinnosť v 05/2020, monitorované obdobie 1. MS je od 05/2020 do 31.12.2020.</w:t>
      </w:r>
    </w:p>
    <w:p w14:paraId="2A994938" w14:textId="77777777" w:rsidR="000304E8" w:rsidRDefault="000304E8" w:rsidP="000304E8">
      <w:pPr>
        <w:pStyle w:val="Textpoznmkypodiarou"/>
        <w:jc w:val="both"/>
      </w:pPr>
      <w:r>
        <w:t>Ak zmluva o NFP nadobudla účinnosť napr. v 05/2019 a prijímateľ začal realizovať aktivity projektu v 02/2020, monitorované obdobie 1. MS je od 05/2019 do 31.12.2020.</w:t>
      </w:r>
    </w:p>
    <w:p w14:paraId="63B4AC33" w14:textId="278AE2BB" w:rsidR="00F54F03" w:rsidRDefault="00F54F03" w:rsidP="00F54F03">
      <w:pPr>
        <w:pStyle w:val="Textpoznmkypodiarou"/>
        <w:jc w:val="both"/>
      </w:pPr>
      <w:r>
        <w:t>Ak zmluva o NFP nadobudla účinnosť napr. 31.12.2020 a prijímateľ začal realizovať aktivity projektu 31.12.2020, MS za rok 2020 nepredkladá (RO monitorovací termín nezadá, resp. vymaže).</w:t>
      </w:r>
    </w:p>
    <w:p w14:paraId="559AADFA" w14:textId="61CCC553" w:rsidR="000304E8" w:rsidRDefault="00F54F03" w:rsidP="00F54F03">
      <w:pPr>
        <w:pStyle w:val="Textpoznmkypodiarou"/>
        <w:jc w:val="both"/>
      </w:pPr>
      <w:r>
        <w:t>Ak zmluva o NFP nadobudla účinnosť napr. 31.12.2020 a prijímateľ začal realizovať aktivity projektu v 11/2020, monitorované obdobie 1. MS je od 11/2020 do 31.12.2020.</w:t>
      </w:r>
    </w:p>
    <w:p w14:paraId="07BAF359" w14:textId="57EB2A9F" w:rsidR="0046775D" w:rsidRDefault="0046775D" w:rsidP="00F54F03">
      <w:pPr>
        <w:pStyle w:val="Textpoznmkypodiarou"/>
        <w:jc w:val="both"/>
      </w:pPr>
      <w:r w:rsidRPr="0046775D">
        <w:t>Ak zmluva o NFP nadobudla účinnosť napr. 31.12.2020 a prijímateľ začal realizovať aktivity projektu v 02/2021, monitorované obdobie 1. MS je od 31.12.2020 do 31.12.2021.</w:t>
      </w:r>
    </w:p>
  </w:footnote>
  <w:footnote w:id="6">
    <w:p w14:paraId="13FAA138" w14:textId="77777777" w:rsidR="00924E26" w:rsidRDefault="00924E26" w:rsidP="00924E26">
      <w:pPr>
        <w:pStyle w:val="Textpoznmkypodiarou"/>
      </w:pPr>
      <w:r>
        <w:rPr>
          <w:rStyle w:val="Odkaznapoznmkupodiarou"/>
        </w:rPr>
        <w:footnoteRef/>
      </w:r>
      <w:r>
        <w:t xml:space="preserve"> V</w:t>
      </w:r>
      <w:r>
        <w:rPr>
          <w:szCs w:val="22"/>
        </w:rPr>
        <w:t>zor CKO č. 25 Popis k vyplneniu monitorovacích správ projektu.</w:t>
      </w:r>
    </w:p>
  </w:footnote>
  <w:footnote w:id="7">
    <w:p w14:paraId="38BBFEAE" w14:textId="6C42EC1E" w:rsidR="00E04767" w:rsidRDefault="00E04767" w:rsidP="00E0476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szCs w:val="22"/>
        </w:rPr>
        <w:t xml:space="preserve">Súhrnná monitorovacia správa je označenie v riadiacej dokumentácii k PCS pre Mimoriadnu monitorovaciu správu projektu , ktorá je štandardne predkladaná prostredníctvom ITMS2014+, v termínoch, stanovených RO.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62E7B" w14:textId="4B2F836D" w:rsidR="005973E6" w:rsidRPr="00CF60E2" w:rsidRDefault="005973E6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A39264" wp14:editId="5733BEA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6F1D408" id="Rovná spojnica 3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14:paraId="16D1F349" w14:textId="2479B9E6" w:rsidR="005973E6" w:rsidRPr="00CF60E2" w:rsidRDefault="00AD69D4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15.06.2021</w:t>
        </w:r>
      </w:p>
    </w:sdtContent>
  </w:sdt>
  <w:p w14:paraId="0F6EFFC1" w14:textId="77777777" w:rsidR="005973E6" w:rsidRDefault="005973E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231F"/>
    <w:multiLevelType w:val="hybridMultilevel"/>
    <w:tmpl w:val="37ECAAF8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B211DD6"/>
    <w:multiLevelType w:val="hybridMultilevel"/>
    <w:tmpl w:val="90C2C9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E0A29"/>
    <w:multiLevelType w:val="hybridMultilevel"/>
    <w:tmpl w:val="B4DCE6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81F16"/>
    <w:multiLevelType w:val="hybridMultilevel"/>
    <w:tmpl w:val="6298FB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B010F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787C931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6A76C514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744F2"/>
    <w:multiLevelType w:val="hybridMultilevel"/>
    <w:tmpl w:val="97F04718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5C35704"/>
    <w:multiLevelType w:val="hybridMultilevel"/>
    <w:tmpl w:val="493E4ED4"/>
    <w:lvl w:ilvl="0" w:tplc="FE14C8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7A56E98"/>
    <w:multiLevelType w:val="hybridMultilevel"/>
    <w:tmpl w:val="269444E8"/>
    <w:lvl w:ilvl="0" w:tplc="AD68ECCE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92B27E">
      <w:start w:val="1"/>
      <w:numFmt w:val="decimal"/>
      <w:lvlText w:val="%2."/>
      <w:lvlJc w:val="left"/>
      <w:pPr>
        <w:ind w:left="5617" w:hanging="360"/>
      </w:pPr>
      <w:rPr>
        <w:rFonts w:ascii="Times New Roman" w:eastAsia="Times New Roman" w:hAnsi="Times New Roman" w:cs="Times New Roman"/>
      </w:rPr>
    </w:lvl>
    <w:lvl w:ilvl="2" w:tplc="EE862414">
      <w:start w:val="1"/>
      <w:numFmt w:val="lowerLetter"/>
      <w:lvlText w:val="%3)"/>
      <w:lvlJc w:val="right"/>
      <w:pPr>
        <w:ind w:left="6337" w:hanging="180"/>
      </w:pPr>
      <w:rPr>
        <w:rFonts w:ascii="Times New Roman" w:eastAsia="Times New Roman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ind w:left="7057" w:hanging="360"/>
      </w:pPr>
    </w:lvl>
    <w:lvl w:ilvl="4" w:tplc="041B0019" w:tentative="1">
      <w:start w:val="1"/>
      <w:numFmt w:val="lowerLetter"/>
      <w:lvlText w:val="%5."/>
      <w:lvlJc w:val="left"/>
      <w:pPr>
        <w:ind w:left="7777" w:hanging="360"/>
      </w:pPr>
    </w:lvl>
    <w:lvl w:ilvl="5" w:tplc="041B001B" w:tentative="1">
      <w:start w:val="1"/>
      <w:numFmt w:val="lowerRoman"/>
      <w:lvlText w:val="%6."/>
      <w:lvlJc w:val="right"/>
      <w:pPr>
        <w:ind w:left="8497" w:hanging="180"/>
      </w:pPr>
    </w:lvl>
    <w:lvl w:ilvl="6" w:tplc="041B000F" w:tentative="1">
      <w:start w:val="1"/>
      <w:numFmt w:val="decimal"/>
      <w:lvlText w:val="%7."/>
      <w:lvlJc w:val="left"/>
      <w:pPr>
        <w:ind w:left="9217" w:hanging="360"/>
      </w:pPr>
    </w:lvl>
    <w:lvl w:ilvl="7" w:tplc="041B0019" w:tentative="1">
      <w:start w:val="1"/>
      <w:numFmt w:val="lowerLetter"/>
      <w:lvlText w:val="%8."/>
      <w:lvlJc w:val="left"/>
      <w:pPr>
        <w:ind w:left="9937" w:hanging="360"/>
      </w:pPr>
    </w:lvl>
    <w:lvl w:ilvl="8" w:tplc="041B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 w15:restartNumberingAfterBreak="0">
    <w:nsid w:val="388C0C68"/>
    <w:multiLevelType w:val="multilevel"/>
    <w:tmpl w:val="BAAC006E"/>
    <w:lvl w:ilvl="0">
      <w:start w:val="4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92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9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7" w:hanging="1800"/>
      </w:pPr>
      <w:rPr>
        <w:rFonts w:hint="default"/>
      </w:rPr>
    </w:lvl>
  </w:abstractNum>
  <w:abstractNum w:abstractNumId="8" w15:restartNumberingAfterBreak="0">
    <w:nsid w:val="38BF391B"/>
    <w:multiLevelType w:val="hybridMultilevel"/>
    <w:tmpl w:val="007259F6"/>
    <w:lvl w:ilvl="0" w:tplc="FFFFFFFF">
      <w:start w:val="1"/>
      <w:numFmt w:val="decimal"/>
      <w:pStyle w:val="odseky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2C34D5"/>
    <w:multiLevelType w:val="hybridMultilevel"/>
    <w:tmpl w:val="2C447748"/>
    <w:lvl w:ilvl="0" w:tplc="552CC928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  <w:sz w:val="3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65BAB"/>
    <w:multiLevelType w:val="hybridMultilevel"/>
    <w:tmpl w:val="E2EE691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7">
      <w:start w:val="1"/>
      <w:numFmt w:val="lowerLetter"/>
      <w:lvlText w:val="%3)"/>
      <w:lvlJc w:val="lef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7670B35"/>
    <w:multiLevelType w:val="hybridMultilevel"/>
    <w:tmpl w:val="3620E3B6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64924"/>
    <w:multiLevelType w:val="hybridMultilevel"/>
    <w:tmpl w:val="3C40D024"/>
    <w:lvl w:ilvl="0" w:tplc="BE5076EA">
      <w:start w:val="3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16E8E"/>
    <w:multiLevelType w:val="hybridMultilevel"/>
    <w:tmpl w:val="5A26EB60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168D0"/>
    <w:multiLevelType w:val="hybridMultilevel"/>
    <w:tmpl w:val="58AAEFC2"/>
    <w:lvl w:ilvl="0" w:tplc="06C039C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F52510B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73744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C04D9"/>
    <w:multiLevelType w:val="hybridMultilevel"/>
    <w:tmpl w:val="645A380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B800A71"/>
    <w:multiLevelType w:val="hybridMultilevel"/>
    <w:tmpl w:val="F3AA6B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7474D"/>
    <w:multiLevelType w:val="hybridMultilevel"/>
    <w:tmpl w:val="37D2D37C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FAA49A4"/>
    <w:multiLevelType w:val="hybridMultilevel"/>
    <w:tmpl w:val="D83ADF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3F296D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3D3AE0"/>
    <w:multiLevelType w:val="hybridMultilevel"/>
    <w:tmpl w:val="CC1AA67A"/>
    <w:lvl w:ilvl="0" w:tplc="2BEAF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D391A"/>
    <w:multiLevelType w:val="hybridMultilevel"/>
    <w:tmpl w:val="A27E27DA"/>
    <w:lvl w:ilvl="0" w:tplc="041B0017">
      <w:start w:val="1"/>
      <w:numFmt w:val="lowerLetter"/>
      <w:lvlText w:val="%1)"/>
      <w:lvlJc w:val="left"/>
      <w:pPr>
        <w:ind w:left="2766" w:hanging="360"/>
      </w:pPr>
    </w:lvl>
    <w:lvl w:ilvl="1" w:tplc="041B0019" w:tentative="1">
      <w:start w:val="1"/>
      <w:numFmt w:val="lowerLetter"/>
      <w:lvlText w:val="%2."/>
      <w:lvlJc w:val="left"/>
      <w:pPr>
        <w:ind w:left="3486" w:hanging="360"/>
      </w:pPr>
    </w:lvl>
    <w:lvl w:ilvl="2" w:tplc="041B001B" w:tentative="1">
      <w:start w:val="1"/>
      <w:numFmt w:val="lowerRoman"/>
      <w:lvlText w:val="%3."/>
      <w:lvlJc w:val="right"/>
      <w:pPr>
        <w:ind w:left="4206" w:hanging="180"/>
      </w:pPr>
    </w:lvl>
    <w:lvl w:ilvl="3" w:tplc="041B000F" w:tentative="1">
      <w:start w:val="1"/>
      <w:numFmt w:val="decimal"/>
      <w:lvlText w:val="%4."/>
      <w:lvlJc w:val="left"/>
      <w:pPr>
        <w:ind w:left="4926" w:hanging="360"/>
      </w:pPr>
    </w:lvl>
    <w:lvl w:ilvl="4" w:tplc="041B0019" w:tentative="1">
      <w:start w:val="1"/>
      <w:numFmt w:val="lowerLetter"/>
      <w:lvlText w:val="%5."/>
      <w:lvlJc w:val="left"/>
      <w:pPr>
        <w:ind w:left="5646" w:hanging="360"/>
      </w:pPr>
    </w:lvl>
    <w:lvl w:ilvl="5" w:tplc="041B001B" w:tentative="1">
      <w:start w:val="1"/>
      <w:numFmt w:val="lowerRoman"/>
      <w:lvlText w:val="%6."/>
      <w:lvlJc w:val="right"/>
      <w:pPr>
        <w:ind w:left="6366" w:hanging="180"/>
      </w:pPr>
    </w:lvl>
    <w:lvl w:ilvl="6" w:tplc="041B000F" w:tentative="1">
      <w:start w:val="1"/>
      <w:numFmt w:val="decimal"/>
      <w:lvlText w:val="%7."/>
      <w:lvlJc w:val="left"/>
      <w:pPr>
        <w:ind w:left="7086" w:hanging="360"/>
      </w:pPr>
    </w:lvl>
    <w:lvl w:ilvl="7" w:tplc="041B0019" w:tentative="1">
      <w:start w:val="1"/>
      <w:numFmt w:val="lowerLetter"/>
      <w:lvlText w:val="%8."/>
      <w:lvlJc w:val="left"/>
      <w:pPr>
        <w:ind w:left="7806" w:hanging="360"/>
      </w:pPr>
    </w:lvl>
    <w:lvl w:ilvl="8" w:tplc="041B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24" w15:restartNumberingAfterBreak="0">
    <w:nsid w:val="6B6E1B52"/>
    <w:multiLevelType w:val="hybridMultilevel"/>
    <w:tmpl w:val="8474F482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93B0F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049AE"/>
    <w:multiLevelType w:val="hybridMultilevel"/>
    <w:tmpl w:val="D7543794"/>
    <w:lvl w:ilvl="0" w:tplc="A0DCB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7D1E48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101AE"/>
    <w:multiLevelType w:val="hybridMultilevel"/>
    <w:tmpl w:val="5A26EB60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0D790E"/>
    <w:multiLevelType w:val="hybridMultilevel"/>
    <w:tmpl w:val="5C72E1B0"/>
    <w:lvl w:ilvl="0" w:tplc="2D44FB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8"/>
  </w:num>
  <w:num w:numId="4">
    <w:abstractNumId w:val="13"/>
  </w:num>
  <w:num w:numId="5">
    <w:abstractNumId w:val="14"/>
  </w:num>
  <w:num w:numId="6">
    <w:abstractNumId w:val="7"/>
  </w:num>
  <w:num w:numId="7">
    <w:abstractNumId w:val="21"/>
  </w:num>
  <w:num w:numId="8">
    <w:abstractNumId w:val="12"/>
  </w:num>
  <w:num w:numId="9">
    <w:abstractNumId w:val="9"/>
  </w:num>
  <w:num w:numId="10">
    <w:abstractNumId w:val="5"/>
  </w:num>
  <w:num w:numId="11">
    <w:abstractNumId w:val="26"/>
  </w:num>
  <w:num w:numId="12">
    <w:abstractNumId w:val="19"/>
  </w:num>
  <w:num w:numId="13">
    <w:abstractNumId w:val="2"/>
  </w:num>
  <w:num w:numId="14">
    <w:abstractNumId w:val="30"/>
  </w:num>
  <w:num w:numId="15">
    <w:abstractNumId w:val="22"/>
  </w:num>
  <w:num w:numId="16">
    <w:abstractNumId w:val="11"/>
  </w:num>
  <w:num w:numId="17">
    <w:abstractNumId w:val="24"/>
  </w:num>
  <w:num w:numId="18">
    <w:abstractNumId w:val="29"/>
  </w:num>
  <w:num w:numId="19">
    <w:abstractNumId w:val="6"/>
  </w:num>
  <w:num w:numId="20">
    <w:abstractNumId w:val="16"/>
  </w:num>
  <w:num w:numId="21">
    <w:abstractNumId w:val="1"/>
  </w:num>
  <w:num w:numId="22">
    <w:abstractNumId w:val="4"/>
  </w:num>
  <w:num w:numId="23">
    <w:abstractNumId w:val="10"/>
  </w:num>
  <w:num w:numId="24">
    <w:abstractNumId w:val="23"/>
  </w:num>
  <w:num w:numId="25">
    <w:abstractNumId w:val="20"/>
  </w:num>
  <w:num w:numId="26">
    <w:abstractNumId w:val="3"/>
  </w:num>
  <w:num w:numId="27">
    <w:abstractNumId w:val="28"/>
  </w:num>
  <w:num w:numId="28">
    <w:abstractNumId w:val="15"/>
  </w:num>
  <w:num w:numId="29">
    <w:abstractNumId w:val="18"/>
  </w:num>
  <w:num w:numId="30">
    <w:abstractNumId w:val="0"/>
  </w:num>
  <w:num w:numId="31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28B9"/>
    <w:rsid w:val="000033A9"/>
    <w:rsid w:val="00004A26"/>
    <w:rsid w:val="00011232"/>
    <w:rsid w:val="0001163D"/>
    <w:rsid w:val="000131E5"/>
    <w:rsid w:val="000167BC"/>
    <w:rsid w:val="0002043A"/>
    <w:rsid w:val="000238AE"/>
    <w:rsid w:val="0002533A"/>
    <w:rsid w:val="0002543D"/>
    <w:rsid w:val="00026DCF"/>
    <w:rsid w:val="000304E8"/>
    <w:rsid w:val="00031C8F"/>
    <w:rsid w:val="000324F5"/>
    <w:rsid w:val="00032DD8"/>
    <w:rsid w:val="00041CCF"/>
    <w:rsid w:val="0004496F"/>
    <w:rsid w:val="0004505D"/>
    <w:rsid w:val="0004713E"/>
    <w:rsid w:val="000474DC"/>
    <w:rsid w:val="00050728"/>
    <w:rsid w:val="00054CF1"/>
    <w:rsid w:val="00055618"/>
    <w:rsid w:val="00056C2D"/>
    <w:rsid w:val="00063930"/>
    <w:rsid w:val="0006459B"/>
    <w:rsid w:val="000647BA"/>
    <w:rsid w:val="00066955"/>
    <w:rsid w:val="000670AB"/>
    <w:rsid w:val="00071088"/>
    <w:rsid w:val="00076465"/>
    <w:rsid w:val="00085765"/>
    <w:rsid w:val="00085C7F"/>
    <w:rsid w:val="00087D39"/>
    <w:rsid w:val="0009356A"/>
    <w:rsid w:val="000938B6"/>
    <w:rsid w:val="0009427B"/>
    <w:rsid w:val="00095F67"/>
    <w:rsid w:val="000A0A35"/>
    <w:rsid w:val="000A593B"/>
    <w:rsid w:val="000B02AE"/>
    <w:rsid w:val="000B2D42"/>
    <w:rsid w:val="000C1C20"/>
    <w:rsid w:val="000C2A72"/>
    <w:rsid w:val="000C3CDF"/>
    <w:rsid w:val="000C6B14"/>
    <w:rsid w:val="000C76AB"/>
    <w:rsid w:val="000D298C"/>
    <w:rsid w:val="000D41B0"/>
    <w:rsid w:val="000D52F4"/>
    <w:rsid w:val="000D6B86"/>
    <w:rsid w:val="000D77A6"/>
    <w:rsid w:val="000E2AA4"/>
    <w:rsid w:val="000E2E4D"/>
    <w:rsid w:val="000E407C"/>
    <w:rsid w:val="000E561D"/>
    <w:rsid w:val="000E6116"/>
    <w:rsid w:val="000F07DF"/>
    <w:rsid w:val="000F1C2A"/>
    <w:rsid w:val="000F25F9"/>
    <w:rsid w:val="000F457B"/>
    <w:rsid w:val="000F52C6"/>
    <w:rsid w:val="000F53EC"/>
    <w:rsid w:val="000F5787"/>
    <w:rsid w:val="000F7F0C"/>
    <w:rsid w:val="00101608"/>
    <w:rsid w:val="00104718"/>
    <w:rsid w:val="0010495C"/>
    <w:rsid w:val="00111A1E"/>
    <w:rsid w:val="00113A7F"/>
    <w:rsid w:val="00116F61"/>
    <w:rsid w:val="001217AF"/>
    <w:rsid w:val="00127AED"/>
    <w:rsid w:val="00127EDE"/>
    <w:rsid w:val="00127F52"/>
    <w:rsid w:val="00131859"/>
    <w:rsid w:val="00132E33"/>
    <w:rsid w:val="00132F21"/>
    <w:rsid w:val="00134EFA"/>
    <w:rsid w:val="0013503E"/>
    <w:rsid w:val="00135963"/>
    <w:rsid w:val="00136194"/>
    <w:rsid w:val="00145221"/>
    <w:rsid w:val="0014641E"/>
    <w:rsid w:val="00146877"/>
    <w:rsid w:val="00147107"/>
    <w:rsid w:val="0015233E"/>
    <w:rsid w:val="00152422"/>
    <w:rsid w:val="00154A74"/>
    <w:rsid w:val="0016017B"/>
    <w:rsid w:val="00160B25"/>
    <w:rsid w:val="00164803"/>
    <w:rsid w:val="0017240D"/>
    <w:rsid w:val="00173917"/>
    <w:rsid w:val="001746FF"/>
    <w:rsid w:val="0017616D"/>
    <w:rsid w:val="00176D46"/>
    <w:rsid w:val="001836AB"/>
    <w:rsid w:val="00184A7C"/>
    <w:rsid w:val="001852F8"/>
    <w:rsid w:val="00185B10"/>
    <w:rsid w:val="001873B5"/>
    <w:rsid w:val="001902D5"/>
    <w:rsid w:val="00191B7A"/>
    <w:rsid w:val="00191EC2"/>
    <w:rsid w:val="00197127"/>
    <w:rsid w:val="001A1DCE"/>
    <w:rsid w:val="001B0B2A"/>
    <w:rsid w:val="001B12DC"/>
    <w:rsid w:val="001B27DA"/>
    <w:rsid w:val="001B2827"/>
    <w:rsid w:val="001B6E9F"/>
    <w:rsid w:val="001C076B"/>
    <w:rsid w:val="001C0983"/>
    <w:rsid w:val="001C513F"/>
    <w:rsid w:val="001C61D0"/>
    <w:rsid w:val="001D2DED"/>
    <w:rsid w:val="001D4207"/>
    <w:rsid w:val="001D4B25"/>
    <w:rsid w:val="001E01AB"/>
    <w:rsid w:val="001E2A72"/>
    <w:rsid w:val="001E2B03"/>
    <w:rsid w:val="001F0193"/>
    <w:rsid w:val="001F1DFB"/>
    <w:rsid w:val="001F26C2"/>
    <w:rsid w:val="00200A09"/>
    <w:rsid w:val="002013CF"/>
    <w:rsid w:val="0020242F"/>
    <w:rsid w:val="00203490"/>
    <w:rsid w:val="00204160"/>
    <w:rsid w:val="00207510"/>
    <w:rsid w:val="0021003F"/>
    <w:rsid w:val="002105EE"/>
    <w:rsid w:val="00210D22"/>
    <w:rsid w:val="00213887"/>
    <w:rsid w:val="00215E70"/>
    <w:rsid w:val="00216F71"/>
    <w:rsid w:val="00220076"/>
    <w:rsid w:val="002259C4"/>
    <w:rsid w:val="00225A05"/>
    <w:rsid w:val="00226388"/>
    <w:rsid w:val="00227553"/>
    <w:rsid w:val="00233238"/>
    <w:rsid w:val="00235957"/>
    <w:rsid w:val="00237668"/>
    <w:rsid w:val="00237ABF"/>
    <w:rsid w:val="00240DE9"/>
    <w:rsid w:val="00242870"/>
    <w:rsid w:val="00242C19"/>
    <w:rsid w:val="00243988"/>
    <w:rsid w:val="00244A17"/>
    <w:rsid w:val="00245250"/>
    <w:rsid w:val="00246420"/>
    <w:rsid w:val="00246970"/>
    <w:rsid w:val="0025439D"/>
    <w:rsid w:val="00254AC4"/>
    <w:rsid w:val="00256687"/>
    <w:rsid w:val="0026046F"/>
    <w:rsid w:val="00264615"/>
    <w:rsid w:val="0026568C"/>
    <w:rsid w:val="002657BD"/>
    <w:rsid w:val="002702AB"/>
    <w:rsid w:val="00274479"/>
    <w:rsid w:val="00283A84"/>
    <w:rsid w:val="00293095"/>
    <w:rsid w:val="00293871"/>
    <w:rsid w:val="002956E5"/>
    <w:rsid w:val="002A1494"/>
    <w:rsid w:val="002A1E17"/>
    <w:rsid w:val="002A206B"/>
    <w:rsid w:val="002A65AC"/>
    <w:rsid w:val="002B60B7"/>
    <w:rsid w:val="002B7812"/>
    <w:rsid w:val="002C00FC"/>
    <w:rsid w:val="002C2B17"/>
    <w:rsid w:val="002C40D6"/>
    <w:rsid w:val="002D322C"/>
    <w:rsid w:val="002D3284"/>
    <w:rsid w:val="002D439C"/>
    <w:rsid w:val="002D65BD"/>
    <w:rsid w:val="002D69BC"/>
    <w:rsid w:val="002D7E43"/>
    <w:rsid w:val="002E035A"/>
    <w:rsid w:val="002E063C"/>
    <w:rsid w:val="002E3D59"/>
    <w:rsid w:val="002E505E"/>
    <w:rsid w:val="002E611C"/>
    <w:rsid w:val="002E7F32"/>
    <w:rsid w:val="002E7F66"/>
    <w:rsid w:val="002F00A4"/>
    <w:rsid w:val="002F3E1B"/>
    <w:rsid w:val="002F5506"/>
    <w:rsid w:val="002F5E24"/>
    <w:rsid w:val="0030167F"/>
    <w:rsid w:val="00315193"/>
    <w:rsid w:val="00316263"/>
    <w:rsid w:val="003169C9"/>
    <w:rsid w:val="00320B19"/>
    <w:rsid w:val="00323A29"/>
    <w:rsid w:val="00325FD0"/>
    <w:rsid w:val="00326486"/>
    <w:rsid w:val="003317BD"/>
    <w:rsid w:val="00333977"/>
    <w:rsid w:val="0033406E"/>
    <w:rsid w:val="00340873"/>
    <w:rsid w:val="0034240F"/>
    <w:rsid w:val="003473CB"/>
    <w:rsid w:val="003573AC"/>
    <w:rsid w:val="00364A34"/>
    <w:rsid w:val="00365172"/>
    <w:rsid w:val="003665D2"/>
    <w:rsid w:val="00366CFC"/>
    <w:rsid w:val="003709F2"/>
    <w:rsid w:val="00371961"/>
    <w:rsid w:val="0037236D"/>
    <w:rsid w:val="00372843"/>
    <w:rsid w:val="00385313"/>
    <w:rsid w:val="00386CBA"/>
    <w:rsid w:val="003915B0"/>
    <w:rsid w:val="0039216B"/>
    <w:rsid w:val="00393784"/>
    <w:rsid w:val="003A67E1"/>
    <w:rsid w:val="003B0DFE"/>
    <w:rsid w:val="003B2F8A"/>
    <w:rsid w:val="003B3FF6"/>
    <w:rsid w:val="003B524C"/>
    <w:rsid w:val="003B796C"/>
    <w:rsid w:val="003B7F08"/>
    <w:rsid w:val="003C2544"/>
    <w:rsid w:val="003C4B54"/>
    <w:rsid w:val="003C5239"/>
    <w:rsid w:val="003D0D92"/>
    <w:rsid w:val="003D568C"/>
    <w:rsid w:val="003E179B"/>
    <w:rsid w:val="003E189E"/>
    <w:rsid w:val="003E3DD6"/>
    <w:rsid w:val="003E6E17"/>
    <w:rsid w:val="003F477C"/>
    <w:rsid w:val="004011F3"/>
    <w:rsid w:val="00404A84"/>
    <w:rsid w:val="00405A3D"/>
    <w:rsid w:val="0041096B"/>
    <w:rsid w:val="004119D0"/>
    <w:rsid w:val="00415128"/>
    <w:rsid w:val="00415859"/>
    <w:rsid w:val="00416B60"/>
    <w:rsid w:val="00416E2D"/>
    <w:rsid w:val="00423928"/>
    <w:rsid w:val="00427A08"/>
    <w:rsid w:val="0043204C"/>
    <w:rsid w:val="00432DF1"/>
    <w:rsid w:val="00432FD3"/>
    <w:rsid w:val="00434EA5"/>
    <w:rsid w:val="00441048"/>
    <w:rsid w:val="00442A07"/>
    <w:rsid w:val="004445A9"/>
    <w:rsid w:val="00450B7F"/>
    <w:rsid w:val="00451AC1"/>
    <w:rsid w:val="00455CFB"/>
    <w:rsid w:val="004560E9"/>
    <w:rsid w:val="00456F5B"/>
    <w:rsid w:val="004575B1"/>
    <w:rsid w:val="00460F75"/>
    <w:rsid w:val="00466CBC"/>
    <w:rsid w:val="0046775D"/>
    <w:rsid w:val="00467B7C"/>
    <w:rsid w:val="004732B6"/>
    <w:rsid w:val="00477B8E"/>
    <w:rsid w:val="004815E9"/>
    <w:rsid w:val="00484037"/>
    <w:rsid w:val="004902B4"/>
    <w:rsid w:val="004908D9"/>
    <w:rsid w:val="00490AF9"/>
    <w:rsid w:val="0049379D"/>
    <w:rsid w:val="00493F0A"/>
    <w:rsid w:val="004944E0"/>
    <w:rsid w:val="00494980"/>
    <w:rsid w:val="004A0829"/>
    <w:rsid w:val="004A1430"/>
    <w:rsid w:val="004A1C70"/>
    <w:rsid w:val="004B163A"/>
    <w:rsid w:val="004B1F3B"/>
    <w:rsid w:val="004B24EF"/>
    <w:rsid w:val="004B317C"/>
    <w:rsid w:val="004B3478"/>
    <w:rsid w:val="004B4824"/>
    <w:rsid w:val="004C1071"/>
    <w:rsid w:val="004C4CE7"/>
    <w:rsid w:val="004C5212"/>
    <w:rsid w:val="004C52E3"/>
    <w:rsid w:val="004D1FAC"/>
    <w:rsid w:val="004D203D"/>
    <w:rsid w:val="004D3BB1"/>
    <w:rsid w:val="004D5DCC"/>
    <w:rsid w:val="004E2120"/>
    <w:rsid w:val="004E3ABD"/>
    <w:rsid w:val="004E639D"/>
    <w:rsid w:val="004E7BF7"/>
    <w:rsid w:val="004F1C25"/>
    <w:rsid w:val="004F3595"/>
    <w:rsid w:val="005013BD"/>
    <w:rsid w:val="00501675"/>
    <w:rsid w:val="00504D21"/>
    <w:rsid w:val="00506D67"/>
    <w:rsid w:val="00511000"/>
    <w:rsid w:val="005122F6"/>
    <w:rsid w:val="005166AA"/>
    <w:rsid w:val="00521A7A"/>
    <w:rsid w:val="00522076"/>
    <w:rsid w:val="00527A4D"/>
    <w:rsid w:val="005304B4"/>
    <w:rsid w:val="00533D94"/>
    <w:rsid w:val="005416C8"/>
    <w:rsid w:val="00541FF5"/>
    <w:rsid w:val="00543779"/>
    <w:rsid w:val="00546CED"/>
    <w:rsid w:val="00551936"/>
    <w:rsid w:val="00555292"/>
    <w:rsid w:val="00557F6E"/>
    <w:rsid w:val="00560A4A"/>
    <w:rsid w:val="00566935"/>
    <w:rsid w:val="00566F98"/>
    <w:rsid w:val="00571126"/>
    <w:rsid w:val="005720F9"/>
    <w:rsid w:val="00575F6D"/>
    <w:rsid w:val="00576550"/>
    <w:rsid w:val="00576A5C"/>
    <w:rsid w:val="00577894"/>
    <w:rsid w:val="005800C7"/>
    <w:rsid w:val="00580A58"/>
    <w:rsid w:val="00581D01"/>
    <w:rsid w:val="005833A5"/>
    <w:rsid w:val="00585BA8"/>
    <w:rsid w:val="00586FDB"/>
    <w:rsid w:val="00593E6A"/>
    <w:rsid w:val="00595127"/>
    <w:rsid w:val="005973E6"/>
    <w:rsid w:val="0059785C"/>
    <w:rsid w:val="005A2CE3"/>
    <w:rsid w:val="005A5640"/>
    <w:rsid w:val="005B36F4"/>
    <w:rsid w:val="005B3B3B"/>
    <w:rsid w:val="005B49EF"/>
    <w:rsid w:val="005B692A"/>
    <w:rsid w:val="005B7EBF"/>
    <w:rsid w:val="005C026F"/>
    <w:rsid w:val="005C0DC1"/>
    <w:rsid w:val="005C21E0"/>
    <w:rsid w:val="005C4CB4"/>
    <w:rsid w:val="005D1157"/>
    <w:rsid w:val="005D2778"/>
    <w:rsid w:val="005D532F"/>
    <w:rsid w:val="005D67C9"/>
    <w:rsid w:val="005E04D2"/>
    <w:rsid w:val="005E517A"/>
    <w:rsid w:val="005F0252"/>
    <w:rsid w:val="005F1688"/>
    <w:rsid w:val="005F1C3D"/>
    <w:rsid w:val="005F4630"/>
    <w:rsid w:val="005F4DD9"/>
    <w:rsid w:val="005F5B71"/>
    <w:rsid w:val="005F7208"/>
    <w:rsid w:val="00602B58"/>
    <w:rsid w:val="00604FEF"/>
    <w:rsid w:val="0061050D"/>
    <w:rsid w:val="00612806"/>
    <w:rsid w:val="00617453"/>
    <w:rsid w:val="0062247B"/>
    <w:rsid w:val="00622D7A"/>
    <w:rsid w:val="00623659"/>
    <w:rsid w:val="0062391A"/>
    <w:rsid w:val="006321E6"/>
    <w:rsid w:val="006323D7"/>
    <w:rsid w:val="00632A33"/>
    <w:rsid w:val="00633E6C"/>
    <w:rsid w:val="00634EB2"/>
    <w:rsid w:val="00635B7B"/>
    <w:rsid w:val="006368CF"/>
    <w:rsid w:val="00644429"/>
    <w:rsid w:val="006479DF"/>
    <w:rsid w:val="0065258B"/>
    <w:rsid w:val="00652F55"/>
    <w:rsid w:val="00660DCB"/>
    <w:rsid w:val="00662E3F"/>
    <w:rsid w:val="00662EC0"/>
    <w:rsid w:val="006635EE"/>
    <w:rsid w:val="00666655"/>
    <w:rsid w:val="00670C53"/>
    <w:rsid w:val="006719A0"/>
    <w:rsid w:val="006756C5"/>
    <w:rsid w:val="006756CA"/>
    <w:rsid w:val="00686884"/>
    <w:rsid w:val="00687102"/>
    <w:rsid w:val="00697CD0"/>
    <w:rsid w:val="006A10FE"/>
    <w:rsid w:val="006A5157"/>
    <w:rsid w:val="006A58B8"/>
    <w:rsid w:val="006A7DF2"/>
    <w:rsid w:val="006B03B2"/>
    <w:rsid w:val="006B1ADB"/>
    <w:rsid w:val="006B33CC"/>
    <w:rsid w:val="006B62C7"/>
    <w:rsid w:val="006C0A14"/>
    <w:rsid w:val="006C371E"/>
    <w:rsid w:val="006C6A25"/>
    <w:rsid w:val="006D082A"/>
    <w:rsid w:val="006D3B82"/>
    <w:rsid w:val="006D4079"/>
    <w:rsid w:val="006D744B"/>
    <w:rsid w:val="006E08CD"/>
    <w:rsid w:val="006E2040"/>
    <w:rsid w:val="006E2088"/>
    <w:rsid w:val="006E238D"/>
    <w:rsid w:val="006E3F64"/>
    <w:rsid w:val="006E5904"/>
    <w:rsid w:val="006E7E19"/>
    <w:rsid w:val="006F122F"/>
    <w:rsid w:val="006F15B4"/>
    <w:rsid w:val="006F459D"/>
    <w:rsid w:val="007041A3"/>
    <w:rsid w:val="0070487C"/>
    <w:rsid w:val="007116CA"/>
    <w:rsid w:val="00713A2B"/>
    <w:rsid w:val="00722B1F"/>
    <w:rsid w:val="007240F5"/>
    <w:rsid w:val="00724B6A"/>
    <w:rsid w:val="007251F1"/>
    <w:rsid w:val="00734D3C"/>
    <w:rsid w:val="00740288"/>
    <w:rsid w:val="00744A3A"/>
    <w:rsid w:val="0074674F"/>
    <w:rsid w:val="00746C59"/>
    <w:rsid w:val="007552C9"/>
    <w:rsid w:val="00755C92"/>
    <w:rsid w:val="0076069C"/>
    <w:rsid w:val="00760B25"/>
    <w:rsid w:val="007625D5"/>
    <w:rsid w:val="00763D3B"/>
    <w:rsid w:val="0076414C"/>
    <w:rsid w:val="00764850"/>
    <w:rsid w:val="00765555"/>
    <w:rsid w:val="00767E1A"/>
    <w:rsid w:val="0077086A"/>
    <w:rsid w:val="00771CC6"/>
    <w:rsid w:val="00771FDD"/>
    <w:rsid w:val="00773229"/>
    <w:rsid w:val="0077707A"/>
    <w:rsid w:val="00777329"/>
    <w:rsid w:val="00782970"/>
    <w:rsid w:val="00786E62"/>
    <w:rsid w:val="00795383"/>
    <w:rsid w:val="007969CD"/>
    <w:rsid w:val="007A0A10"/>
    <w:rsid w:val="007A0A76"/>
    <w:rsid w:val="007A11F3"/>
    <w:rsid w:val="007A2014"/>
    <w:rsid w:val="007A446B"/>
    <w:rsid w:val="007A60EF"/>
    <w:rsid w:val="007B0462"/>
    <w:rsid w:val="007C3A26"/>
    <w:rsid w:val="007C6B8B"/>
    <w:rsid w:val="007D2198"/>
    <w:rsid w:val="007D35D0"/>
    <w:rsid w:val="007D3B7D"/>
    <w:rsid w:val="007D47A3"/>
    <w:rsid w:val="007D4EA8"/>
    <w:rsid w:val="007E2D0E"/>
    <w:rsid w:val="007E5AAC"/>
    <w:rsid w:val="007F0D9A"/>
    <w:rsid w:val="007F2E87"/>
    <w:rsid w:val="00801225"/>
    <w:rsid w:val="00807537"/>
    <w:rsid w:val="00815DA9"/>
    <w:rsid w:val="00816705"/>
    <w:rsid w:val="00817207"/>
    <w:rsid w:val="00817664"/>
    <w:rsid w:val="008178FE"/>
    <w:rsid w:val="00824A24"/>
    <w:rsid w:val="008250A3"/>
    <w:rsid w:val="0083026B"/>
    <w:rsid w:val="0083059D"/>
    <w:rsid w:val="00830AC4"/>
    <w:rsid w:val="00831B28"/>
    <w:rsid w:val="00831B3D"/>
    <w:rsid w:val="00836C27"/>
    <w:rsid w:val="00843AA6"/>
    <w:rsid w:val="00843E93"/>
    <w:rsid w:val="00846A15"/>
    <w:rsid w:val="00846E4D"/>
    <w:rsid w:val="008470F3"/>
    <w:rsid w:val="0084743A"/>
    <w:rsid w:val="00850467"/>
    <w:rsid w:val="00850F2E"/>
    <w:rsid w:val="0085560A"/>
    <w:rsid w:val="00855E76"/>
    <w:rsid w:val="00857AE7"/>
    <w:rsid w:val="008604F7"/>
    <w:rsid w:val="00861FB3"/>
    <w:rsid w:val="0086555A"/>
    <w:rsid w:val="00865845"/>
    <w:rsid w:val="008659C3"/>
    <w:rsid w:val="00865D70"/>
    <w:rsid w:val="008732CA"/>
    <w:rsid w:val="0087413F"/>
    <w:rsid w:val="008743E6"/>
    <w:rsid w:val="008806AC"/>
    <w:rsid w:val="008814E2"/>
    <w:rsid w:val="00892323"/>
    <w:rsid w:val="00892EE8"/>
    <w:rsid w:val="00896109"/>
    <w:rsid w:val="008A34B9"/>
    <w:rsid w:val="008A42A5"/>
    <w:rsid w:val="008A48B3"/>
    <w:rsid w:val="008A68FC"/>
    <w:rsid w:val="008B1EDC"/>
    <w:rsid w:val="008B35D7"/>
    <w:rsid w:val="008C07B6"/>
    <w:rsid w:val="008C271F"/>
    <w:rsid w:val="008C2EC5"/>
    <w:rsid w:val="008C55EE"/>
    <w:rsid w:val="008D02C9"/>
    <w:rsid w:val="008D0F9C"/>
    <w:rsid w:val="008D3E46"/>
    <w:rsid w:val="008E243A"/>
    <w:rsid w:val="008E4B27"/>
    <w:rsid w:val="008E5AAC"/>
    <w:rsid w:val="008F2627"/>
    <w:rsid w:val="008F4394"/>
    <w:rsid w:val="0090110D"/>
    <w:rsid w:val="00901FA7"/>
    <w:rsid w:val="009021DF"/>
    <w:rsid w:val="00904691"/>
    <w:rsid w:val="00910C45"/>
    <w:rsid w:val="0091176F"/>
    <w:rsid w:val="00911D80"/>
    <w:rsid w:val="00914562"/>
    <w:rsid w:val="00924E26"/>
    <w:rsid w:val="00925F8C"/>
    <w:rsid w:val="00926284"/>
    <w:rsid w:val="00927865"/>
    <w:rsid w:val="00930B82"/>
    <w:rsid w:val="00931014"/>
    <w:rsid w:val="00932966"/>
    <w:rsid w:val="00933008"/>
    <w:rsid w:val="009330C5"/>
    <w:rsid w:val="00934250"/>
    <w:rsid w:val="00934778"/>
    <w:rsid w:val="00935296"/>
    <w:rsid w:val="00937A23"/>
    <w:rsid w:val="009427D2"/>
    <w:rsid w:val="009455E7"/>
    <w:rsid w:val="00945CF9"/>
    <w:rsid w:val="00951670"/>
    <w:rsid w:val="00955345"/>
    <w:rsid w:val="00960C13"/>
    <w:rsid w:val="0096303D"/>
    <w:rsid w:val="00963C20"/>
    <w:rsid w:val="00977CF6"/>
    <w:rsid w:val="00977D17"/>
    <w:rsid w:val="00981890"/>
    <w:rsid w:val="00981C56"/>
    <w:rsid w:val="0098274E"/>
    <w:rsid w:val="009836CF"/>
    <w:rsid w:val="009854D4"/>
    <w:rsid w:val="00991679"/>
    <w:rsid w:val="009A170D"/>
    <w:rsid w:val="009A5FFF"/>
    <w:rsid w:val="009A7C4F"/>
    <w:rsid w:val="009B0ED5"/>
    <w:rsid w:val="009B421D"/>
    <w:rsid w:val="009C1698"/>
    <w:rsid w:val="009C64E2"/>
    <w:rsid w:val="009D1455"/>
    <w:rsid w:val="009D335A"/>
    <w:rsid w:val="009D4F7D"/>
    <w:rsid w:val="009D6453"/>
    <w:rsid w:val="009D71E8"/>
    <w:rsid w:val="009E0742"/>
    <w:rsid w:val="009E189D"/>
    <w:rsid w:val="009E2F64"/>
    <w:rsid w:val="009E797F"/>
    <w:rsid w:val="00A02635"/>
    <w:rsid w:val="00A06789"/>
    <w:rsid w:val="00A113ED"/>
    <w:rsid w:val="00A1238C"/>
    <w:rsid w:val="00A12ECE"/>
    <w:rsid w:val="00A13C9B"/>
    <w:rsid w:val="00A144AE"/>
    <w:rsid w:val="00A17ACB"/>
    <w:rsid w:val="00A20407"/>
    <w:rsid w:val="00A22F8E"/>
    <w:rsid w:val="00A245D6"/>
    <w:rsid w:val="00A32E75"/>
    <w:rsid w:val="00A35748"/>
    <w:rsid w:val="00A371E3"/>
    <w:rsid w:val="00A419A2"/>
    <w:rsid w:val="00A45F2D"/>
    <w:rsid w:val="00A4664D"/>
    <w:rsid w:val="00A47675"/>
    <w:rsid w:val="00A53DCC"/>
    <w:rsid w:val="00A55508"/>
    <w:rsid w:val="00A57AAC"/>
    <w:rsid w:val="00A60373"/>
    <w:rsid w:val="00A606B5"/>
    <w:rsid w:val="00A64C86"/>
    <w:rsid w:val="00A65D8F"/>
    <w:rsid w:val="00A7219D"/>
    <w:rsid w:val="00A8224B"/>
    <w:rsid w:val="00A8395F"/>
    <w:rsid w:val="00A85154"/>
    <w:rsid w:val="00A9254C"/>
    <w:rsid w:val="00A96031"/>
    <w:rsid w:val="00A9685B"/>
    <w:rsid w:val="00A96C5F"/>
    <w:rsid w:val="00A977BD"/>
    <w:rsid w:val="00A97B2A"/>
    <w:rsid w:val="00A97CCD"/>
    <w:rsid w:val="00AA73B0"/>
    <w:rsid w:val="00AA7F33"/>
    <w:rsid w:val="00AB1EA1"/>
    <w:rsid w:val="00AB25D8"/>
    <w:rsid w:val="00AB29E7"/>
    <w:rsid w:val="00AB39F4"/>
    <w:rsid w:val="00AB3B76"/>
    <w:rsid w:val="00AB61A0"/>
    <w:rsid w:val="00AB755C"/>
    <w:rsid w:val="00AC06DF"/>
    <w:rsid w:val="00AC218C"/>
    <w:rsid w:val="00AC72C3"/>
    <w:rsid w:val="00AC7720"/>
    <w:rsid w:val="00AD0F6A"/>
    <w:rsid w:val="00AD683F"/>
    <w:rsid w:val="00AD69D4"/>
    <w:rsid w:val="00AE22B1"/>
    <w:rsid w:val="00AF180D"/>
    <w:rsid w:val="00AF3063"/>
    <w:rsid w:val="00B013D3"/>
    <w:rsid w:val="00B03140"/>
    <w:rsid w:val="00B10DF4"/>
    <w:rsid w:val="00B12061"/>
    <w:rsid w:val="00B1346B"/>
    <w:rsid w:val="00B17C01"/>
    <w:rsid w:val="00B17D0C"/>
    <w:rsid w:val="00B20A3F"/>
    <w:rsid w:val="00B214E8"/>
    <w:rsid w:val="00B2256A"/>
    <w:rsid w:val="00B25948"/>
    <w:rsid w:val="00B315E9"/>
    <w:rsid w:val="00B32FB3"/>
    <w:rsid w:val="00B36128"/>
    <w:rsid w:val="00B4035A"/>
    <w:rsid w:val="00B4284E"/>
    <w:rsid w:val="00B469B2"/>
    <w:rsid w:val="00B47147"/>
    <w:rsid w:val="00B50B86"/>
    <w:rsid w:val="00B527E3"/>
    <w:rsid w:val="00B53B4A"/>
    <w:rsid w:val="00B62F06"/>
    <w:rsid w:val="00B64525"/>
    <w:rsid w:val="00B64E0F"/>
    <w:rsid w:val="00B658E4"/>
    <w:rsid w:val="00B73F16"/>
    <w:rsid w:val="00B754A4"/>
    <w:rsid w:val="00B80611"/>
    <w:rsid w:val="00B83D4F"/>
    <w:rsid w:val="00B8751C"/>
    <w:rsid w:val="00B91F3C"/>
    <w:rsid w:val="00B948E0"/>
    <w:rsid w:val="00BA089F"/>
    <w:rsid w:val="00BA0EA5"/>
    <w:rsid w:val="00BA13ED"/>
    <w:rsid w:val="00BA315E"/>
    <w:rsid w:val="00BA3419"/>
    <w:rsid w:val="00BA4376"/>
    <w:rsid w:val="00BA494A"/>
    <w:rsid w:val="00BB5E51"/>
    <w:rsid w:val="00BC2289"/>
    <w:rsid w:val="00BC4BAC"/>
    <w:rsid w:val="00BC70EF"/>
    <w:rsid w:val="00BD068E"/>
    <w:rsid w:val="00BD23ED"/>
    <w:rsid w:val="00BD513C"/>
    <w:rsid w:val="00BD53F1"/>
    <w:rsid w:val="00BD6733"/>
    <w:rsid w:val="00BE3E5C"/>
    <w:rsid w:val="00BE626F"/>
    <w:rsid w:val="00BF1D4F"/>
    <w:rsid w:val="00BF336F"/>
    <w:rsid w:val="00BF46A5"/>
    <w:rsid w:val="00BF4967"/>
    <w:rsid w:val="00C065B9"/>
    <w:rsid w:val="00C079D3"/>
    <w:rsid w:val="00C20709"/>
    <w:rsid w:val="00C212AD"/>
    <w:rsid w:val="00C214B6"/>
    <w:rsid w:val="00C22D4C"/>
    <w:rsid w:val="00C23B57"/>
    <w:rsid w:val="00C25749"/>
    <w:rsid w:val="00C30742"/>
    <w:rsid w:val="00C30BF1"/>
    <w:rsid w:val="00C31B14"/>
    <w:rsid w:val="00C348A2"/>
    <w:rsid w:val="00C3744D"/>
    <w:rsid w:val="00C37B65"/>
    <w:rsid w:val="00C426E4"/>
    <w:rsid w:val="00C47973"/>
    <w:rsid w:val="00C52447"/>
    <w:rsid w:val="00C545E4"/>
    <w:rsid w:val="00C57FE2"/>
    <w:rsid w:val="00C61D87"/>
    <w:rsid w:val="00C6439D"/>
    <w:rsid w:val="00C66E3B"/>
    <w:rsid w:val="00C674A6"/>
    <w:rsid w:val="00C72B72"/>
    <w:rsid w:val="00C73AFA"/>
    <w:rsid w:val="00C74B4E"/>
    <w:rsid w:val="00C80097"/>
    <w:rsid w:val="00C81600"/>
    <w:rsid w:val="00C85B68"/>
    <w:rsid w:val="00C85E89"/>
    <w:rsid w:val="00C92BF0"/>
    <w:rsid w:val="00C9363C"/>
    <w:rsid w:val="00C93CB2"/>
    <w:rsid w:val="00C94138"/>
    <w:rsid w:val="00C947C1"/>
    <w:rsid w:val="00CA0FB2"/>
    <w:rsid w:val="00CA208E"/>
    <w:rsid w:val="00CA2661"/>
    <w:rsid w:val="00CA2B5D"/>
    <w:rsid w:val="00CA3A31"/>
    <w:rsid w:val="00CA4B0B"/>
    <w:rsid w:val="00CA6C63"/>
    <w:rsid w:val="00CB0187"/>
    <w:rsid w:val="00CB1A06"/>
    <w:rsid w:val="00CB2F76"/>
    <w:rsid w:val="00CB530A"/>
    <w:rsid w:val="00CB7A93"/>
    <w:rsid w:val="00CC1238"/>
    <w:rsid w:val="00CC1476"/>
    <w:rsid w:val="00CC4ACF"/>
    <w:rsid w:val="00CC5171"/>
    <w:rsid w:val="00CD16D5"/>
    <w:rsid w:val="00CD3916"/>
    <w:rsid w:val="00CD3D13"/>
    <w:rsid w:val="00CD4A51"/>
    <w:rsid w:val="00CD509D"/>
    <w:rsid w:val="00CD6E3A"/>
    <w:rsid w:val="00CF15F8"/>
    <w:rsid w:val="00CF3690"/>
    <w:rsid w:val="00CF60E2"/>
    <w:rsid w:val="00CF6137"/>
    <w:rsid w:val="00D001AC"/>
    <w:rsid w:val="00D00641"/>
    <w:rsid w:val="00D00B44"/>
    <w:rsid w:val="00D05350"/>
    <w:rsid w:val="00D155CB"/>
    <w:rsid w:val="00D21D19"/>
    <w:rsid w:val="00D239D4"/>
    <w:rsid w:val="00D308AD"/>
    <w:rsid w:val="00D35159"/>
    <w:rsid w:val="00D35F08"/>
    <w:rsid w:val="00D42E85"/>
    <w:rsid w:val="00D4415A"/>
    <w:rsid w:val="00D50DF4"/>
    <w:rsid w:val="00D510BC"/>
    <w:rsid w:val="00D526DE"/>
    <w:rsid w:val="00D57D45"/>
    <w:rsid w:val="00D61BB6"/>
    <w:rsid w:val="00D63975"/>
    <w:rsid w:val="00D64002"/>
    <w:rsid w:val="00D64B77"/>
    <w:rsid w:val="00D679DF"/>
    <w:rsid w:val="00D67FF4"/>
    <w:rsid w:val="00D71CD6"/>
    <w:rsid w:val="00D72F06"/>
    <w:rsid w:val="00D76EC1"/>
    <w:rsid w:val="00D770BA"/>
    <w:rsid w:val="00D8288F"/>
    <w:rsid w:val="00D86DA2"/>
    <w:rsid w:val="00D877C4"/>
    <w:rsid w:val="00D878C2"/>
    <w:rsid w:val="00D87A50"/>
    <w:rsid w:val="00D90DCB"/>
    <w:rsid w:val="00D9147E"/>
    <w:rsid w:val="00D97B38"/>
    <w:rsid w:val="00DA00D8"/>
    <w:rsid w:val="00DA16F9"/>
    <w:rsid w:val="00DA483F"/>
    <w:rsid w:val="00DA6DFF"/>
    <w:rsid w:val="00DB05E3"/>
    <w:rsid w:val="00DB0AAA"/>
    <w:rsid w:val="00DB46A1"/>
    <w:rsid w:val="00DB7273"/>
    <w:rsid w:val="00DB7529"/>
    <w:rsid w:val="00DB7630"/>
    <w:rsid w:val="00DB798B"/>
    <w:rsid w:val="00DD50DC"/>
    <w:rsid w:val="00DD57A7"/>
    <w:rsid w:val="00DD5FAF"/>
    <w:rsid w:val="00DE0B98"/>
    <w:rsid w:val="00DE0D1B"/>
    <w:rsid w:val="00DE0DEB"/>
    <w:rsid w:val="00DE3633"/>
    <w:rsid w:val="00DE5E3E"/>
    <w:rsid w:val="00DF1C90"/>
    <w:rsid w:val="00DF6331"/>
    <w:rsid w:val="00E002E1"/>
    <w:rsid w:val="00E04767"/>
    <w:rsid w:val="00E07550"/>
    <w:rsid w:val="00E13D59"/>
    <w:rsid w:val="00E14746"/>
    <w:rsid w:val="00E21069"/>
    <w:rsid w:val="00E22401"/>
    <w:rsid w:val="00E24D44"/>
    <w:rsid w:val="00E264FE"/>
    <w:rsid w:val="00E26667"/>
    <w:rsid w:val="00E26C1B"/>
    <w:rsid w:val="00E27A3F"/>
    <w:rsid w:val="00E33C90"/>
    <w:rsid w:val="00E35AA3"/>
    <w:rsid w:val="00E35AE4"/>
    <w:rsid w:val="00E3690A"/>
    <w:rsid w:val="00E37D62"/>
    <w:rsid w:val="00E40048"/>
    <w:rsid w:val="00E42AFD"/>
    <w:rsid w:val="00E44D76"/>
    <w:rsid w:val="00E52D37"/>
    <w:rsid w:val="00E5416A"/>
    <w:rsid w:val="00E54612"/>
    <w:rsid w:val="00E5527B"/>
    <w:rsid w:val="00E6065F"/>
    <w:rsid w:val="00E616FC"/>
    <w:rsid w:val="00E63A66"/>
    <w:rsid w:val="00E66D03"/>
    <w:rsid w:val="00E678C6"/>
    <w:rsid w:val="00E67E34"/>
    <w:rsid w:val="00E71217"/>
    <w:rsid w:val="00E734A4"/>
    <w:rsid w:val="00E742C1"/>
    <w:rsid w:val="00E74EA1"/>
    <w:rsid w:val="00E7702D"/>
    <w:rsid w:val="00E77971"/>
    <w:rsid w:val="00E84DE3"/>
    <w:rsid w:val="00E945F3"/>
    <w:rsid w:val="00E95BDC"/>
    <w:rsid w:val="00EA1156"/>
    <w:rsid w:val="00EA3856"/>
    <w:rsid w:val="00EA657C"/>
    <w:rsid w:val="00EB0266"/>
    <w:rsid w:val="00EB064A"/>
    <w:rsid w:val="00EB0DFF"/>
    <w:rsid w:val="00EB5B0C"/>
    <w:rsid w:val="00EC03A6"/>
    <w:rsid w:val="00EC1DBA"/>
    <w:rsid w:val="00EC5F23"/>
    <w:rsid w:val="00EC64AE"/>
    <w:rsid w:val="00EE1733"/>
    <w:rsid w:val="00EE6389"/>
    <w:rsid w:val="00EE6AB0"/>
    <w:rsid w:val="00EE70FE"/>
    <w:rsid w:val="00EF1C3F"/>
    <w:rsid w:val="00EF1C60"/>
    <w:rsid w:val="00EF56BF"/>
    <w:rsid w:val="00EF676A"/>
    <w:rsid w:val="00F00D13"/>
    <w:rsid w:val="00F02AD4"/>
    <w:rsid w:val="00F03133"/>
    <w:rsid w:val="00F05D2C"/>
    <w:rsid w:val="00F0607A"/>
    <w:rsid w:val="00F06844"/>
    <w:rsid w:val="00F105C2"/>
    <w:rsid w:val="00F10B9D"/>
    <w:rsid w:val="00F16E8E"/>
    <w:rsid w:val="00F263EA"/>
    <w:rsid w:val="00F27075"/>
    <w:rsid w:val="00F31CD5"/>
    <w:rsid w:val="00F32794"/>
    <w:rsid w:val="00F33C2C"/>
    <w:rsid w:val="00F3534E"/>
    <w:rsid w:val="00F37BDD"/>
    <w:rsid w:val="00F37C3D"/>
    <w:rsid w:val="00F41C62"/>
    <w:rsid w:val="00F41D14"/>
    <w:rsid w:val="00F4538B"/>
    <w:rsid w:val="00F46CBA"/>
    <w:rsid w:val="00F50AC8"/>
    <w:rsid w:val="00F5388E"/>
    <w:rsid w:val="00F54F03"/>
    <w:rsid w:val="00F56222"/>
    <w:rsid w:val="00F56373"/>
    <w:rsid w:val="00F56549"/>
    <w:rsid w:val="00F569B2"/>
    <w:rsid w:val="00F5719C"/>
    <w:rsid w:val="00F61E24"/>
    <w:rsid w:val="00F61EAA"/>
    <w:rsid w:val="00F67A75"/>
    <w:rsid w:val="00F80C9A"/>
    <w:rsid w:val="00F850E9"/>
    <w:rsid w:val="00F87C67"/>
    <w:rsid w:val="00F95B74"/>
    <w:rsid w:val="00F97E8C"/>
    <w:rsid w:val="00FB1B10"/>
    <w:rsid w:val="00FB70C2"/>
    <w:rsid w:val="00FC04A6"/>
    <w:rsid w:val="00FC0F30"/>
    <w:rsid w:val="00FC1CE8"/>
    <w:rsid w:val="00FC37F0"/>
    <w:rsid w:val="00FC621D"/>
    <w:rsid w:val="00FC753C"/>
    <w:rsid w:val="00FD09E6"/>
    <w:rsid w:val="00FD1E3D"/>
    <w:rsid w:val="00FD38BE"/>
    <w:rsid w:val="00FE2E3A"/>
    <w:rsid w:val="00FE4747"/>
    <w:rsid w:val="00FE73DB"/>
    <w:rsid w:val="00FF0D58"/>
    <w:rsid w:val="00FF0E70"/>
    <w:rsid w:val="00FF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C99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25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2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17207"/>
    <w:pPr>
      <w:tabs>
        <w:tab w:val="left" w:pos="284"/>
        <w:tab w:val="right" w:leader="dot" w:pos="9062"/>
      </w:tabs>
      <w:spacing w:after="100"/>
      <w:ind w:left="284" w:hanging="284"/>
    </w:pPr>
  </w:style>
  <w:style w:type="paragraph" w:styleId="Obsah3">
    <w:name w:val="toc 3"/>
    <w:basedOn w:val="Normlny"/>
    <w:next w:val="Normlny"/>
    <w:autoRedefine/>
    <w:uiPriority w:val="39"/>
    <w:unhideWhenUsed/>
    <w:rsid w:val="003B3FF6"/>
    <w:pPr>
      <w:tabs>
        <w:tab w:val="right" w:leader="dot" w:pos="9062"/>
      </w:tabs>
      <w:spacing w:after="100"/>
      <w:ind w:left="426" w:hanging="182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odseky">
    <w:name w:val="odseky"/>
    <w:basedOn w:val="Normlny"/>
    <w:rsid w:val="000E2E4D"/>
    <w:pPr>
      <w:numPr>
        <w:numId w:val="3"/>
      </w:numPr>
      <w:tabs>
        <w:tab w:val="clear" w:pos="1440"/>
        <w:tab w:val="num" w:pos="360"/>
      </w:tabs>
      <w:ind w:left="360"/>
      <w:jc w:val="both"/>
    </w:pPr>
    <w:rPr>
      <w:rFonts w:ascii="Arial" w:hAnsi="Arial"/>
      <w:lang w:eastAsia="en-GB"/>
    </w:rPr>
  </w:style>
  <w:style w:type="paragraph" w:customStyle="1" w:styleId="ZakladnystylChar">
    <w:name w:val="Zakladny styl Char"/>
    <w:link w:val="ZakladnystylCharChar"/>
    <w:rsid w:val="0036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64A3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A29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366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595127"/>
    <w:rPr>
      <w:b/>
      <w:bCs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935296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6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artnerskadohoda.gov.sk/data/files/460_mp-cko-c-26-verzia-1.zi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3B6D5BC6724A19BFB45D0925A836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4C8C6D-1362-422F-88D8-A5A174E8AF31}"/>
      </w:docPartPr>
      <w:docPartBody>
        <w:p w:rsidR="005F1840" w:rsidRDefault="00991B89" w:rsidP="00991B89">
          <w:pPr>
            <w:pStyle w:val="573B6D5BC6724A19BFB45D0925A83680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475EC445D6B4D9F8D6220CD6E69B1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8159D3-963F-443D-9D53-7399884438F0}"/>
      </w:docPartPr>
      <w:docPartBody>
        <w:p w:rsidR="005F1840" w:rsidRDefault="00991B89" w:rsidP="00991B89">
          <w:pPr>
            <w:pStyle w:val="7475EC445D6B4D9F8D6220CD6E69B138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2FDF2C96005F4ED3B9EBA19B426384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3477D8-79DD-43C3-B8BA-080977AA9ED9}"/>
      </w:docPartPr>
      <w:docPartBody>
        <w:p w:rsidR="005F1840" w:rsidRDefault="00991B89" w:rsidP="00991B89">
          <w:pPr>
            <w:pStyle w:val="2FDF2C96005F4ED3B9EBA19B42638497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MS Mincho"/>
    <w:charset w:val="EE"/>
    <w:family w:val="swiss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6886"/>
    <w:rsid w:val="00030308"/>
    <w:rsid w:val="000336FB"/>
    <w:rsid w:val="0005404A"/>
    <w:rsid w:val="00070710"/>
    <w:rsid w:val="00082AE8"/>
    <w:rsid w:val="000B08C1"/>
    <w:rsid w:val="000E30BC"/>
    <w:rsid w:val="000E3BE8"/>
    <w:rsid w:val="000E5265"/>
    <w:rsid w:val="0010247A"/>
    <w:rsid w:val="00125073"/>
    <w:rsid w:val="00171466"/>
    <w:rsid w:val="001721BA"/>
    <w:rsid w:val="001811B9"/>
    <w:rsid w:val="00183253"/>
    <w:rsid w:val="0019643B"/>
    <w:rsid w:val="001A5B89"/>
    <w:rsid w:val="001C5817"/>
    <w:rsid w:val="001D36B9"/>
    <w:rsid w:val="001E60FA"/>
    <w:rsid w:val="001F186F"/>
    <w:rsid w:val="001F18C1"/>
    <w:rsid w:val="00212E3F"/>
    <w:rsid w:val="00217099"/>
    <w:rsid w:val="002449F4"/>
    <w:rsid w:val="002759FF"/>
    <w:rsid w:val="002B3BBF"/>
    <w:rsid w:val="002C0D74"/>
    <w:rsid w:val="002F4426"/>
    <w:rsid w:val="00301D36"/>
    <w:rsid w:val="00307040"/>
    <w:rsid w:val="003123BF"/>
    <w:rsid w:val="0033088A"/>
    <w:rsid w:val="00375D81"/>
    <w:rsid w:val="00385A56"/>
    <w:rsid w:val="003977C1"/>
    <w:rsid w:val="003B4687"/>
    <w:rsid w:val="003B77F1"/>
    <w:rsid w:val="003D7F19"/>
    <w:rsid w:val="003F0062"/>
    <w:rsid w:val="003F2A32"/>
    <w:rsid w:val="004119C3"/>
    <w:rsid w:val="00412DBD"/>
    <w:rsid w:val="0042095C"/>
    <w:rsid w:val="004573DC"/>
    <w:rsid w:val="004873CB"/>
    <w:rsid w:val="004B1023"/>
    <w:rsid w:val="004F0028"/>
    <w:rsid w:val="00541828"/>
    <w:rsid w:val="00557D17"/>
    <w:rsid w:val="00574633"/>
    <w:rsid w:val="00575B84"/>
    <w:rsid w:val="00592451"/>
    <w:rsid w:val="00594E98"/>
    <w:rsid w:val="005C5D41"/>
    <w:rsid w:val="005D6084"/>
    <w:rsid w:val="005F1840"/>
    <w:rsid w:val="00615834"/>
    <w:rsid w:val="00616C33"/>
    <w:rsid w:val="00625B90"/>
    <w:rsid w:val="006351F2"/>
    <w:rsid w:val="00675654"/>
    <w:rsid w:val="00675763"/>
    <w:rsid w:val="006B0D80"/>
    <w:rsid w:val="006D1130"/>
    <w:rsid w:val="00754E68"/>
    <w:rsid w:val="00784447"/>
    <w:rsid w:val="00802E03"/>
    <w:rsid w:val="008225C7"/>
    <w:rsid w:val="00822630"/>
    <w:rsid w:val="00845353"/>
    <w:rsid w:val="0085402B"/>
    <w:rsid w:val="0086575A"/>
    <w:rsid w:val="008C44C2"/>
    <w:rsid w:val="008D0C04"/>
    <w:rsid w:val="008D6967"/>
    <w:rsid w:val="00907894"/>
    <w:rsid w:val="00913A63"/>
    <w:rsid w:val="00934FDB"/>
    <w:rsid w:val="00991B89"/>
    <w:rsid w:val="009C7EF6"/>
    <w:rsid w:val="009D4F93"/>
    <w:rsid w:val="009F0A44"/>
    <w:rsid w:val="00A0170D"/>
    <w:rsid w:val="00A06FDA"/>
    <w:rsid w:val="00A46BAB"/>
    <w:rsid w:val="00A96847"/>
    <w:rsid w:val="00AC1400"/>
    <w:rsid w:val="00AC34E3"/>
    <w:rsid w:val="00AC480F"/>
    <w:rsid w:val="00AD329D"/>
    <w:rsid w:val="00AE09F2"/>
    <w:rsid w:val="00AF4D2B"/>
    <w:rsid w:val="00B27870"/>
    <w:rsid w:val="00B449CF"/>
    <w:rsid w:val="00B522D6"/>
    <w:rsid w:val="00B53A18"/>
    <w:rsid w:val="00B55F80"/>
    <w:rsid w:val="00B8281E"/>
    <w:rsid w:val="00B97A7B"/>
    <w:rsid w:val="00BB114E"/>
    <w:rsid w:val="00BC125A"/>
    <w:rsid w:val="00BF0282"/>
    <w:rsid w:val="00BF3A87"/>
    <w:rsid w:val="00BF4CE8"/>
    <w:rsid w:val="00C16CB5"/>
    <w:rsid w:val="00C3277A"/>
    <w:rsid w:val="00C378F4"/>
    <w:rsid w:val="00C46CC1"/>
    <w:rsid w:val="00C825AD"/>
    <w:rsid w:val="00CB0158"/>
    <w:rsid w:val="00CC6C07"/>
    <w:rsid w:val="00CC6F25"/>
    <w:rsid w:val="00CD1D57"/>
    <w:rsid w:val="00CD284B"/>
    <w:rsid w:val="00CD4804"/>
    <w:rsid w:val="00CE2D99"/>
    <w:rsid w:val="00CF138E"/>
    <w:rsid w:val="00CF3352"/>
    <w:rsid w:val="00D00967"/>
    <w:rsid w:val="00D02F1B"/>
    <w:rsid w:val="00D03E7B"/>
    <w:rsid w:val="00D503A7"/>
    <w:rsid w:val="00D57AB2"/>
    <w:rsid w:val="00D62570"/>
    <w:rsid w:val="00D650BD"/>
    <w:rsid w:val="00D8269D"/>
    <w:rsid w:val="00D91028"/>
    <w:rsid w:val="00DA05DB"/>
    <w:rsid w:val="00DA170B"/>
    <w:rsid w:val="00DC527B"/>
    <w:rsid w:val="00DC5B6E"/>
    <w:rsid w:val="00DF1217"/>
    <w:rsid w:val="00E02953"/>
    <w:rsid w:val="00E16357"/>
    <w:rsid w:val="00E40760"/>
    <w:rsid w:val="00E46106"/>
    <w:rsid w:val="00E54CF6"/>
    <w:rsid w:val="00EA6B2E"/>
    <w:rsid w:val="00EB6E1E"/>
    <w:rsid w:val="00EC4DA9"/>
    <w:rsid w:val="00ED7833"/>
    <w:rsid w:val="00F122F8"/>
    <w:rsid w:val="00F4664E"/>
    <w:rsid w:val="00F57F24"/>
    <w:rsid w:val="00F65496"/>
    <w:rsid w:val="00F65580"/>
    <w:rsid w:val="00FB0DE8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91B89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726EADD8A2F4476997CEBE112AE21D5D">
    <w:name w:val="726EADD8A2F4476997CEBE112AE21D5D"/>
    <w:rsid w:val="00991B89"/>
  </w:style>
  <w:style w:type="paragraph" w:customStyle="1" w:styleId="573B6D5BC6724A19BFB45D0925A83680">
    <w:name w:val="573B6D5BC6724A19BFB45D0925A83680"/>
    <w:rsid w:val="00991B89"/>
  </w:style>
  <w:style w:type="paragraph" w:customStyle="1" w:styleId="EA86C60E37794CBDA04AEB2FA10B77E9">
    <w:name w:val="EA86C60E37794CBDA04AEB2FA10B77E9"/>
    <w:rsid w:val="00991B89"/>
  </w:style>
  <w:style w:type="paragraph" w:customStyle="1" w:styleId="7475EC445D6B4D9F8D6220CD6E69B138">
    <w:name w:val="7475EC445D6B4D9F8D6220CD6E69B138"/>
    <w:rsid w:val="00991B89"/>
  </w:style>
  <w:style w:type="paragraph" w:customStyle="1" w:styleId="60D1FFE9AE704985B355D8332B9B2B04">
    <w:name w:val="60D1FFE9AE704985B355D8332B9B2B04"/>
    <w:rsid w:val="00991B89"/>
  </w:style>
  <w:style w:type="paragraph" w:customStyle="1" w:styleId="2FDF2C96005F4ED3B9EBA19B42638497">
    <w:name w:val="2FDF2C96005F4ED3B9EBA19B42638497"/>
    <w:rsid w:val="00991B89"/>
  </w:style>
  <w:style w:type="paragraph" w:customStyle="1" w:styleId="573B6D5BC6724A19BFB45D0925A836801">
    <w:name w:val="573B6D5BC6724A19BFB45D0925A83680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75EC445D6B4D9F8D6220CD6E69B1381">
    <w:name w:val="7475EC445D6B4D9F8D6220CD6E69B138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F2C96005F4ED3B9EBA19B426384971">
    <w:name w:val="2FDF2C96005F4ED3B9EBA19B42638497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44CE508D44637A641C4F5F0E11A0F">
    <w:name w:val="18C44CE508D44637A641C4F5F0E11A0F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429F4681A43CAAF6FAE0CCCF5E697">
    <w:name w:val="18D429F4681A43CAAF6FAE0CCCF5E697"/>
    <w:pPr>
      <w:spacing w:after="160" w:line="259" w:lineRule="auto"/>
    </w:pPr>
  </w:style>
  <w:style w:type="paragraph" w:customStyle="1" w:styleId="45149AE07E5A4B2C974210ED579FF0A5">
    <w:name w:val="45149AE07E5A4B2C974210ED579FF0A5"/>
    <w:pPr>
      <w:spacing w:after="160" w:line="259" w:lineRule="auto"/>
    </w:pPr>
  </w:style>
  <w:style w:type="paragraph" w:customStyle="1" w:styleId="713749662C8D458FB96B91ACB73BA2F0">
    <w:name w:val="713749662C8D458FB96B91ACB73BA2F0"/>
    <w:pPr>
      <w:spacing w:after="160" w:line="259" w:lineRule="auto"/>
    </w:pPr>
  </w:style>
  <w:style w:type="paragraph" w:customStyle="1" w:styleId="7B5CD383C3FB488284D61139B024629E">
    <w:name w:val="7B5CD383C3FB488284D61139B024629E"/>
    <w:pPr>
      <w:spacing w:after="160" w:line="259" w:lineRule="auto"/>
    </w:pPr>
  </w:style>
  <w:style w:type="paragraph" w:customStyle="1" w:styleId="1C1FC0226A174BBDB4F76D11FF6DCFFD">
    <w:name w:val="1C1FC0226A174BBDB4F76D11FF6DCFFD"/>
    <w:pPr>
      <w:spacing w:after="160" w:line="259" w:lineRule="auto"/>
    </w:pPr>
  </w:style>
  <w:style w:type="paragraph" w:customStyle="1" w:styleId="2A5D91C93EA344C2BA6A8347B94442E0">
    <w:name w:val="2A5D91C93EA344C2BA6A8347B94442E0"/>
    <w:pPr>
      <w:spacing w:after="160" w:line="259" w:lineRule="auto"/>
    </w:pPr>
  </w:style>
  <w:style w:type="paragraph" w:customStyle="1" w:styleId="255F56F365474323A98AF7F8D911E2C9">
    <w:name w:val="255F56F365474323A98AF7F8D911E2C9"/>
    <w:pPr>
      <w:spacing w:after="160" w:line="259" w:lineRule="auto"/>
    </w:pPr>
  </w:style>
  <w:style w:type="paragraph" w:customStyle="1" w:styleId="8F05BD63A0F742B099418EC25F82E9AE">
    <w:name w:val="8F05BD63A0F742B099418EC25F82E9AE"/>
    <w:pPr>
      <w:spacing w:after="160" w:line="259" w:lineRule="auto"/>
    </w:pPr>
  </w:style>
  <w:style w:type="paragraph" w:customStyle="1" w:styleId="F25B105D254148C8AD7F236B0C7A396F">
    <w:name w:val="F25B105D254148C8AD7F236B0C7A396F"/>
    <w:pPr>
      <w:spacing w:after="160" w:line="259" w:lineRule="auto"/>
    </w:pPr>
  </w:style>
  <w:style w:type="paragraph" w:customStyle="1" w:styleId="96349B33C7744286B69BCC38A0A24F51">
    <w:name w:val="96349B33C7744286B69BCC38A0A24F51"/>
    <w:pPr>
      <w:spacing w:after="160" w:line="259" w:lineRule="auto"/>
    </w:pPr>
  </w:style>
  <w:style w:type="paragraph" w:customStyle="1" w:styleId="3A5C0F9E23AC402D9B23BF10FE9523A1">
    <w:name w:val="3A5C0F9E23AC402D9B23BF10FE9523A1"/>
    <w:pPr>
      <w:spacing w:after="160" w:line="259" w:lineRule="auto"/>
    </w:pPr>
  </w:style>
  <w:style w:type="paragraph" w:customStyle="1" w:styleId="896156712CBA4CFF914614A7F0F2D97B">
    <w:name w:val="896156712CBA4CFF914614A7F0F2D97B"/>
    <w:pPr>
      <w:spacing w:after="160" w:line="259" w:lineRule="auto"/>
    </w:pPr>
  </w:style>
  <w:style w:type="paragraph" w:customStyle="1" w:styleId="33267D70FF204E48BA241842D20BBF96">
    <w:name w:val="33267D70FF204E48BA241842D20BBF96"/>
    <w:pPr>
      <w:spacing w:after="160" w:line="259" w:lineRule="auto"/>
    </w:pPr>
  </w:style>
  <w:style w:type="paragraph" w:customStyle="1" w:styleId="90D8C902F55E44728F622D49C948DD0F">
    <w:name w:val="90D8C902F55E44728F622D49C948DD0F"/>
    <w:pPr>
      <w:spacing w:after="160" w:line="259" w:lineRule="auto"/>
    </w:pPr>
  </w:style>
  <w:style w:type="paragraph" w:customStyle="1" w:styleId="01D4FC23F4264176B661E0A453BD4E6B">
    <w:name w:val="01D4FC23F4264176B661E0A453BD4E6B"/>
    <w:pPr>
      <w:spacing w:after="160" w:line="259" w:lineRule="auto"/>
    </w:pPr>
  </w:style>
  <w:style w:type="paragraph" w:customStyle="1" w:styleId="CCEBE55243DA4762A7E9369844A8DF30">
    <w:name w:val="CCEBE55243DA4762A7E9369844A8DF30"/>
    <w:pPr>
      <w:spacing w:after="160" w:line="259" w:lineRule="auto"/>
    </w:pPr>
  </w:style>
  <w:style w:type="paragraph" w:customStyle="1" w:styleId="6E6FDB3693344E329A0B5BE291E76BC8">
    <w:name w:val="6E6FDB3693344E329A0B5BE291E76BC8"/>
    <w:pPr>
      <w:spacing w:after="160" w:line="259" w:lineRule="auto"/>
    </w:pPr>
  </w:style>
  <w:style w:type="paragraph" w:customStyle="1" w:styleId="33FD0E835BD748B0B1DE6376242F2B66">
    <w:name w:val="33FD0E835BD748B0B1DE6376242F2B6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84EDE-A85A-484D-8C21-676C0EDA8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2684</Words>
  <Characters>15300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2021-04-16T11:05:00Z</dcterms:created>
  <dcterms:modified xsi:type="dcterms:W3CDTF">2021-04-29T00:36:00Z</dcterms:modified>
</cp:coreProperties>
</file>