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3901D" w14:textId="77777777" w:rsidR="002D5D7E" w:rsidRDefault="000F4C52" w:rsidP="00346EC9">
      <w:pPr>
        <w:jc w:val="center"/>
        <w:rPr>
          <w:rFonts w:ascii="Arial Narrow" w:hAnsi="Arial Narrow"/>
          <w:b/>
        </w:rPr>
      </w:pPr>
      <w:bookmarkStart w:id="0" w:name="_GoBack"/>
      <w:bookmarkEnd w:id="0"/>
      <w:r>
        <w:rPr>
          <w:rFonts w:ascii="Arial Narrow" w:hAnsi="Arial Narrow"/>
          <w:b/>
        </w:rPr>
        <w:t>P</w:t>
      </w:r>
      <w:r w:rsidR="00346EC9" w:rsidRPr="00346EC9">
        <w:rPr>
          <w:rFonts w:ascii="Arial Narrow" w:hAnsi="Arial Narrow"/>
          <w:b/>
        </w:rPr>
        <w:t xml:space="preserve">revodník toho, ktorý subjekt koná v akom postavení v dôsledku zlúčenia v procesoch, vzťahoch, úkonoch a zodpovednostiach, ktoré existovali </w:t>
      </w:r>
      <w:r w:rsidR="00967E3C">
        <w:rPr>
          <w:rFonts w:ascii="Arial Narrow" w:hAnsi="Arial Narrow"/>
          <w:b/>
        </w:rPr>
        <w:t>ku dňu</w:t>
      </w:r>
      <w:r w:rsidR="00346EC9" w:rsidRPr="00346EC9">
        <w:rPr>
          <w:rFonts w:ascii="Arial Narrow" w:hAnsi="Arial Narrow"/>
          <w:b/>
        </w:rPr>
        <w:t xml:space="preserve"> zlúčenia operačných programov</w:t>
      </w:r>
    </w:p>
    <w:p w14:paraId="565C6A52" w14:textId="77777777" w:rsidR="00F17E7C" w:rsidRPr="00F17E7C" w:rsidRDefault="00F17E7C" w:rsidP="00346EC9">
      <w:pPr>
        <w:jc w:val="center"/>
        <w:rPr>
          <w:rFonts w:ascii="Arial Narrow" w:hAnsi="Arial Narrow"/>
          <w:i/>
        </w:rPr>
      </w:pPr>
      <w:r w:rsidRPr="00F17E7C">
        <w:rPr>
          <w:rFonts w:ascii="Arial Narrow" w:hAnsi="Arial Narrow"/>
          <w:i/>
        </w:rPr>
        <w:t xml:space="preserve">(tabuľka je všeobecná a reaguje na situáciu, kedy je účinná novela zák. č. 292/2014 Z. z. a sú účinné tzv. </w:t>
      </w:r>
      <w:proofErr w:type="spellStart"/>
      <w:r w:rsidRPr="00F17E7C">
        <w:rPr>
          <w:rFonts w:ascii="Arial Narrow" w:hAnsi="Arial Narrow"/>
          <w:i/>
        </w:rPr>
        <w:t>delegovacie</w:t>
      </w:r>
      <w:proofErr w:type="spellEnd"/>
      <w:r w:rsidRPr="00F17E7C">
        <w:rPr>
          <w:rFonts w:ascii="Arial Narrow" w:hAnsi="Arial Narrow"/>
          <w:i/>
        </w:rPr>
        <w:t xml:space="preserve"> zmluvy, preto pre situáciu, keď uvedené podmienky splnené nie sú, je potrebné tento podklad uplatňovať spolu s osobitným usmernením (postupom) pre prípad, kedy nie je účinná ani novela, ani nie sú účinné </w:t>
      </w:r>
      <w:proofErr w:type="spellStart"/>
      <w:r w:rsidRPr="00F17E7C">
        <w:rPr>
          <w:rFonts w:ascii="Arial Narrow" w:hAnsi="Arial Narrow"/>
          <w:i/>
        </w:rPr>
        <w:t>delegovacie</w:t>
      </w:r>
      <w:proofErr w:type="spellEnd"/>
      <w:r w:rsidRPr="00F17E7C">
        <w:rPr>
          <w:rFonts w:ascii="Arial Narrow" w:hAnsi="Arial Narrow"/>
          <w:i/>
        </w:rPr>
        <w:t xml:space="preserve"> zmluvy)</w:t>
      </w:r>
    </w:p>
    <w:tbl>
      <w:tblPr>
        <w:tblStyle w:val="Mriekatabuky"/>
        <w:tblW w:w="10598" w:type="dxa"/>
        <w:tblLook w:val="04A0" w:firstRow="1" w:lastRow="0" w:firstColumn="1" w:lastColumn="0" w:noHBand="0" w:noVBand="1"/>
      </w:tblPr>
      <w:tblGrid>
        <w:gridCol w:w="675"/>
        <w:gridCol w:w="2410"/>
        <w:gridCol w:w="2694"/>
        <w:gridCol w:w="2516"/>
        <w:gridCol w:w="2303"/>
      </w:tblGrid>
      <w:tr w:rsidR="00F17E7C" w:rsidRPr="00346EC9" w14:paraId="7F8A3FE3" w14:textId="77777777" w:rsidTr="00F17E7C">
        <w:trPr>
          <w:cantSplit/>
          <w:trHeight w:val="1134"/>
        </w:trPr>
        <w:tc>
          <w:tcPr>
            <w:tcW w:w="675" w:type="dxa"/>
            <w:shd w:val="clear" w:color="auto" w:fill="auto"/>
            <w:textDirection w:val="btLr"/>
          </w:tcPr>
          <w:p w14:paraId="3267B810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0D0358" w14:textId="77777777" w:rsidR="00F17E7C" w:rsidRPr="00346EC9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346EC9">
              <w:rPr>
                <w:rFonts w:ascii="Arial Narrow" w:hAnsi="Arial Narrow"/>
              </w:rPr>
              <w:t>označenie procesu, vzťahu, úkonu a zodpovednosti, ktoré existovali v čase zlúčenia OP a označenie časti novely, kde sa úprava nachádza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1E463664" w14:textId="77777777" w:rsidR="00F17E7C" w:rsidRPr="00E35CED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</w:rPr>
            </w:pPr>
            <w:r w:rsidRPr="00E35CED">
              <w:rPr>
                <w:rFonts w:ascii="Arial Narrow" w:hAnsi="Arial Narrow"/>
                <w:b/>
              </w:rPr>
              <w:t>MŠVVaŠ SR</w:t>
            </w:r>
          </w:p>
          <w:p w14:paraId="06A151A1" w14:textId="77777777" w:rsidR="00F17E7C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 w:rsidRPr="00346EC9">
              <w:rPr>
                <w:rFonts w:ascii="Arial Narrow" w:hAnsi="Arial Narrow"/>
              </w:rPr>
              <w:t xml:space="preserve">(vrátane </w:t>
            </w:r>
            <w:r>
              <w:rPr>
                <w:rFonts w:ascii="Arial Narrow" w:hAnsi="Arial Narrow"/>
              </w:rPr>
              <w:t>štatutárneho orgánu</w:t>
            </w:r>
            <w:r w:rsidRPr="00346EC9">
              <w:rPr>
                <w:rFonts w:ascii="Arial Narrow" w:hAnsi="Arial Narrow"/>
              </w:rPr>
              <w:t xml:space="preserve"> M</w:t>
            </w:r>
            <w:r w:rsidR="00C4187A">
              <w:rPr>
                <w:rFonts w:ascii="Arial Narrow" w:hAnsi="Arial Narrow"/>
              </w:rPr>
              <w:t>Š</w:t>
            </w:r>
            <w:r w:rsidRPr="00346EC9">
              <w:rPr>
                <w:rFonts w:ascii="Arial Narrow" w:hAnsi="Arial Narrow"/>
              </w:rPr>
              <w:t>VVaŠ SR – rozlišuje sa individuálne)</w:t>
            </w:r>
          </w:p>
          <w:p w14:paraId="75C542E9" w14:textId="77777777" w:rsidR="00F17E7C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</w:rPr>
            </w:pPr>
            <w:r w:rsidRPr="00E35CED">
              <w:rPr>
                <w:rFonts w:ascii="Arial Narrow" w:hAnsi="Arial Narrow"/>
                <w:b/>
              </w:rPr>
              <w:t>ako RO pre OP VaI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2BA4D20B" w14:textId="77777777" w:rsidR="00F17E7C" w:rsidRPr="00E35CED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(RO-Z)</w:t>
            </w:r>
          </w:p>
        </w:tc>
        <w:tc>
          <w:tcPr>
            <w:tcW w:w="2516" w:type="dxa"/>
            <w:shd w:val="clear" w:color="auto" w:fill="EAF1DD" w:themeFill="accent3" w:themeFillTint="33"/>
            <w:vAlign w:val="center"/>
          </w:tcPr>
          <w:p w14:paraId="6D1AAAF6" w14:textId="77777777" w:rsidR="00F17E7C" w:rsidRPr="00E35CED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</w:rPr>
            </w:pPr>
            <w:r w:rsidRPr="00E35CED">
              <w:rPr>
                <w:rFonts w:ascii="Arial Narrow" w:hAnsi="Arial Narrow"/>
                <w:b/>
              </w:rPr>
              <w:t>VA</w:t>
            </w:r>
          </w:p>
          <w:p w14:paraId="331D9DB3" w14:textId="77777777" w:rsidR="00F17E7C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 w:rsidRPr="00346EC9">
              <w:rPr>
                <w:rFonts w:ascii="Arial Narrow" w:hAnsi="Arial Narrow"/>
              </w:rPr>
              <w:t xml:space="preserve">(vrátane </w:t>
            </w:r>
            <w:r>
              <w:rPr>
                <w:rFonts w:ascii="Arial Narrow" w:hAnsi="Arial Narrow"/>
              </w:rPr>
              <w:t>štatutárneho orgánu</w:t>
            </w:r>
            <w:r w:rsidRPr="00346EC9">
              <w:rPr>
                <w:rFonts w:ascii="Arial Narrow" w:hAnsi="Arial Narrow"/>
              </w:rPr>
              <w:t xml:space="preserve"> VA – rozlišuje sa individuálne)</w:t>
            </w:r>
          </w:p>
          <w:p w14:paraId="12379919" w14:textId="77777777" w:rsidR="00F17E7C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</w:rPr>
            </w:pPr>
            <w:r w:rsidRPr="00E35CED">
              <w:rPr>
                <w:rFonts w:ascii="Arial Narrow" w:hAnsi="Arial Narrow"/>
                <w:b/>
              </w:rPr>
              <w:t xml:space="preserve">ako </w:t>
            </w:r>
            <w:r>
              <w:rPr>
                <w:rFonts w:ascii="Arial Narrow" w:hAnsi="Arial Narrow"/>
                <w:b/>
              </w:rPr>
              <w:t>S</w:t>
            </w:r>
            <w:r w:rsidRPr="00E35CED">
              <w:rPr>
                <w:rFonts w:ascii="Arial Narrow" w:hAnsi="Arial Narrow"/>
                <w:b/>
              </w:rPr>
              <w:t>O pre OP VaI</w:t>
            </w:r>
          </w:p>
          <w:p w14:paraId="79F908FA" w14:textId="77777777" w:rsidR="00F17E7C" w:rsidRPr="00346EC9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(SO-Z)</w:t>
            </w:r>
          </w:p>
        </w:tc>
        <w:tc>
          <w:tcPr>
            <w:tcW w:w="2303" w:type="dxa"/>
            <w:shd w:val="clear" w:color="auto" w:fill="DBE5F1" w:themeFill="accent1" w:themeFillTint="33"/>
            <w:vAlign w:val="center"/>
          </w:tcPr>
          <w:p w14:paraId="61DA682A" w14:textId="77777777" w:rsidR="00F17E7C" w:rsidRPr="00E35CED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</w:rPr>
            </w:pPr>
            <w:r w:rsidRPr="00E35CED">
              <w:rPr>
                <w:rFonts w:ascii="Arial Narrow" w:hAnsi="Arial Narrow"/>
                <w:b/>
              </w:rPr>
              <w:t>MH SR</w:t>
            </w:r>
          </w:p>
          <w:p w14:paraId="12DAEB27" w14:textId="77777777" w:rsidR="00F17E7C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 w:rsidRPr="00346EC9">
              <w:rPr>
                <w:rFonts w:ascii="Arial Narrow" w:hAnsi="Arial Narrow"/>
              </w:rPr>
              <w:t xml:space="preserve">(vrátane </w:t>
            </w:r>
            <w:r>
              <w:rPr>
                <w:rFonts w:ascii="Arial Narrow" w:hAnsi="Arial Narrow"/>
              </w:rPr>
              <w:t>štatutárneho orgánu</w:t>
            </w:r>
            <w:r w:rsidRPr="00346EC9">
              <w:rPr>
                <w:rFonts w:ascii="Arial Narrow" w:hAnsi="Arial Narrow"/>
              </w:rPr>
              <w:t xml:space="preserve"> MH SR – rozlišuje sa individuálne)</w:t>
            </w:r>
          </w:p>
          <w:p w14:paraId="737BED1D" w14:textId="77777777" w:rsidR="00F17E7C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</w:rPr>
            </w:pPr>
            <w:r w:rsidRPr="00E35CED">
              <w:rPr>
                <w:rFonts w:ascii="Arial Narrow" w:hAnsi="Arial Narrow"/>
                <w:b/>
              </w:rPr>
              <w:t xml:space="preserve">ako </w:t>
            </w:r>
            <w:r>
              <w:rPr>
                <w:rFonts w:ascii="Arial Narrow" w:hAnsi="Arial Narrow"/>
                <w:b/>
              </w:rPr>
              <w:t>S</w:t>
            </w:r>
            <w:r w:rsidRPr="00E35CED">
              <w:rPr>
                <w:rFonts w:ascii="Arial Narrow" w:hAnsi="Arial Narrow"/>
                <w:b/>
              </w:rPr>
              <w:t>O pre OP VaI</w:t>
            </w:r>
          </w:p>
          <w:p w14:paraId="74446958" w14:textId="77777777" w:rsidR="00F17E7C" w:rsidRPr="00346EC9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(SO-Z)</w:t>
            </w:r>
          </w:p>
        </w:tc>
      </w:tr>
      <w:tr w:rsidR="00F17E7C" w:rsidRPr="00346EC9" w14:paraId="3DA276EC" w14:textId="77777777" w:rsidTr="00F17E7C">
        <w:tc>
          <w:tcPr>
            <w:tcW w:w="675" w:type="dxa"/>
            <w:vMerge w:val="restart"/>
            <w:shd w:val="clear" w:color="auto" w:fill="F5F2F8"/>
            <w:textDirection w:val="btLr"/>
          </w:tcPr>
          <w:p w14:paraId="75C1EF75" w14:textId="77777777" w:rsidR="00F17E7C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KONANIE O ŽONFP  A POSUDZOVANIE PZ + ROZHODNUTIA PODĽA ZÁKONA</w:t>
            </w:r>
          </w:p>
        </w:tc>
        <w:tc>
          <w:tcPr>
            <w:tcW w:w="2410" w:type="dxa"/>
            <w:shd w:val="clear" w:color="auto" w:fill="F5F2F8"/>
            <w:vAlign w:val="center"/>
          </w:tcPr>
          <w:p w14:paraId="2C0C4F6B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výzva / vyzvanie vyhlásené do zlúčenia OP</w:t>
            </w:r>
          </w:p>
          <w:p w14:paraId="6F4F95B5" w14:textId="77777777" w:rsidR="00F17E7C" w:rsidRDefault="00F17E7C" w:rsidP="003C79DE">
            <w:pPr>
              <w:spacing w:before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(§54 ods. 1)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B2F38CA" w14:textId="77777777" w:rsidR="00F17E7C" w:rsidRDefault="00F17E7C" w:rsidP="003C79DE">
            <w:pPr>
              <w:tabs>
                <w:tab w:val="left" w:pos="2471"/>
              </w:tabs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výzva trvá tak, ako bola vyhlásená, aj po zlúčení OP a koná o nej ten poskytovateľ, ktorý ju vyhlásil, t.j. RO-Z alebo niektorý z SO-Z; nemá zmysel ju prisudzovať poskytovateľovi nástupníckeho OP, lebo ten s výzvou vyhlásenou pred zlúčením nemá nič spoločné; to isté platí aj vo vzťahu k hodnotiacim kolám a vyzvaniam</w:t>
            </w:r>
          </w:p>
        </w:tc>
      </w:tr>
      <w:tr w:rsidR="00F17E7C" w:rsidRPr="00346EC9" w14:paraId="477BE831" w14:textId="77777777" w:rsidTr="00F17E7C">
        <w:tc>
          <w:tcPr>
            <w:tcW w:w="675" w:type="dxa"/>
            <w:vMerge/>
            <w:shd w:val="clear" w:color="auto" w:fill="F5F2F8"/>
            <w:textDirection w:val="btLr"/>
          </w:tcPr>
          <w:p w14:paraId="1CB917E6" w14:textId="77777777" w:rsidR="00F17E7C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F5F2F8"/>
            <w:vAlign w:val="center"/>
          </w:tcPr>
          <w:p w14:paraId="03D69612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zhodnotenie PZ</w:t>
            </w:r>
          </w:p>
          <w:p w14:paraId="5A47D6E7" w14:textId="77777777" w:rsidR="00F17E7C" w:rsidRPr="00346EC9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346EC9">
              <w:rPr>
                <w:rFonts w:ascii="Arial Narrow" w:hAnsi="Arial Narrow"/>
              </w:rPr>
              <w:t>konanie o ŽoNFP,</w:t>
            </w:r>
          </w:p>
          <w:p w14:paraId="110C35C3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346EC9">
              <w:rPr>
                <w:rFonts w:ascii="Arial Narrow" w:hAnsi="Arial Narrow"/>
              </w:rPr>
              <w:t>konanie o odvolaní (</w:t>
            </w:r>
            <w:r>
              <w:rPr>
                <w:rFonts w:ascii="Arial Narrow" w:hAnsi="Arial Narrow"/>
              </w:rPr>
              <w:t>iba v časti, keď úkony vykonáva</w:t>
            </w:r>
            <w:r w:rsidRPr="00346EC9">
              <w:rPr>
                <w:rFonts w:ascii="Arial Narrow" w:hAnsi="Arial Narrow"/>
              </w:rPr>
              <w:t xml:space="preserve"> poskytovateľ)</w:t>
            </w:r>
          </w:p>
          <w:p w14:paraId="1C772527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konanie podľa § 21</w:t>
            </w:r>
          </w:p>
          <w:p w14:paraId="21D8FC32" w14:textId="77777777" w:rsidR="00F17E7C" w:rsidRPr="00346EC9" w:rsidRDefault="00F17E7C" w:rsidP="003C79DE">
            <w:pPr>
              <w:spacing w:before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(§54 ods. 2, 4 a 6)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1C4FD864" w14:textId="77777777" w:rsidR="00F17E7C" w:rsidRPr="00346EC9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dokončí konania (jednotnosť konania) v postavení RO-Z; jeho konanie sa považuje za konanie RO-N; zodpovednosť a riešenie nezrovnalostí sú upravené samostatne</w:t>
            </w:r>
          </w:p>
        </w:tc>
        <w:tc>
          <w:tcPr>
            <w:tcW w:w="2516" w:type="dxa"/>
            <w:shd w:val="clear" w:color="auto" w:fill="EAF1DD" w:themeFill="accent3" w:themeFillTint="33"/>
            <w:vAlign w:val="center"/>
          </w:tcPr>
          <w:p w14:paraId="3E2D4015" w14:textId="77777777" w:rsidR="00F17E7C" w:rsidRPr="00346EC9" w:rsidRDefault="00F17E7C" w:rsidP="00C4187A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dokončí konania (jednotnosť konania) v post</w:t>
            </w:r>
            <w:r w:rsidR="00C4187A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>vení SO-Z; jeho konanie sa považuje za konanie SO-N (aj keď ním v skutočnosti nie je – využila sa takáto legislatívna možnosť osobitnej úpravy postavenia VA); zodpovednosť a riešenie nezrovnalostí sú upravené samostatne</w:t>
            </w:r>
          </w:p>
        </w:tc>
        <w:tc>
          <w:tcPr>
            <w:tcW w:w="2303" w:type="dxa"/>
            <w:shd w:val="clear" w:color="auto" w:fill="DBE5F1" w:themeFill="accent1" w:themeFillTint="33"/>
            <w:vAlign w:val="center"/>
          </w:tcPr>
          <w:p w14:paraId="6900319B" w14:textId="77777777" w:rsidR="00F17E7C" w:rsidRPr="00346EC9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dokončí konania (jednotnosť konania) v postavení SO-Z; jeho konanie sa považuje za konanie SO-N; zodpovednosť a riešenie nezrovnalostí sú upravené samostatne</w:t>
            </w:r>
          </w:p>
        </w:tc>
      </w:tr>
      <w:tr w:rsidR="00F17E7C" w:rsidRPr="00346EC9" w14:paraId="03A4113B" w14:textId="77777777" w:rsidTr="00F17E7C">
        <w:tc>
          <w:tcPr>
            <w:tcW w:w="675" w:type="dxa"/>
            <w:vMerge/>
            <w:shd w:val="clear" w:color="auto" w:fill="F5F2F8"/>
            <w:textDirection w:val="btLr"/>
          </w:tcPr>
          <w:p w14:paraId="77877451" w14:textId="77777777" w:rsidR="00F17E7C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 w:val="restart"/>
            <w:shd w:val="clear" w:color="auto" w:fill="F5F2F8"/>
            <w:vAlign w:val="center"/>
          </w:tcPr>
          <w:p w14:paraId="2286436F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odvolacie konanie (ostatné úkony)</w:t>
            </w:r>
          </w:p>
          <w:p w14:paraId="13D5C47B" w14:textId="77777777" w:rsidR="00F17E7C" w:rsidRDefault="00F17E7C" w:rsidP="00967E3C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úkony a konanie p. § 24</w:t>
            </w:r>
          </w:p>
          <w:p w14:paraId="0ADF5D48" w14:textId="77777777" w:rsidR="00F17E7C" w:rsidRPr="00346EC9" w:rsidRDefault="00F17E7C" w:rsidP="003C79DE">
            <w:pPr>
              <w:spacing w:before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(§54 ods. 5)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360A4848" w14:textId="77777777" w:rsidR="00F17E7C" w:rsidRPr="00346EC9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detto (len ŠO)</w:t>
            </w:r>
          </w:p>
        </w:tc>
        <w:tc>
          <w:tcPr>
            <w:tcW w:w="2516" w:type="dxa"/>
            <w:shd w:val="clear" w:color="auto" w:fill="EAF1DD" w:themeFill="accent3" w:themeFillTint="33"/>
            <w:vAlign w:val="center"/>
          </w:tcPr>
          <w:p w14:paraId="4383C3AE" w14:textId="77777777" w:rsidR="00F17E7C" w:rsidRPr="00346EC9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detto (len ŠO)</w:t>
            </w:r>
          </w:p>
        </w:tc>
        <w:tc>
          <w:tcPr>
            <w:tcW w:w="2303" w:type="dxa"/>
            <w:shd w:val="clear" w:color="auto" w:fill="DBE5F1" w:themeFill="accent1" w:themeFillTint="33"/>
            <w:vAlign w:val="center"/>
          </w:tcPr>
          <w:p w14:paraId="30F6B5AA" w14:textId="77777777" w:rsidR="00F17E7C" w:rsidRPr="00346EC9" w:rsidRDefault="00F17E7C" w:rsidP="003C79DE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detto (len ŠO)</w:t>
            </w:r>
          </w:p>
        </w:tc>
      </w:tr>
      <w:tr w:rsidR="00F17E7C" w:rsidRPr="00346EC9" w14:paraId="2AECD301" w14:textId="77777777" w:rsidTr="00F17E7C">
        <w:tc>
          <w:tcPr>
            <w:tcW w:w="675" w:type="dxa"/>
            <w:vMerge/>
            <w:shd w:val="clear" w:color="auto" w:fill="F5F2F8"/>
            <w:textDirection w:val="btLr"/>
          </w:tcPr>
          <w:p w14:paraId="4835A913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shd w:val="clear" w:color="auto" w:fill="F5F2F8"/>
            <w:vAlign w:val="center"/>
          </w:tcPr>
          <w:p w14:paraId="4DA410EC" w14:textId="77777777" w:rsidR="00F17E7C" w:rsidRPr="00346EC9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2A2A1177" w14:textId="070D594E" w:rsidR="00F17E7C" w:rsidRPr="00346EC9" w:rsidRDefault="00F17E7C" w:rsidP="003523F1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POZOR! preskúmavanie podľa § 24 ods. 4 začaté po zlúčení, </w:t>
            </w:r>
            <w:r w:rsidR="003523F1">
              <w:rPr>
                <w:rFonts w:ascii="Arial Narrow" w:hAnsi="Arial Narrow"/>
              </w:rPr>
              <w:t xml:space="preserve">hoci </w:t>
            </w:r>
            <w:r>
              <w:rPr>
                <w:rFonts w:ascii="Arial Narrow" w:hAnsi="Arial Narrow"/>
              </w:rPr>
              <w:t>aj na základe opodstatnenosti podnetu, ktorý bol podaný pred zlúčením, ale vyhodnotený až po ňom, vykonáva už ŠO RO-N resp. SO-N</w:t>
            </w:r>
          </w:p>
        </w:tc>
      </w:tr>
      <w:tr w:rsidR="00F17E7C" w:rsidRPr="00346EC9" w14:paraId="7A2749FC" w14:textId="77777777" w:rsidTr="00F17E7C">
        <w:trPr>
          <w:trHeight w:val="1200"/>
        </w:trPr>
        <w:tc>
          <w:tcPr>
            <w:tcW w:w="675" w:type="dxa"/>
            <w:vMerge/>
            <w:shd w:val="clear" w:color="auto" w:fill="F5F2F8"/>
            <w:textDirection w:val="btLr"/>
          </w:tcPr>
          <w:p w14:paraId="5A679FDC" w14:textId="77777777" w:rsidR="00F17E7C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 w:val="restart"/>
            <w:shd w:val="clear" w:color="auto" w:fill="F5F2F8"/>
            <w:vAlign w:val="center"/>
          </w:tcPr>
          <w:p w14:paraId="546C943C" w14:textId="77777777" w:rsidR="00F17E7C" w:rsidRDefault="00F17E7C" w:rsidP="008E36CC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konanie podľa § 41 a 41a (samostatne za časť, kedy konal ako poskytovateľ a samostatne za časť, kedy konal ako správny orgán)</w:t>
            </w:r>
          </w:p>
          <w:p w14:paraId="647FAF6A" w14:textId="77777777" w:rsidR="00F17E7C" w:rsidRDefault="00F17E7C" w:rsidP="008E36CC">
            <w:pPr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(§54 ods. 5 </w:t>
            </w:r>
            <w:proofErr w:type="spellStart"/>
            <w:r>
              <w:rPr>
                <w:rFonts w:ascii="Arial Narrow" w:hAnsi="Arial Narrow"/>
              </w:rPr>
              <w:t>posl</w:t>
            </w:r>
            <w:proofErr w:type="spellEnd"/>
            <w:r>
              <w:rPr>
                <w:rFonts w:ascii="Arial Narrow" w:hAnsi="Arial Narrow"/>
              </w:rPr>
              <w:t>. veta)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11796BBF" w14:textId="77777777" w:rsidR="00F17E7C" w:rsidRDefault="00F17E7C" w:rsidP="00892469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4546EF">
              <w:rPr>
                <w:rFonts w:ascii="Arial Narrow" w:hAnsi="Arial Narrow"/>
                <w:u w:val="single"/>
              </w:rPr>
              <w:t>konanie ako poskytovateľ</w:t>
            </w:r>
            <w:r>
              <w:rPr>
                <w:rFonts w:ascii="Arial Narrow" w:hAnsi="Arial Narrow"/>
              </w:rPr>
              <w:t xml:space="preserve">  - ten, kto začal vykonávať úkony pred zlúčením, pokračuje ďalej vo vykonávaní týchto úkonov, t.j. ten orgán, ktorý začal vykonávať úkony poskytovateľa podľa § 41 ods. 1 až 4 a podľa § 41a ods. 1 a 2 pred zlúčením, v tejto činnosti pokračuje aj po zlúčení</w:t>
            </w:r>
          </w:p>
        </w:tc>
      </w:tr>
      <w:tr w:rsidR="00F17E7C" w:rsidRPr="00346EC9" w14:paraId="4E19928D" w14:textId="77777777" w:rsidTr="00F17E7C">
        <w:trPr>
          <w:trHeight w:val="565"/>
        </w:trPr>
        <w:tc>
          <w:tcPr>
            <w:tcW w:w="675" w:type="dxa"/>
            <w:vMerge/>
            <w:shd w:val="clear" w:color="auto" w:fill="F5F2F8"/>
            <w:textDirection w:val="btLr"/>
          </w:tcPr>
          <w:p w14:paraId="504E5350" w14:textId="77777777" w:rsidR="00F17E7C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shd w:val="clear" w:color="auto" w:fill="F5F2F8"/>
            <w:vAlign w:val="center"/>
          </w:tcPr>
          <w:p w14:paraId="67DF0D2F" w14:textId="77777777" w:rsidR="00F17E7C" w:rsidRDefault="00F17E7C" w:rsidP="008E36C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7309BE34" w14:textId="77777777" w:rsidR="00F17E7C" w:rsidRDefault="00F17E7C" w:rsidP="008E36CC">
            <w:pPr>
              <w:spacing w:before="120" w:after="120"/>
              <w:jc w:val="center"/>
              <w:rPr>
                <w:rFonts w:ascii="Arial Narrow" w:hAnsi="Arial Narrow"/>
              </w:rPr>
            </w:pPr>
            <w:r w:rsidRPr="004546EF">
              <w:rPr>
                <w:rFonts w:ascii="Arial Narrow" w:hAnsi="Arial Narrow"/>
                <w:u w:val="single"/>
              </w:rPr>
              <w:t>konanie ako správny orgán</w:t>
            </w:r>
            <w:r>
              <w:rPr>
                <w:rFonts w:ascii="Arial Narrow" w:hAnsi="Arial Narrow"/>
              </w:rPr>
              <w:t xml:space="preserve"> – pokračuje v konaní ten správny orgán, ktorý začal konať ako prvý, t.j. ten orgán, ktorý bol určeným správnym orgánom podľa § 41 ods. 6 resp. podľa § 41a ods. 4, t.j. priamo zo zákona (a na tomto fakte nič nemení ani zlúčenie)</w:t>
            </w:r>
          </w:p>
          <w:p w14:paraId="57D2D3F0" w14:textId="59A38301" w:rsidR="00F17E7C" w:rsidRDefault="00F17E7C" w:rsidP="00B8419F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POZOR! Táto téma nebude obsiahnutá v </w:t>
            </w:r>
            <w:proofErr w:type="spellStart"/>
            <w:r>
              <w:rPr>
                <w:rFonts w:ascii="Arial Narrow" w:hAnsi="Arial Narrow"/>
              </w:rPr>
              <w:t>delegovacej</w:t>
            </w:r>
            <w:proofErr w:type="spellEnd"/>
            <w:r>
              <w:rPr>
                <w:rFonts w:ascii="Arial Narrow" w:hAnsi="Arial Narrow"/>
              </w:rPr>
              <w:t xml:space="preserve"> zmluve, lebo správny orgán koná priamo na základe určenia zo zákona, nie na základe splnomocnenia. Preto by v tejto otázke ani nebolo potrebné osobitné ustanovenie v § 54, ale pre komplexnosť úpravy tam je obsiahnuté. Je jedno, či orgán začal správne konanie pred zlúčením, alebo </w:t>
            </w:r>
            <w:r w:rsidR="00B8419F">
              <w:rPr>
                <w:rFonts w:ascii="Arial Narrow" w:hAnsi="Arial Narrow"/>
              </w:rPr>
              <w:t xml:space="preserve">orgán </w:t>
            </w:r>
            <w:r>
              <w:rPr>
                <w:rFonts w:ascii="Arial Narrow" w:hAnsi="Arial Narrow"/>
              </w:rPr>
              <w:t>pokračuje v úkonoch</w:t>
            </w:r>
            <w:r w:rsidR="00B8419F">
              <w:rPr>
                <w:rFonts w:ascii="Arial Narrow" w:hAnsi="Arial Narrow"/>
              </w:rPr>
              <w:t xml:space="preserve"> po zlúčení</w:t>
            </w:r>
            <w:r>
              <w:rPr>
                <w:rFonts w:ascii="Arial Narrow" w:hAnsi="Arial Narrow"/>
              </w:rPr>
              <w:t>, ktoré poskytovateľ začal pred zlúčením , stále sa uplatní právny základ jeho konania podľa vyššie uvedených ustanovení § 41 ods. 6 resp. podľa § 41a ods. 4</w:t>
            </w:r>
          </w:p>
        </w:tc>
      </w:tr>
      <w:tr w:rsidR="00F17E7C" w:rsidRPr="00346EC9" w14:paraId="202A279C" w14:textId="77777777" w:rsidTr="00F17E7C">
        <w:trPr>
          <w:trHeight w:val="984"/>
        </w:trPr>
        <w:tc>
          <w:tcPr>
            <w:tcW w:w="675" w:type="dxa"/>
            <w:vMerge/>
            <w:shd w:val="clear" w:color="auto" w:fill="F5F2F8"/>
            <w:textDirection w:val="btLr"/>
          </w:tcPr>
          <w:p w14:paraId="4618086F" w14:textId="77777777" w:rsidR="00F17E7C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F5F2F8"/>
            <w:vAlign w:val="center"/>
          </w:tcPr>
          <w:p w14:paraId="230862AB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hodnotiaca správa</w:t>
            </w:r>
          </w:p>
          <w:p w14:paraId="13BDF385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vymenované rozhodnutia</w:t>
            </w:r>
          </w:p>
          <w:p w14:paraId="7933EE09" w14:textId="77777777" w:rsidR="00F17E7C" w:rsidRPr="00346EC9" w:rsidRDefault="00F17E7C" w:rsidP="00D6741B">
            <w:pPr>
              <w:spacing w:before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(§54 ods. 3 a 7)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583FBC5D" w14:textId="77777777" w:rsidR="00F17E7C" w:rsidRPr="00346EC9" w:rsidRDefault="00F17E7C" w:rsidP="00D6741B">
            <w:pPr>
              <w:spacing w:before="120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právne účinky hodnotiacej správy a rozhodnutí, ktoré boli vydané pred zlúčením, trvajú v rovnakom rozsahu aj po zlúčení, t.j. v dôsledku univerzálnej sukcesie vyvolávajú vždy rovnaké účinky (v zanikajúcom aj nástupníckom OP</w:t>
            </w:r>
          </w:p>
        </w:tc>
      </w:tr>
      <w:tr w:rsidR="00F17E7C" w:rsidRPr="00346EC9" w14:paraId="48C27113" w14:textId="77777777" w:rsidTr="00F17E7C">
        <w:trPr>
          <w:cantSplit/>
          <w:trHeight w:val="1134"/>
        </w:trPr>
        <w:tc>
          <w:tcPr>
            <w:tcW w:w="675" w:type="dxa"/>
            <w:vMerge w:val="restart"/>
            <w:shd w:val="clear" w:color="auto" w:fill="DAEEF3" w:themeFill="accent5" w:themeFillTint="33"/>
            <w:textDirection w:val="btLr"/>
          </w:tcPr>
          <w:p w14:paraId="0C3E4DC3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ZMLUVA A VÝKON PRÁV A POVINNOSTÍ</w:t>
            </w:r>
          </w:p>
        </w:tc>
        <w:tc>
          <w:tcPr>
            <w:tcW w:w="2410" w:type="dxa"/>
            <w:shd w:val="clear" w:color="auto" w:fill="DAEEF3" w:themeFill="accent5" w:themeFillTint="33"/>
            <w:vAlign w:val="center"/>
          </w:tcPr>
          <w:p w14:paraId="4D39ED42" w14:textId="77777777" w:rsidR="00F17E7C" w:rsidRDefault="00F17E7C" w:rsidP="00C1595D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zaslanie návrhu na uzavretie zmluvy p. § 25 ods. 5</w:t>
            </w:r>
          </w:p>
          <w:p w14:paraId="424FD864" w14:textId="77777777" w:rsidR="00F17E7C" w:rsidRPr="00346EC9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(§54 ods. 10)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0C2D3EE3" w14:textId="77777777" w:rsidR="00F17E7C" w:rsidRPr="00346EC9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SO-N podľa zmluvy o delegovaní</w:t>
            </w:r>
          </w:p>
        </w:tc>
        <w:tc>
          <w:tcPr>
            <w:tcW w:w="2516" w:type="dxa"/>
            <w:shd w:val="clear" w:color="auto" w:fill="EAF1DD" w:themeFill="accent3" w:themeFillTint="33"/>
            <w:vAlign w:val="center"/>
          </w:tcPr>
          <w:p w14:paraId="3ED233AD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splnomocnenec SO-N podľa dohody o PM</w:t>
            </w:r>
          </w:p>
        </w:tc>
        <w:tc>
          <w:tcPr>
            <w:tcW w:w="2303" w:type="dxa"/>
            <w:shd w:val="clear" w:color="auto" w:fill="DBE5F1" w:themeFill="accent1" w:themeFillTint="33"/>
            <w:vAlign w:val="center"/>
          </w:tcPr>
          <w:p w14:paraId="211549F1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SO-N podľa  zmluvy o delegovaní</w:t>
            </w:r>
          </w:p>
        </w:tc>
      </w:tr>
      <w:tr w:rsidR="00F17E7C" w:rsidRPr="00346EC9" w14:paraId="338E3DBD" w14:textId="77777777" w:rsidTr="00F17E7C">
        <w:trPr>
          <w:cantSplit/>
          <w:trHeight w:val="1134"/>
        </w:trPr>
        <w:tc>
          <w:tcPr>
            <w:tcW w:w="675" w:type="dxa"/>
            <w:vMerge/>
            <w:shd w:val="clear" w:color="auto" w:fill="DAEEF3" w:themeFill="accent5" w:themeFillTint="33"/>
            <w:textDirection w:val="btLr"/>
          </w:tcPr>
          <w:p w14:paraId="6678CD87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DAEEF3" w:themeFill="accent5" w:themeFillTint="33"/>
            <w:vAlign w:val="center"/>
          </w:tcPr>
          <w:p w14:paraId="437195E6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výkon práva a povinností zo zmluvy podľa § 25</w:t>
            </w:r>
          </w:p>
          <w:p w14:paraId="77907AEF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iných zmlúv súvisiacich so zmluvou podľa § 25 (akcesorické zmluvy) </w:t>
            </w:r>
          </w:p>
          <w:p w14:paraId="7CC90F9E" w14:textId="77777777" w:rsidR="00F17E7C" w:rsidRPr="00346EC9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(§54 ods. 11)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486916B6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SO-N podľa zmluvy o delegovaní</w:t>
            </w:r>
          </w:p>
        </w:tc>
        <w:tc>
          <w:tcPr>
            <w:tcW w:w="2516" w:type="dxa"/>
            <w:shd w:val="clear" w:color="auto" w:fill="EAF1DD" w:themeFill="accent3" w:themeFillTint="33"/>
            <w:vAlign w:val="center"/>
          </w:tcPr>
          <w:p w14:paraId="029916C4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splnomocnenec SO-N podľa dohody o PM</w:t>
            </w:r>
          </w:p>
        </w:tc>
        <w:tc>
          <w:tcPr>
            <w:tcW w:w="2303" w:type="dxa"/>
            <w:shd w:val="clear" w:color="auto" w:fill="DBE5F1" w:themeFill="accent1" w:themeFillTint="33"/>
            <w:vAlign w:val="center"/>
          </w:tcPr>
          <w:p w14:paraId="460B1E17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SO-N podľa  zmluvy o delegovaní</w:t>
            </w:r>
          </w:p>
        </w:tc>
      </w:tr>
      <w:tr w:rsidR="00F17E7C" w:rsidRPr="00346EC9" w14:paraId="0D2F03AD" w14:textId="77777777" w:rsidTr="00F17E7C">
        <w:trPr>
          <w:cantSplit/>
          <w:trHeight w:val="1134"/>
        </w:trPr>
        <w:tc>
          <w:tcPr>
            <w:tcW w:w="675" w:type="dxa"/>
            <w:vMerge/>
            <w:shd w:val="clear" w:color="auto" w:fill="DAEEF3" w:themeFill="accent5" w:themeFillTint="33"/>
            <w:textDirection w:val="btLr"/>
          </w:tcPr>
          <w:p w14:paraId="72E33CEB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DAEEF3" w:themeFill="accent5" w:themeFillTint="33"/>
            <w:vAlign w:val="center"/>
          </w:tcPr>
          <w:p w14:paraId="12A50B98" w14:textId="77777777" w:rsidR="00F17E7C" w:rsidRPr="00346EC9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výkon práva a povinností z rozhodnutia p. § 16 ods. 2</w:t>
            </w:r>
          </w:p>
        </w:tc>
        <w:tc>
          <w:tcPr>
            <w:tcW w:w="2694" w:type="dxa"/>
            <w:shd w:val="clear" w:color="auto" w:fill="D6E3BC" w:themeFill="accent3" w:themeFillTint="66"/>
            <w:vAlign w:val="center"/>
          </w:tcPr>
          <w:p w14:paraId="60BA8262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SO-N podľa zmluvy o delegovaní</w:t>
            </w:r>
          </w:p>
        </w:tc>
        <w:tc>
          <w:tcPr>
            <w:tcW w:w="2516" w:type="dxa"/>
            <w:shd w:val="clear" w:color="auto" w:fill="EAF1DD" w:themeFill="accent3" w:themeFillTint="33"/>
            <w:vAlign w:val="center"/>
          </w:tcPr>
          <w:p w14:paraId="6E28E455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splnomocnenec SO-N podľa dohody o PM</w:t>
            </w:r>
          </w:p>
        </w:tc>
        <w:tc>
          <w:tcPr>
            <w:tcW w:w="2303" w:type="dxa"/>
            <w:shd w:val="clear" w:color="auto" w:fill="DBE5F1" w:themeFill="accent1" w:themeFillTint="33"/>
            <w:vAlign w:val="center"/>
          </w:tcPr>
          <w:p w14:paraId="31CC7EF3" w14:textId="77777777" w:rsidR="00F17E7C" w:rsidRPr="00D6741B" w:rsidRDefault="00F17E7C" w:rsidP="00C1595D">
            <w:pPr>
              <w:spacing w:before="12" w:after="12" w:line="276" w:lineRule="auto"/>
              <w:jc w:val="center"/>
              <w:rPr>
                <w:rFonts w:ascii="Arial Narrow" w:hAnsi="Arial Narrow"/>
                <w:color w:val="FF0000"/>
              </w:rPr>
            </w:pPr>
            <w:r w:rsidRPr="00D6741B">
              <w:rPr>
                <w:rFonts w:ascii="Arial Narrow" w:hAnsi="Arial Narrow"/>
                <w:color w:val="FF0000"/>
              </w:rPr>
              <w:t>koná v novom postavení ako SO-N podľa  zmluvy o delegovaní</w:t>
            </w:r>
          </w:p>
        </w:tc>
      </w:tr>
      <w:tr w:rsidR="00F17E7C" w:rsidRPr="00346EC9" w14:paraId="5F96CE2E" w14:textId="77777777" w:rsidTr="00F17E7C">
        <w:trPr>
          <w:cantSplit/>
          <w:trHeight w:val="1134"/>
        </w:trPr>
        <w:tc>
          <w:tcPr>
            <w:tcW w:w="675" w:type="dxa"/>
            <w:shd w:val="clear" w:color="auto" w:fill="DAEEF3" w:themeFill="accent5" w:themeFillTint="33"/>
            <w:textDirection w:val="btLr"/>
          </w:tcPr>
          <w:p w14:paraId="5FACBDB1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DAEEF3" w:themeFill="accent5" w:themeFillTint="33"/>
            <w:vAlign w:val="center"/>
          </w:tcPr>
          <w:p w14:paraId="00F611D6" w14:textId="0528864E" w:rsidR="00F17E7C" w:rsidRDefault="00F17E7C" w:rsidP="009F60E4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zmluvy podľa § 25 akcesorické zmluvy</w:t>
            </w:r>
          </w:p>
          <w:p w14:paraId="13A52DD5" w14:textId="7C6009AD" w:rsidR="00A44B02" w:rsidRDefault="00A44B02" w:rsidP="009F60E4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dohody o splátkach / odklade plnenia</w:t>
            </w:r>
          </w:p>
          <w:p w14:paraId="7B16ECBF" w14:textId="77777777" w:rsidR="00F17E7C" w:rsidRDefault="00F17E7C" w:rsidP="009F60E4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iné právne úkony vykonané pri poskytovaní NFP</w:t>
            </w:r>
          </w:p>
          <w:p w14:paraId="39854975" w14:textId="77777777" w:rsidR="00F17E7C" w:rsidRDefault="00F17E7C" w:rsidP="009F60E4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rozhodnutie p. § 16 ods. 2</w:t>
            </w:r>
          </w:p>
          <w:p w14:paraId="495FEC70" w14:textId="77777777" w:rsidR="00F17E7C" w:rsidRDefault="00F17E7C" w:rsidP="009F60E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(§54 ods. 9 s 11)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</w:tcPr>
          <w:p w14:paraId="1F7066C2" w14:textId="627ABDDA" w:rsidR="00A44B02" w:rsidRDefault="00F17E7C" w:rsidP="00A44B02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právne účinky zmluvy podľa § 25 a na ňu nadväzujúce zmluvy (najmä akcesorické zmluvy – o záložnom práve, ručení</w:t>
            </w:r>
            <w:r w:rsidR="00A44B02">
              <w:rPr>
                <w:rFonts w:ascii="Arial Narrow" w:hAnsi="Arial Narrow"/>
              </w:rPr>
              <w:t>, dohody o splátkach / odklade plnenia</w:t>
            </w:r>
          </w:p>
          <w:p w14:paraId="7FFE63D8" w14:textId="2E22E110" w:rsidR="00F17E7C" w:rsidRDefault="00F17E7C" w:rsidP="00A44B02">
            <w:pPr>
              <w:spacing w:before="12" w:after="12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atď.), ktoré boli uzavreté pred zlúčením, alebo iné právne úkony pri poskytovaní NFP, trvajú v rovnakom rozsahu aj po zlúčení, t.j. v dôsledku univerzálnej sukcesie vyvolávajú vždy rovnaké účinky (v zanikajúcom aj nástupníckom OP); to isté platí aj pre rozhodnutie podľa § 16 ods. 2</w:t>
            </w:r>
          </w:p>
          <w:p w14:paraId="5D494988" w14:textId="77777777" w:rsidR="00F17E7C" w:rsidRDefault="00F17E7C" w:rsidP="00D6741B">
            <w:pPr>
              <w:spacing w:before="12" w:after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POZOR! vo vzťahu k 16 ods. 2 platí právna fikcia založená zákonom, že podmienka totožnosti poskytovateľa a prijímateľa, ak bola splnená pred zlúčením, považuje za splnenú aj po ňom</w:t>
            </w:r>
          </w:p>
        </w:tc>
      </w:tr>
      <w:tr w:rsidR="00F17E7C" w:rsidRPr="00346EC9" w14:paraId="5C1A6EE8" w14:textId="77777777" w:rsidTr="00F17E7C">
        <w:trPr>
          <w:cantSplit/>
          <w:trHeight w:val="1134"/>
        </w:trPr>
        <w:tc>
          <w:tcPr>
            <w:tcW w:w="675" w:type="dxa"/>
            <w:vMerge w:val="restart"/>
            <w:shd w:val="clear" w:color="auto" w:fill="F2DBDB" w:themeFill="accent2" w:themeFillTint="33"/>
            <w:textDirection w:val="btLr"/>
          </w:tcPr>
          <w:p w14:paraId="3770AA81" w14:textId="77777777" w:rsidR="00F17E7C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ZODPOVEDNOSŤ</w:t>
            </w:r>
          </w:p>
        </w:tc>
        <w:tc>
          <w:tcPr>
            <w:tcW w:w="2410" w:type="dxa"/>
            <w:shd w:val="clear" w:color="auto" w:fill="F2DBDB" w:themeFill="accent2" w:themeFillTint="33"/>
            <w:vAlign w:val="center"/>
          </w:tcPr>
          <w:p w14:paraId="7849F100" w14:textId="6D0B1A0C" w:rsidR="00F17E7C" w:rsidRPr="00346EC9" w:rsidRDefault="00F17E7C" w:rsidP="00051EE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za všetky nedostatky a iné finančné záväzky vzniknuté </w:t>
            </w:r>
            <w:r w:rsidR="00051EEE" w:rsidRPr="00051EEE">
              <w:rPr>
                <w:rFonts w:ascii="Arial Narrow" w:hAnsi="Arial Narrow"/>
              </w:rPr>
              <w:t>z konania alebo opomenutia konania</w:t>
            </w:r>
            <w:r w:rsidR="00051EE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pred zlúčením OP </w:t>
            </w:r>
          </w:p>
        </w:tc>
        <w:tc>
          <w:tcPr>
            <w:tcW w:w="2694" w:type="dxa"/>
            <w:vMerge w:val="restart"/>
            <w:shd w:val="clear" w:color="auto" w:fill="D6E3BC" w:themeFill="accent3" w:themeFillTint="66"/>
            <w:vAlign w:val="center"/>
          </w:tcPr>
          <w:p w14:paraId="47AF7A8C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plná zodpovednosť za všetky nedostatky v oboch prípadoch </w:t>
            </w:r>
            <w:r w:rsidRPr="003C79DE">
              <w:rPr>
                <w:rFonts w:ascii="Arial Narrow" w:hAnsi="Arial Narrow"/>
                <w:u w:val="single"/>
              </w:rPr>
              <w:t>ako RO-Z</w:t>
            </w:r>
            <w:r>
              <w:rPr>
                <w:rFonts w:ascii="Arial Narrow" w:hAnsi="Arial Narrow"/>
              </w:rPr>
              <w:t xml:space="preserve"> </w:t>
            </w:r>
            <w:r w:rsidRPr="003C79DE">
              <w:rPr>
                <w:rFonts w:ascii="Arial Narrow" w:hAnsi="Arial Narrow"/>
                <w:u w:val="single"/>
              </w:rPr>
              <w:t>voči RO-N</w:t>
            </w:r>
            <w:r>
              <w:rPr>
                <w:rFonts w:ascii="Arial Narrow" w:hAnsi="Arial Narrow"/>
              </w:rPr>
              <w:t xml:space="preserve"> (ide o vnútornú zodpovednosť). </w:t>
            </w:r>
            <w:r w:rsidRPr="00D6741B">
              <w:rPr>
                <w:rFonts w:ascii="Arial Narrow" w:hAnsi="Arial Narrow"/>
                <w:color w:val="FF0000"/>
              </w:rPr>
              <w:t>Zodpovednosť RO – N podľa čl. 125 ods. 1 CPR je týmto nedotknutá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2516" w:type="dxa"/>
            <w:vMerge w:val="restart"/>
            <w:shd w:val="clear" w:color="auto" w:fill="EAF1DD" w:themeFill="accent3" w:themeFillTint="33"/>
            <w:vAlign w:val="center"/>
          </w:tcPr>
          <w:p w14:paraId="31FD15EA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plná zodpovednosť za všetky nedostatky v oboch prípadoch </w:t>
            </w:r>
            <w:r w:rsidRPr="003C79DE">
              <w:rPr>
                <w:rFonts w:ascii="Arial Narrow" w:hAnsi="Arial Narrow"/>
                <w:u w:val="single"/>
              </w:rPr>
              <w:t xml:space="preserve">ako </w:t>
            </w:r>
            <w:r>
              <w:rPr>
                <w:rFonts w:ascii="Arial Narrow" w:hAnsi="Arial Narrow"/>
                <w:u w:val="single"/>
              </w:rPr>
              <w:t>S</w:t>
            </w:r>
            <w:r w:rsidRPr="003C79DE">
              <w:rPr>
                <w:rFonts w:ascii="Arial Narrow" w:hAnsi="Arial Narrow"/>
                <w:u w:val="single"/>
              </w:rPr>
              <w:t>O-Z</w:t>
            </w:r>
            <w:r>
              <w:rPr>
                <w:rFonts w:ascii="Arial Narrow" w:hAnsi="Arial Narrow"/>
              </w:rPr>
              <w:t xml:space="preserve"> </w:t>
            </w:r>
            <w:r w:rsidRPr="003C79DE">
              <w:rPr>
                <w:rFonts w:ascii="Arial Narrow" w:hAnsi="Arial Narrow"/>
                <w:u w:val="single"/>
              </w:rPr>
              <w:t>voči RO-N</w:t>
            </w:r>
            <w:r>
              <w:rPr>
                <w:rFonts w:ascii="Arial Narrow" w:hAnsi="Arial Narrow"/>
              </w:rPr>
              <w:t xml:space="preserve"> (ide o vnútornú zodpovednosť). </w:t>
            </w:r>
          </w:p>
        </w:tc>
        <w:tc>
          <w:tcPr>
            <w:tcW w:w="2303" w:type="dxa"/>
            <w:vMerge w:val="restart"/>
            <w:shd w:val="clear" w:color="auto" w:fill="DBE5F1" w:themeFill="accent1" w:themeFillTint="33"/>
            <w:vAlign w:val="center"/>
          </w:tcPr>
          <w:p w14:paraId="553E8FAB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plná zodpovednosť za všetky nedostatky v oboch prípadoch </w:t>
            </w:r>
            <w:r w:rsidRPr="003C79DE">
              <w:rPr>
                <w:rFonts w:ascii="Arial Narrow" w:hAnsi="Arial Narrow"/>
                <w:u w:val="single"/>
              </w:rPr>
              <w:t xml:space="preserve">ako </w:t>
            </w:r>
            <w:r>
              <w:rPr>
                <w:rFonts w:ascii="Arial Narrow" w:hAnsi="Arial Narrow"/>
                <w:u w:val="single"/>
              </w:rPr>
              <w:t>S</w:t>
            </w:r>
            <w:r w:rsidRPr="003C79DE">
              <w:rPr>
                <w:rFonts w:ascii="Arial Narrow" w:hAnsi="Arial Narrow"/>
                <w:u w:val="single"/>
              </w:rPr>
              <w:t>O-Z</w:t>
            </w:r>
            <w:r>
              <w:rPr>
                <w:rFonts w:ascii="Arial Narrow" w:hAnsi="Arial Narrow"/>
              </w:rPr>
              <w:t xml:space="preserve"> </w:t>
            </w:r>
            <w:r w:rsidRPr="003C79DE">
              <w:rPr>
                <w:rFonts w:ascii="Arial Narrow" w:hAnsi="Arial Narrow"/>
                <w:u w:val="single"/>
              </w:rPr>
              <w:t>voči RO-N</w:t>
            </w:r>
            <w:r>
              <w:rPr>
                <w:rFonts w:ascii="Arial Narrow" w:hAnsi="Arial Narrow"/>
              </w:rPr>
              <w:t xml:space="preserve"> (ide o vnútornú zodpovednosť). </w:t>
            </w:r>
          </w:p>
        </w:tc>
      </w:tr>
      <w:tr w:rsidR="00F17E7C" w:rsidRPr="00346EC9" w14:paraId="0886290D" w14:textId="77777777" w:rsidTr="00F17E7C">
        <w:trPr>
          <w:cantSplit/>
          <w:trHeight w:val="1134"/>
        </w:trPr>
        <w:tc>
          <w:tcPr>
            <w:tcW w:w="675" w:type="dxa"/>
            <w:vMerge/>
            <w:shd w:val="clear" w:color="auto" w:fill="F2DBDB" w:themeFill="accent2" w:themeFillTint="33"/>
            <w:textDirection w:val="btLr"/>
          </w:tcPr>
          <w:p w14:paraId="7D1DA7AC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F2DBDB" w:themeFill="accent2" w:themeFillTint="33"/>
            <w:vAlign w:val="center"/>
          </w:tcPr>
          <w:p w14:paraId="75B6792D" w14:textId="77777777" w:rsidR="00F17E7C" w:rsidRDefault="00F17E7C" w:rsidP="003C79D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za všetky nedostatky a iné finančné záväzky z konaní a úkonov, ktoré vykonáva ako poskytovateľ zanikajúceho OP po zlúčení OP podľa zákona </w:t>
            </w:r>
          </w:p>
          <w:p w14:paraId="7453B1C0" w14:textId="77777777" w:rsidR="00F17E7C" w:rsidRPr="00346EC9" w:rsidRDefault="00F17E7C" w:rsidP="003C79DE">
            <w:pPr>
              <w:spacing w:before="120"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(§ 7 ods. 12 pre RO-Z a § 8 ods. 8 pre SO-Z obe pred bodkočiarkou)</w:t>
            </w:r>
          </w:p>
        </w:tc>
        <w:tc>
          <w:tcPr>
            <w:tcW w:w="2694" w:type="dxa"/>
            <w:vMerge/>
            <w:shd w:val="clear" w:color="auto" w:fill="D6E3BC" w:themeFill="accent3" w:themeFillTint="66"/>
            <w:vAlign w:val="center"/>
          </w:tcPr>
          <w:p w14:paraId="49D6FD13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516" w:type="dxa"/>
            <w:vMerge/>
            <w:shd w:val="clear" w:color="auto" w:fill="EAF1DD" w:themeFill="accent3" w:themeFillTint="33"/>
            <w:vAlign w:val="center"/>
          </w:tcPr>
          <w:p w14:paraId="57B79226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303" w:type="dxa"/>
            <w:vMerge/>
            <w:shd w:val="clear" w:color="auto" w:fill="DBE5F1" w:themeFill="accent1" w:themeFillTint="33"/>
            <w:vAlign w:val="center"/>
          </w:tcPr>
          <w:p w14:paraId="386EAA40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F17E7C" w:rsidRPr="00346EC9" w14:paraId="5913F493" w14:textId="77777777" w:rsidTr="00F17E7C">
        <w:trPr>
          <w:cantSplit/>
          <w:trHeight w:val="1134"/>
        </w:trPr>
        <w:tc>
          <w:tcPr>
            <w:tcW w:w="675" w:type="dxa"/>
            <w:vMerge/>
            <w:shd w:val="clear" w:color="auto" w:fill="F2DBDB" w:themeFill="accent2" w:themeFillTint="33"/>
            <w:textDirection w:val="btLr"/>
          </w:tcPr>
          <w:p w14:paraId="1DE19C5C" w14:textId="77777777" w:rsidR="00F17E7C" w:rsidRPr="00346EC9" w:rsidRDefault="00F17E7C" w:rsidP="003C79DE">
            <w:pPr>
              <w:ind w:left="113" w:right="113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383795" w14:textId="7A6231E0" w:rsidR="00F17E7C" w:rsidRPr="00346EC9" w:rsidRDefault="00F17E7C" w:rsidP="00051EE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za všetky nedostatky vzniknuté </w:t>
            </w:r>
            <w:r w:rsidR="00051EEE" w:rsidRPr="00051EEE">
              <w:rPr>
                <w:rFonts w:ascii="Arial Narrow" w:hAnsi="Arial Narrow"/>
              </w:rPr>
              <w:t>z konania alebo opomenutia konania</w:t>
            </w:r>
            <w:r w:rsidR="00051EEE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po zlúčení OP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B937E1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  <w:r w:rsidRPr="00D6741B">
              <w:rPr>
                <w:rFonts w:ascii="Arial Narrow" w:hAnsi="Arial Narrow"/>
                <w:color w:val="FF0000"/>
              </w:rPr>
              <w:t xml:space="preserve">v novom postavení ako SO-N podľa </w:t>
            </w:r>
            <w:proofErr w:type="spellStart"/>
            <w:r w:rsidRPr="00D6741B">
              <w:rPr>
                <w:rFonts w:ascii="Arial Narrow" w:hAnsi="Arial Narrow"/>
                <w:color w:val="FF0000"/>
              </w:rPr>
              <w:t>delegovacej</w:t>
            </w:r>
            <w:proofErr w:type="spellEnd"/>
            <w:r w:rsidRPr="00D6741B">
              <w:rPr>
                <w:rFonts w:ascii="Arial Narrow" w:hAnsi="Arial Narrow"/>
                <w:color w:val="FF0000"/>
              </w:rPr>
              <w:t xml:space="preserve"> zmluvy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32A18A2E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  <w:r w:rsidRPr="00D6741B">
              <w:rPr>
                <w:rFonts w:ascii="Arial Narrow" w:hAnsi="Arial Narrow"/>
                <w:color w:val="FF0000"/>
              </w:rPr>
              <w:t>v novom postavení ako splnomocnenec SO-N podľa dohody o PM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7A3EDF93" w14:textId="77777777" w:rsidR="00F17E7C" w:rsidRPr="00346EC9" w:rsidRDefault="00F17E7C" w:rsidP="003C79DE">
            <w:pPr>
              <w:spacing w:before="12" w:after="12" w:line="276" w:lineRule="auto"/>
              <w:jc w:val="center"/>
              <w:rPr>
                <w:rFonts w:ascii="Arial Narrow" w:hAnsi="Arial Narrow"/>
              </w:rPr>
            </w:pPr>
            <w:r w:rsidRPr="00D6741B">
              <w:rPr>
                <w:rFonts w:ascii="Arial Narrow" w:hAnsi="Arial Narrow"/>
                <w:color w:val="FF0000"/>
              </w:rPr>
              <w:t xml:space="preserve">v novom postavení ako SO-N podľa </w:t>
            </w:r>
            <w:proofErr w:type="spellStart"/>
            <w:r w:rsidRPr="00D6741B">
              <w:rPr>
                <w:rFonts w:ascii="Arial Narrow" w:hAnsi="Arial Narrow"/>
                <w:color w:val="FF0000"/>
              </w:rPr>
              <w:t>delegovacej</w:t>
            </w:r>
            <w:proofErr w:type="spellEnd"/>
            <w:r w:rsidRPr="00D6741B">
              <w:rPr>
                <w:rFonts w:ascii="Arial Narrow" w:hAnsi="Arial Narrow"/>
                <w:color w:val="FF0000"/>
              </w:rPr>
              <w:t xml:space="preserve"> zmluvy</w:t>
            </w:r>
          </w:p>
        </w:tc>
      </w:tr>
    </w:tbl>
    <w:p w14:paraId="6D9A9413" w14:textId="77777777" w:rsidR="00346EC9" w:rsidRDefault="00346EC9">
      <w:pPr>
        <w:rPr>
          <w:rFonts w:ascii="Arial Narrow" w:hAnsi="Arial Narrow"/>
          <w:sz w:val="20"/>
          <w:szCs w:val="20"/>
        </w:rPr>
      </w:pPr>
    </w:p>
    <w:p w14:paraId="5E2F9396" w14:textId="77777777" w:rsidR="00F17E7C" w:rsidRPr="00F17E7C" w:rsidRDefault="00F17E7C" w:rsidP="00F17E7C">
      <w:pPr>
        <w:spacing w:after="0"/>
        <w:rPr>
          <w:rFonts w:ascii="Arial Narrow" w:hAnsi="Arial Narrow"/>
          <w:sz w:val="20"/>
          <w:szCs w:val="20"/>
          <w:u w:val="single"/>
        </w:rPr>
      </w:pPr>
      <w:r w:rsidRPr="00F17E7C">
        <w:rPr>
          <w:rFonts w:ascii="Arial Narrow" w:hAnsi="Arial Narrow"/>
          <w:sz w:val="20"/>
          <w:szCs w:val="20"/>
          <w:u w:val="single"/>
        </w:rPr>
        <w:t xml:space="preserve">LEGENDA (v stĺpcoch označujúcich tri subjekty): </w:t>
      </w:r>
    </w:p>
    <w:p w14:paraId="623DD6E7" w14:textId="77777777" w:rsidR="00F17E7C" w:rsidRDefault="00F17E7C" w:rsidP="00F17E7C">
      <w:pPr>
        <w:spacing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čierne písmo – konanie v postavení poskytovateľa zanikajúceho operačného programu</w:t>
      </w:r>
    </w:p>
    <w:p w14:paraId="796A4DF5" w14:textId="77777777" w:rsidR="00F17E7C" w:rsidRDefault="00F17E7C" w:rsidP="00F17E7C">
      <w:pPr>
        <w:spacing w:after="0"/>
        <w:rPr>
          <w:rFonts w:ascii="Arial Narrow" w:hAnsi="Arial Narrow"/>
          <w:sz w:val="20"/>
          <w:szCs w:val="20"/>
        </w:rPr>
      </w:pPr>
      <w:r w:rsidRPr="00F17E7C">
        <w:rPr>
          <w:rFonts w:ascii="Arial Narrow" w:hAnsi="Arial Narrow"/>
          <w:color w:val="FF0000"/>
          <w:sz w:val="20"/>
          <w:szCs w:val="20"/>
        </w:rPr>
        <w:t xml:space="preserve">červené písmo </w:t>
      </w:r>
      <w:r>
        <w:rPr>
          <w:rFonts w:ascii="Arial Narrow" w:hAnsi="Arial Narrow"/>
          <w:sz w:val="20"/>
          <w:szCs w:val="20"/>
        </w:rPr>
        <w:t>– konanie v postavení poskytovateľa nástupníckeho operačného programu</w:t>
      </w:r>
    </w:p>
    <w:p w14:paraId="7E3D9B5F" w14:textId="77777777" w:rsidR="00F17E7C" w:rsidRPr="00346EC9" w:rsidRDefault="00F17E7C">
      <w:pPr>
        <w:rPr>
          <w:rFonts w:ascii="Arial Narrow" w:hAnsi="Arial Narrow"/>
          <w:sz w:val="20"/>
          <w:szCs w:val="20"/>
        </w:rPr>
      </w:pPr>
    </w:p>
    <w:sectPr w:rsidR="00F17E7C" w:rsidRPr="00346EC9" w:rsidSect="00A70FD5">
      <w:headerReference w:type="first" r:id="rId7"/>
      <w:pgSz w:w="11906" w:h="16838"/>
      <w:pgMar w:top="720" w:right="720" w:bottom="720" w:left="720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220B1" w14:textId="77777777" w:rsidR="00672C61" w:rsidRDefault="00672C61" w:rsidP="00E35CED">
      <w:pPr>
        <w:spacing w:after="0" w:line="240" w:lineRule="auto"/>
      </w:pPr>
      <w:r>
        <w:separator/>
      </w:r>
    </w:p>
  </w:endnote>
  <w:endnote w:type="continuationSeparator" w:id="0">
    <w:p w14:paraId="2199B737" w14:textId="77777777" w:rsidR="00672C61" w:rsidRDefault="00672C61" w:rsidP="00E3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F2227" w14:textId="77777777" w:rsidR="00672C61" w:rsidRDefault="00672C61" w:rsidP="00E35CED">
      <w:pPr>
        <w:spacing w:after="0" w:line="240" w:lineRule="auto"/>
      </w:pPr>
      <w:r>
        <w:separator/>
      </w:r>
    </w:p>
  </w:footnote>
  <w:footnote w:type="continuationSeparator" w:id="0">
    <w:p w14:paraId="41347D72" w14:textId="77777777" w:rsidR="00672C61" w:rsidRDefault="00672C61" w:rsidP="00E35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FF968" w14:textId="77777777" w:rsidR="00A70FD5" w:rsidRPr="006D68B3" w:rsidRDefault="00A70FD5" w:rsidP="00A70FD5">
    <w:pPr>
      <w:rPr>
        <w:rFonts w:ascii="Times New Roman" w:hAnsi="Times New Roman" w:cs="Times New Roman"/>
        <w:b/>
        <w:sz w:val="24"/>
        <w:szCs w:val="24"/>
      </w:rPr>
    </w:pPr>
    <w:r w:rsidRPr="006D68B3">
      <w:rPr>
        <w:rFonts w:ascii="Times New Roman" w:hAnsi="Times New Roman" w:cs="Times New Roman"/>
        <w:b/>
        <w:sz w:val="24"/>
        <w:szCs w:val="24"/>
      </w:rPr>
      <w:t xml:space="preserve">Príloha č. 1 Metodického výkladu CKO č. 9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EC9"/>
    <w:rsid w:val="00051EEE"/>
    <w:rsid w:val="00057168"/>
    <w:rsid w:val="000F4C52"/>
    <w:rsid w:val="001D5F74"/>
    <w:rsid w:val="00285D9A"/>
    <w:rsid w:val="002A79B0"/>
    <w:rsid w:val="002D5D7E"/>
    <w:rsid w:val="00346EC9"/>
    <w:rsid w:val="0035146F"/>
    <w:rsid w:val="003523F1"/>
    <w:rsid w:val="003C79DE"/>
    <w:rsid w:val="004546EF"/>
    <w:rsid w:val="004A0E92"/>
    <w:rsid w:val="004F1F06"/>
    <w:rsid w:val="005D6124"/>
    <w:rsid w:val="005E1319"/>
    <w:rsid w:val="006069D7"/>
    <w:rsid w:val="00672C61"/>
    <w:rsid w:val="006C1D8B"/>
    <w:rsid w:val="006D68B3"/>
    <w:rsid w:val="00732DD7"/>
    <w:rsid w:val="00782B82"/>
    <w:rsid w:val="00892469"/>
    <w:rsid w:val="008A07B1"/>
    <w:rsid w:val="009006F8"/>
    <w:rsid w:val="00967E3C"/>
    <w:rsid w:val="009B4F31"/>
    <w:rsid w:val="009F60E4"/>
    <w:rsid w:val="00A10F8F"/>
    <w:rsid w:val="00A44B02"/>
    <w:rsid w:val="00A70FD5"/>
    <w:rsid w:val="00B46510"/>
    <w:rsid w:val="00B7062C"/>
    <w:rsid w:val="00B8419F"/>
    <w:rsid w:val="00BF7BD1"/>
    <w:rsid w:val="00C4187A"/>
    <w:rsid w:val="00C668BF"/>
    <w:rsid w:val="00CB5443"/>
    <w:rsid w:val="00D6741B"/>
    <w:rsid w:val="00E35CED"/>
    <w:rsid w:val="00E411AF"/>
    <w:rsid w:val="00F029A3"/>
    <w:rsid w:val="00F17E7C"/>
    <w:rsid w:val="00FD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61A04"/>
  <w15:docId w15:val="{BD823FF1-2439-42D8-8E7F-0BCD788F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46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46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6EC9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5CE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5CE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5CED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0F4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4C52"/>
  </w:style>
  <w:style w:type="paragraph" w:styleId="Pta">
    <w:name w:val="footer"/>
    <w:basedOn w:val="Normlny"/>
    <w:link w:val="PtaChar"/>
    <w:uiPriority w:val="99"/>
    <w:unhideWhenUsed/>
    <w:rsid w:val="000F4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4C52"/>
  </w:style>
  <w:style w:type="character" w:styleId="Odkaznakomentr">
    <w:name w:val="annotation reference"/>
    <w:basedOn w:val="Predvolenpsmoodseku"/>
    <w:uiPriority w:val="99"/>
    <w:semiHidden/>
    <w:unhideWhenUsed/>
    <w:rsid w:val="00B841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419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419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41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41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3A81-7546-4F46-85A5-7979858A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Tibor Barna</cp:lastModifiedBy>
  <cp:revision>3</cp:revision>
  <dcterms:created xsi:type="dcterms:W3CDTF">2020-01-25T13:42:00Z</dcterms:created>
  <dcterms:modified xsi:type="dcterms:W3CDTF">2020-01-27T17:36:00Z</dcterms:modified>
</cp:coreProperties>
</file>