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C268A7" w14:textId="77777777" w:rsidR="008E5524" w:rsidRPr="002212DE" w:rsidRDefault="00D61BB6" w:rsidP="008E5524">
      <w:pPr>
        <w:rPr>
          <w:sz w:val="20"/>
          <w:szCs w:val="20"/>
        </w:rPr>
      </w:pPr>
      <w:bookmarkStart w:id="0" w:name="_GoBack"/>
      <w:bookmarkEnd w:id="0"/>
      <w:r w:rsidRPr="006479DF">
        <w:rPr>
          <w:sz w:val="20"/>
          <w:szCs w:val="20"/>
        </w:rPr>
        <w:tab/>
      </w:r>
      <w:r w:rsidRPr="006479DF">
        <w:rPr>
          <w:sz w:val="20"/>
          <w:szCs w:val="20"/>
        </w:rPr>
        <w:tab/>
      </w:r>
      <w:r w:rsidRPr="006479DF">
        <w:rPr>
          <w:sz w:val="20"/>
          <w:szCs w:val="20"/>
        </w:rPr>
        <w:tab/>
      </w:r>
      <w:r w:rsidRPr="006479DF">
        <w:rPr>
          <w:sz w:val="20"/>
          <w:szCs w:val="20"/>
        </w:rPr>
        <w:tab/>
      </w:r>
      <w:r w:rsidR="008E5524" w:rsidRPr="002212DE">
        <w:rPr>
          <w:b/>
          <w:noProof/>
        </w:rPr>
        <w:drawing>
          <wp:anchor distT="0" distB="0" distL="114300" distR="114300" simplePos="0" relativeHeight="251666432" behindDoc="0" locked="0" layoutInCell="1" allowOverlap="1" wp14:anchorId="4B50C031" wp14:editId="73E9FCBA">
            <wp:simplePos x="0" y="0"/>
            <wp:positionH relativeFrom="column">
              <wp:posOffset>10795</wp:posOffset>
            </wp:positionH>
            <wp:positionV relativeFrom="paragraph">
              <wp:posOffset>86995</wp:posOffset>
            </wp:positionV>
            <wp:extent cx="1374775" cy="899795"/>
            <wp:effectExtent l="0" t="0" r="0" b="0"/>
            <wp:wrapNone/>
            <wp:docPr id="27" name="Obrázo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74775"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008E5524" w:rsidRPr="002212DE">
        <w:rPr>
          <w:rFonts w:ascii="Arial" w:hAnsi="Arial" w:cs="Arial"/>
          <w:noProof/>
          <w:sz w:val="20"/>
          <w:szCs w:val="20"/>
        </w:rPr>
        <w:drawing>
          <wp:anchor distT="0" distB="0" distL="114300" distR="114300" simplePos="0" relativeHeight="251664384" behindDoc="1" locked="0" layoutInCell="1" allowOverlap="1" wp14:anchorId="72915F1B" wp14:editId="4DFA929B">
            <wp:simplePos x="0" y="0"/>
            <wp:positionH relativeFrom="column">
              <wp:posOffset>4489450</wp:posOffset>
            </wp:positionH>
            <wp:positionV relativeFrom="paragraph">
              <wp:posOffset>88900</wp:posOffset>
            </wp:positionV>
            <wp:extent cx="1234440" cy="899795"/>
            <wp:effectExtent l="0" t="0" r="3810" b="0"/>
            <wp:wrapTight wrapText="bothSides">
              <wp:wrapPolygon edited="0">
                <wp:start x="0" y="0"/>
                <wp:lineTo x="0" y="21036"/>
                <wp:lineTo x="21333" y="21036"/>
                <wp:lineTo x="21333" y="0"/>
                <wp:lineTo x="0" y="0"/>
              </wp:wrapPolygon>
            </wp:wrapTight>
            <wp:docPr id="28" name="Obrázo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4440"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008E5524" w:rsidRPr="002212DE">
        <w:rPr>
          <w:sz w:val="20"/>
          <w:szCs w:val="20"/>
        </w:rPr>
        <w:tab/>
      </w:r>
    </w:p>
    <w:p w14:paraId="66359D91" w14:textId="77777777" w:rsidR="008E5524" w:rsidRPr="002212DE" w:rsidRDefault="008E5524" w:rsidP="008E5524">
      <w:pPr>
        <w:rPr>
          <w:sz w:val="20"/>
          <w:szCs w:val="20"/>
        </w:rPr>
      </w:pPr>
    </w:p>
    <w:p w14:paraId="31EAA7C8" w14:textId="77777777" w:rsidR="008E5524" w:rsidRPr="002212DE" w:rsidRDefault="008E5524" w:rsidP="008E5524">
      <w:pPr>
        <w:rPr>
          <w:b/>
          <w:sz w:val="20"/>
          <w:szCs w:val="20"/>
        </w:rPr>
      </w:pPr>
      <w:r w:rsidRPr="002212DE">
        <w:rPr>
          <w:sz w:val="20"/>
          <w:szCs w:val="20"/>
        </w:rPr>
        <w:tab/>
      </w:r>
      <w:r w:rsidRPr="002212DE">
        <w:rPr>
          <w:sz w:val="20"/>
          <w:szCs w:val="20"/>
        </w:rPr>
        <w:tab/>
      </w:r>
      <w:r w:rsidRPr="002212DE">
        <w:rPr>
          <w:sz w:val="20"/>
          <w:szCs w:val="20"/>
        </w:rPr>
        <w:tab/>
        <w:t xml:space="preserve">    </w:t>
      </w:r>
      <w:r w:rsidRPr="002212DE">
        <w:rPr>
          <w:sz w:val="20"/>
          <w:szCs w:val="20"/>
        </w:rPr>
        <w:tab/>
      </w:r>
      <w:r w:rsidRPr="002212DE">
        <w:rPr>
          <w:sz w:val="20"/>
          <w:szCs w:val="20"/>
        </w:rPr>
        <w:tab/>
      </w:r>
      <w:r w:rsidRPr="002212DE">
        <w:rPr>
          <w:sz w:val="20"/>
          <w:szCs w:val="20"/>
        </w:rPr>
        <w:tab/>
      </w:r>
    </w:p>
    <w:p w14:paraId="123370E9" w14:textId="77777777" w:rsidR="008E5524" w:rsidRPr="002212DE" w:rsidRDefault="008E5524" w:rsidP="008E5524">
      <w:pPr>
        <w:rPr>
          <w:b/>
          <w:sz w:val="20"/>
          <w:szCs w:val="20"/>
        </w:rPr>
      </w:pPr>
    </w:p>
    <w:p w14:paraId="5A7F5889" w14:textId="77777777" w:rsidR="008E5524" w:rsidRPr="002212DE" w:rsidRDefault="008E5524" w:rsidP="008E5524">
      <w:pPr>
        <w:rPr>
          <w:b/>
          <w:sz w:val="20"/>
          <w:szCs w:val="20"/>
        </w:rPr>
      </w:pPr>
    </w:p>
    <w:p w14:paraId="62745AF5" w14:textId="77777777" w:rsidR="008E5524" w:rsidRPr="002212DE" w:rsidRDefault="008E5524" w:rsidP="008E5524">
      <w:pPr>
        <w:rPr>
          <w:b/>
          <w:sz w:val="20"/>
          <w:szCs w:val="20"/>
        </w:rPr>
      </w:pPr>
    </w:p>
    <w:p w14:paraId="24D24505" w14:textId="77777777" w:rsidR="008E5524" w:rsidRPr="002212DE" w:rsidRDefault="008E5524" w:rsidP="008E5524">
      <w:pPr>
        <w:rPr>
          <w:b/>
          <w:sz w:val="20"/>
          <w:szCs w:val="20"/>
        </w:rPr>
      </w:pPr>
    </w:p>
    <w:p w14:paraId="31AE8664" w14:textId="77777777" w:rsidR="008E5524" w:rsidRPr="002212DE" w:rsidRDefault="008E5524" w:rsidP="008E5524">
      <w:pPr>
        <w:ind w:right="6802"/>
        <w:jc w:val="center"/>
        <w:rPr>
          <w:rFonts w:ascii="Arial" w:hAnsi="Arial" w:cs="Arial"/>
          <w:sz w:val="20"/>
          <w:szCs w:val="20"/>
        </w:rPr>
      </w:pPr>
      <w:r w:rsidRPr="002212DE">
        <w:rPr>
          <w:rFonts w:ascii="Arial" w:hAnsi="Arial" w:cs="Arial"/>
          <w:sz w:val="20"/>
          <w:szCs w:val="20"/>
        </w:rPr>
        <w:t>Európska únia</w:t>
      </w:r>
    </w:p>
    <w:p w14:paraId="0F667F4D" w14:textId="77777777" w:rsidR="008E5524" w:rsidRPr="002212DE" w:rsidRDefault="008E5524" w:rsidP="008E5524">
      <w:pPr>
        <w:ind w:right="6802"/>
        <w:jc w:val="center"/>
        <w:rPr>
          <w:rFonts w:ascii="Arial" w:hAnsi="Arial" w:cs="Arial"/>
          <w:sz w:val="20"/>
          <w:szCs w:val="20"/>
        </w:rPr>
      </w:pPr>
      <w:r w:rsidRPr="002212DE">
        <w:rPr>
          <w:rFonts w:ascii="Arial" w:hAnsi="Arial" w:cs="Arial"/>
          <w:sz w:val="20"/>
          <w:szCs w:val="20"/>
        </w:rPr>
        <w:t>Európsky fond regionálneho</w:t>
      </w:r>
    </w:p>
    <w:p w14:paraId="6A2E5FB2" w14:textId="77777777" w:rsidR="008E5524" w:rsidRDefault="008E5524" w:rsidP="008E5524">
      <w:pPr>
        <w:ind w:right="6802"/>
        <w:jc w:val="center"/>
        <w:rPr>
          <w:rFonts w:ascii="Arial" w:hAnsi="Arial" w:cs="Arial"/>
          <w:sz w:val="20"/>
          <w:szCs w:val="20"/>
        </w:rPr>
      </w:pPr>
      <w:r>
        <w:rPr>
          <w:rFonts w:ascii="Arial" w:hAnsi="Arial" w:cs="Arial"/>
          <w:sz w:val="20"/>
          <w:szCs w:val="20"/>
        </w:rPr>
        <w:t>r</w:t>
      </w:r>
      <w:r w:rsidRPr="002212DE">
        <w:rPr>
          <w:rFonts w:ascii="Arial" w:hAnsi="Arial" w:cs="Arial"/>
          <w:sz w:val="20"/>
          <w:szCs w:val="20"/>
        </w:rPr>
        <w:t>ozvoja</w:t>
      </w:r>
    </w:p>
    <w:p w14:paraId="101A2EBF" w14:textId="77777777" w:rsidR="008E5524" w:rsidRPr="002212DE" w:rsidRDefault="008E5524" w:rsidP="0056666E">
      <w:pPr>
        <w:ind w:right="6802"/>
        <w:jc w:val="center"/>
        <w:rPr>
          <w:b/>
          <w:sz w:val="20"/>
          <w:szCs w:val="20"/>
        </w:rPr>
      </w:pPr>
    </w:p>
    <w:p w14:paraId="57800B42" w14:textId="77777777" w:rsidR="00C6439D" w:rsidRDefault="00D239D4" w:rsidP="00541FF5">
      <w:pPr>
        <w:jc w:val="center"/>
        <w:rPr>
          <w:b/>
          <w:sz w:val="40"/>
          <w:szCs w:val="20"/>
        </w:rPr>
      </w:pPr>
      <w:r>
        <w:rPr>
          <w:b/>
          <w:sz w:val="40"/>
          <w:szCs w:val="20"/>
        </w:rPr>
        <w:t>Metodický pokyn</w:t>
      </w:r>
      <w:r w:rsidR="00D61BB6" w:rsidRPr="009836CF">
        <w:rPr>
          <w:b/>
          <w:sz w:val="40"/>
          <w:szCs w:val="20"/>
        </w:rPr>
        <w:t xml:space="preserve"> CKO č. </w:t>
      </w:r>
      <w:sdt>
        <w:sdtPr>
          <w:rPr>
            <w:b/>
            <w:sz w:val="40"/>
            <w:szCs w:val="20"/>
          </w:rPr>
          <w:alias w:val="Poradové číslo vzoru"/>
          <w:tag w:val="Poradové číslo vzoru"/>
          <w:id w:val="-1009137634"/>
          <w:lock w:val="sdtLocked"/>
          <w:placeholder>
            <w:docPart w:val="DD8C56F5396145BBB819E25B80F3F0AE"/>
          </w:placeholder>
          <w:dropDownList>
            <w:listItem w:value="Vyberte položku."/>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034644">
            <w:rPr>
              <w:b/>
              <w:sz w:val="40"/>
              <w:szCs w:val="20"/>
            </w:rPr>
            <w:t>7</w:t>
          </w:r>
        </w:sdtContent>
      </w:sdt>
    </w:p>
    <w:p w14:paraId="663CD3D1" w14:textId="75865F9A" w:rsidR="00D61BB6" w:rsidRPr="00C6439D" w:rsidRDefault="00C6439D" w:rsidP="00541FF5">
      <w:pPr>
        <w:jc w:val="center"/>
        <w:rPr>
          <w:b/>
          <w:sz w:val="32"/>
          <w:szCs w:val="32"/>
        </w:rPr>
      </w:pPr>
      <w:r w:rsidRPr="00C6439D">
        <w:rPr>
          <w:b/>
          <w:sz w:val="32"/>
          <w:szCs w:val="32"/>
        </w:rPr>
        <w:t xml:space="preserve">verzia </w:t>
      </w:r>
      <w:sdt>
        <w:sdtPr>
          <w:rPr>
            <w:b/>
            <w:sz w:val="32"/>
            <w:szCs w:val="32"/>
          </w:rPr>
          <w:alias w:val="Poradové číslo vzoru"/>
          <w:tag w:val="Poradové číslo vzoru"/>
          <w:id w:val="-1645188027"/>
          <w:placeholder>
            <w:docPart w:val="C438CDECBB774123926E36EC328124C8"/>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034644">
            <w:rPr>
              <w:b/>
              <w:sz w:val="32"/>
              <w:szCs w:val="32"/>
            </w:rPr>
            <w:t>4</w:t>
          </w:r>
        </w:sdtContent>
      </w:sdt>
    </w:p>
    <w:p w14:paraId="4696E7E5" w14:textId="77777777" w:rsidR="00D61BB6" w:rsidRDefault="00D61BB6" w:rsidP="00D61BB6">
      <w:pPr>
        <w:jc w:val="center"/>
        <w:rPr>
          <w:b/>
          <w:sz w:val="20"/>
          <w:szCs w:val="20"/>
        </w:rPr>
      </w:pPr>
    </w:p>
    <w:p w14:paraId="264B1668" w14:textId="77777777" w:rsidR="003B0DFE" w:rsidRPr="006479DF" w:rsidRDefault="003B0DFE" w:rsidP="00D61BB6">
      <w:pPr>
        <w:jc w:val="center"/>
        <w:rPr>
          <w:b/>
          <w:sz w:val="20"/>
          <w:szCs w:val="20"/>
        </w:rPr>
      </w:pPr>
    </w:p>
    <w:p w14:paraId="29A761EF" w14:textId="77777777" w:rsidR="00D61BB6" w:rsidRPr="009836CF" w:rsidRDefault="008E5524" w:rsidP="0056666E">
      <w:pPr>
        <w:tabs>
          <w:tab w:val="left" w:pos="2410"/>
        </w:tabs>
        <w:rPr>
          <w:b/>
          <w:sz w:val="28"/>
          <w:szCs w:val="20"/>
        </w:rPr>
      </w:pPr>
      <w:r>
        <w:rPr>
          <w:b/>
          <w:sz w:val="28"/>
          <w:szCs w:val="20"/>
        </w:rPr>
        <w:tab/>
      </w:r>
      <w:r w:rsidR="00D61BB6" w:rsidRPr="009836CF">
        <w:rPr>
          <w:b/>
          <w:sz w:val="28"/>
          <w:szCs w:val="20"/>
        </w:rPr>
        <w:t>Programové obdobie 2014 – 2020</w:t>
      </w:r>
    </w:p>
    <w:tbl>
      <w:tblPr>
        <w:tblStyle w:val="Mriekatabuky"/>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tblLook w:val="04A0" w:firstRow="1" w:lastRow="0" w:firstColumn="1" w:lastColumn="0" w:noHBand="0" w:noVBand="1"/>
      </w:tblPr>
      <w:tblGrid>
        <w:gridCol w:w="2268"/>
        <w:gridCol w:w="6696"/>
      </w:tblGrid>
      <w:tr w:rsidR="009836CF" w:rsidRPr="009836CF" w14:paraId="6D33D4AD" w14:textId="77777777" w:rsidTr="0056666E">
        <w:tc>
          <w:tcPr>
            <w:tcW w:w="2268" w:type="dxa"/>
            <w:shd w:val="clear" w:color="auto" w:fill="8DB3E2" w:themeFill="text2" w:themeFillTint="66"/>
          </w:tcPr>
          <w:p w14:paraId="1564D29C" w14:textId="77777777" w:rsidR="009836CF" w:rsidRPr="0084743A" w:rsidRDefault="009836CF" w:rsidP="006479DF">
            <w:pPr>
              <w:rPr>
                <w:b/>
                <w:sz w:val="26"/>
                <w:szCs w:val="26"/>
              </w:rPr>
            </w:pPr>
            <w:r w:rsidRPr="0084743A">
              <w:rPr>
                <w:b/>
                <w:sz w:val="26"/>
                <w:szCs w:val="26"/>
              </w:rPr>
              <w:t>Vec:</w:t>
            </w:r>
          </w:p>
          <w:p w14:paraId="57F07AC5" w14:textId="77777777" w:rsidR="0084743A" w:rsidRPr="0084743A" w:rsidRDefault="0084743A" w:rsidP="006479DF">
            <w:pPr>
              <w:rPr>
                <w:b/>
                <w:sz w:val="26"/>
                <w:szCs w:val="26"/>
              </w:rPr>
            </w:pPr>
          </w:p>
          <w:p w14:paraId="3FA2B813" w14:textId="77777777" w:rsidR="0084743A" w:rsidRPr="0084743A" w:rsidRDefault="0084743A" w:rsidP="006479DF">
            <w:pPr>
              <w:rPr>
                <w:b/>
                <w:sz w:val="26"/>
                <w:szCs w:val="26"/>
              </w:rPr>
            </w:pPr>
          </w:p>
          <w:p w14:paraId="607C88F1" w14:textId="77777777" w:rsidR="0084743A" w:rsidRPr="0084743A" w:rsidRDefault="0084743A" w:rsidP="006479DF">
            <w:pPr>
              <w:rPr>
                <w:b/>
                <w:sz w:val="26"/>
                <w:szCs w:val="26"/>
              </w:rPr>
            </w:pPr>
          </w:p>
        </w:tc>
        <w:tc>
          <w:tcPr>
            <w:tcW w:w="6696" w:type="dxa"/>
            <w:shd w:val="clear" w:color="auto" w:fill="8DB3E2" w:themeFill="text2" w:themeFillTint="66"/>
          </w:tcPr>
          <w:p w14:paraId="249E6FCD" w14:textId="77777777" w:rsidR="009836CF" w:rsidRPr="007A564A" w:rsidRDefault="00070252" w:rsidP="006A5157">
            <w:pPr>
              <w:jc w:val="both"/>
              <w:rPr>
                <w:szCs w:val="20"/>
              </w:rPr>
            </w:pPr>
            <w:r w:rsidRPr="007A564A">
              <w:t>k vypracovaniu finančnej analýzy projektu, analýzy nákladov a prínosov projektu a finančnej analýzy žiadateľa o NFP v programovom období 2014 - 2020</w:t>
            </w:r>
          </w:p>
        </w:tc>
      </w:tr>
      <w:tr w:rsidR="009836CF" w:rsidRPr="009836CF" w14:paraId="39FE8F69" w14:textId="77777777" w:rsidTr="0056666E">
        <w:tc>
          <w:tcPr>
            <w:tcW w:w="2268" w:type="dxa"/>
            <w:shd w:val="clear" w:color="auto" w:fill="8DB3E2" w:themeFill="text2" w:themeFillTint="66"/>
          </w:tcPr>
          <w:p w14:paraId="7872DC71" w14:textId="77777777" w:rsidR="009836CF" w:rsidRPr="0084743A" w:rsidRDefault="009836CF" w:rsidP="006479DF">
            <w:pPr>
              <w:rPr>
                <w:b/>
                <w:sz w:val="26"/>
                <w:szCs w:val="26"/>
              </w:rPr>
            </w:pPr>
            <w:r w:rsidRPr="0084743A">
              <w:rPr>
                <w:b/>
                <w:sz w:val="26"/>
                <w:szCs w:val="26"/>
              </w:rPr>
              <w:t>Určené pre:</w:t>
            </w:r>
          </w:p>
          <w:p w14:paraId="697FD4F5" w14:textId="77777777" w:rsidR="0084743A" w:rsidRPr="0084743A" w:rsidRDefault="0084743A" w:rsidP="006479DF">
            <w:pPr>
              <w:rPr>
                <w:b/>
                <w:sz w:val="26"/>
                <w:szCs w:val="26"/>
              </w:rPr>
            </w:pPr>
          </w:p>
          <w:p w14:paraId="6819A939" w14:textId="77777777" w:rsidR="0084743A" w:rsidRPr="0084743A" w:rsidRDefault="0084743A" w:rsidP="006479DF">
            <w:pPr>
              <w:rPr>
                <w:b/>
                <w:sz w:val="26"/>
                <w:szCs w:val="26"/>
              </w:rPr>
            </w:pPr>
          </w:p>
          <w:p w14:paraId="3B7DD0F7" w14:textId="77777777" w:rsidR="0084743A" w:rsidRPr="0084743A" w:rsidRDefault="0084743A" w:rsidP="006479DF">
            <w:pPr>
              <w:rPr>
                <w:b/>
                <w:sz w:val="26"/>
                <w:szCs w:val="26"/>
              </w:rPr>
            </w:pPr>
          </w:p>
        </w:tc>
        <w:tc>
          <w:tcPr>
            <w:tcW w:w="6696" w:type="dxa"/>
            <w:shd w:val="clear" w:color="auto" w:fill="8DB3E2" w:themeFill="text2" w:themeFillTint="66"/>
          </w:tcPr>
          <w:p w14:paraId="64C664BA" w14:textId="77777777" w:rsidR="009836CF" w:rsidRPr="007A564A" w:rsidRDefault="00E745C0" w:rsidP="006A5157">
            <w:pPr>
              <w:jc w:val="both"/>
              <w:rPr>
                <w:szCs w:val="20"/>
              </w:rPr>
            </w:pPr>
            <w:r w:rsidRPr="007A564A">
              <w:rPr>
                <w:szCs w:val="20"/>
              </w:rPr>
              <w:t>Riadiace orgány</w:t>
            </w:r>
          </w:p>
          <w:p w14:paraId="2A131AF9" w14:textId="77777777" w:rsidR="00E745C0" w:rsidRPr="007A564A" w:rsidRDefault="00E745C0" w:rsidP="006A5157">
            <w:pPr>
              <w:jc w:val="both"/>
              <w:rPr>
                <w:szCs w:val="20"/>
              </w:rPr>
            </w:pPr>
            <w:r w:rsidRPr="007A564A">
              <w:rPr>
                <w:szCs w:val="20"/>
              </w:rPr>
              <w:t>Sprostredkovateľské orgány</w:t>
            </w:r>
          </w:p>
        </w:tc>
      </w:tr>
      <w:tr w:rsidR="009836CF" w:rsidRPr="009836CF" w14:paraId="2F730DE7" w14:textId="77777777" w:rsidTr="0056666E">
        <w:tc>
          <w:tcPr>
            <w:tcW w:w="2268" w:type="dxa"/>
            <w:shd w:val="clear" w:color="auto" w:fill="8DB3E2" w:themeFill="text2" w:themeFillTint="66"/>
          </w:tcPr>
          <w:p w14:paraId="75D07786" w14:textId="77777777" w:rsidR="009836CF" w:rsidRPr="0084743A" w:rsidRDefault="00116F61" w:rsidP="006479DF">
            <w:pPr>
              <w:rPr>
                <w:b/>
                <w:sz w:val="26"/>
                <w:szCs w:val="26"/>
              </w:rPr>
            </w:pPr>
            <w:r w:rsidRPr="0084743A">
              <w:rPr>
                <w:b/>
                <w:sz w:val="26"/>
                <w:szCs w:val="26"/>
              </w:rPr>
              <w:t>Na vedomie:</w:t>
            </w:r>
          </w:p>
          <w:p w14:paraId="59863B5A" w14:textId="77777777" w:rsidR="0084743A" w:rsidRPr="0084743A" w:rsidRDefault="0084743A" w:rsidP="006479DF">
            <w:pPr>
              <w:rPr>
                <w:b/>
                <w:sz w:val="26"/>
                <w:szCs w:val="26"/>
              </w:rPr>
            </w:pPr>
          </w:p>
          <w:p w14:paraId="0D9FC649" w14:textId="77777777" w:rsidR="0084743A" w:rsidRPr="0084743A" w:rsidRDefault="0084743A" w:rsidP="006479DF">
            <w:pPr>
              <w:rPr>
                <w:b/>
                <w:sz w:val="26"/>
                <w:szCs w:val="26"/>
              </w:rPr>
            </w:pPr>
          </w:p>
          <w:p w14:paraId="4586A926" w14:textId="77777777" w:rsidR="0084743A" w:rsidRPr="0084743A" w:rsidRDefault="0084743A" w:rsidP="006479DF">
            <w:pPr>
              <w:rPr>
                <w:b/>
                <w:sz w:val="26"/>
                <w:szCs w:val="26"/>
              </w:rPr>
            </w:pPr>
          </w:p>
        </w:tc>
        <w:tc>
          <w:tcPr>
            <w:tcW w:w="6696" w:type="dxa"/>
            <w:shd w:val="clear" w:color="auto" w:fill="8DB3E2" w:themeFill="text2" w:themeFillTint="66"/>
          </w:tcPr>
          <w:p w14:paraId="5A13ED58" w14:textId="77777777" w:rsidR="00B91F3C" w:rsidRPr="007A564A" w:rsidRDefault="00B91F3C" w:rsidP="00B91F3C">
            <w:pPr>
              <w:jc w:val="both"/>
              <w:rPr>
                <w:szCs w:val="20"/>
              </w:rPr>
            </w:pPr>
            <w:r w:rsidRPr="007A564A">
              <w:rPr>
                <w:szCs w:val="20"/>
              </w:rPr>
              <w:t>Certifikačný orgán</w:t>
            </w:r>
          </w:p>
          <w:p w14:paraId="4985414E" w14:textId="77777777" w:rsidR="00B91F3C" w:rsidRPr="007A564A" w:rsidRDefault="00B91F3C" w:rsidP="00B91F3C">
            <w:pPr>
              <w:jc w:val="both"/>
              <w:rPr>
                <w:szCs w:val="20"/>
              </w:rPr>
            </w:pPr>
            <w:r w:rsidRPr="007A564A">
              <w:rPr>
                <w:szCs w:val="20"/>
              </w:rPr>
              <w:t>Orgán auditu</w:t>
            </w:r>
          </w:p>
          <w:p w14:paraId="18271C3D" w14:textId="77777777" w:rsidR="009836CF" w:rsidRPr="007A564A" w:rsidRDefault="00B91F3C" w:rsidP="00B91F3C">
            <w:pPr>
              <w:jc w:val="both"/>
              <w:rPr>
                <w:szCs w:val="20"/>
              </w:rPr>
            </w:pPr>
            <w:r w:rsidRPr="007A564A">
              <w:rPr>
                <w:szCs w:val="20"/>
              </w:rPr>
              <w:t>Gestori horizontálnych princípov</w:t>
            </w:r>
          </w:p>
        </w:tc>
      </w:tr>
      <w:tr w:rsidR="009836CF" w:rsidRPr="009836CF" w14:paraId="2BEBE76C" w14:textId="77777777" w:rsidTr="0056666E">
        <w:tc>
          <w:tcPr>
            <w:tcW w:w="2268" w:type="dxa"/>
            <w:shd w:val="clear" w:color="auto" w:fill="8DB3E2" w:themeFill="text2" w:themeFillTint="66"/>
          </w:tcPr>
          <w:p w14:paraId="6BE9242B" w14:textId="77777777" w:rsidR="009836CF" w:rsidRPr="0084743A" w:rsidRDefault="00116F61" w:rsidP="006479DF">
            <w:pPr>
              <w:rPr>
                <w:b/>
                <w:sz w:val="26"/>
                <w:szCs w:val="26"/>
              </w:rPr>
            </w:pPr>
            <w:r w:rsidRPr="0084743A">
              <w:rPr>
                <w:b/>
                <w:sz w:val="26"/>
                <w:szCs w:val="26"/>
              </w:rPr>
              <w:t>Vydáva:</w:t>
            </w:r>
          </w:p>
          <w:p w14:paraId="6A1D69DF" w14:textId="77777777" w:rsidR="0084743A" w:rsidRPr="003B0DFE" w:rsidRDefault="0084743A" w:rsidP="006479DF">
            <w:pPr>
              <w:rPr>
                <w:b/>
                <w:sz w:val="16"/>
                <w:szCs w:val="20"/>
              </w:rPr>
            </w:pPr>
          </w:p>
          <w:p w14:paraId="057391B7" w14:textId="77777777" w:rsidR="003B0DFE" w:rsidRDefault="003B0DFE" w:rsidP="006479DF">
            <w:pPr>
              <w:rPr>
                <w:b/>
                <w:sz w:val="16"/>
                <w:szCs w:val="20"/>
              </w:rPr>
            </w:pPr>
          </w:p>
          <w:p w14:paraId="3DA9DD11" w14:textId="77777777" w:rsidR="003B0DFE" w:rsidRDefault="003B0DFE" w:rsidP="006479DF">
            <w:pPr>
              <w:rPr>
                <w:b/>
                <w:sz w:val="16"/>
                <w:szCs w:val="20"/>
              </w:rPr>
            </w:pPr>
          </w:p>
          <w:p w14:paraId="3892A8DF" w14:textId="77777777" w:rsidR="003B0DFE" w:rsidRPr="003B0DFE" w:rsidRDefault="003B0DFE" w:rsidP="006479DF">
            <w:pPr>
              <w:rPr>
                <w:b/>
                <w:sz w:val="16"/>
                <w:szCs w:val="20"/>
              </w:rPr>
            </w:pPr>
          </w:p>
          <w:p w14:paraId="6D6548BA" w14:textId="77777777" w:rsidR="003B0DFE" w:rsidRPr="0084743A" w:rsidRDefault="003B0DFE" w:rsidP="006479DF">
            <w:pPr>
              <w:rPr>
                <w:b/>
                <w:sz w:val="26"/>
                <w:szCs w:val="26"/>
              </w:rPr>
            </w:pPr>
          </w:p>
        </w:tc>
        <w:tc>
          <w:tcPr>
            <w:tcW w:w="6696" w:type="dxa"/>
            <w:shd w:val="clear" w:color="auto" w:fill="8DB3E2" w:themeFill="text2" w:themeFillTint="66"/>
          </w:tcPr>
          <w:p w14:paraId="61A3FFFA" w14:textId="77777777" w:rsidR="009836CF" w:rsidRPr="007A564A" w:rsidRDefault="0084743A" w:rsidP="006A5157">
            <w:pPr>
              <w:jc w:val="both"/>
              <w:rPr>
                <w:szCs w:val="20"/>
              </w:rPr>
            </w:pPr>
            <w:r w:rsidRPr="007A564A">
              <w:rPr>
                <w:szCs w:val="20"/>
              </w:rPr>
              <w:t>Centrálny koordinačný orgán</w:t>
            </w:r>
          </w:p>
          <w:p w14:paraId="6BA01620" w14:textId="77777777" w:rsidR="008E5524" w:rsidRPr="005607DB" w:rsidRDefault="008E5524" w:rsidP="008E5524">
            <w:pPr>
              <w:jc w:val="both"/>
            </w:pPr>
            <w:r w:rsidRPr="005607DB">
              <w:t>Úrad podpredsedu vlády SR pre investície a informatizáciu</w:t>
            </w:r>
          </w:p>
          <w:p w14:paraId="777DB093" w14:textId="77777777" w:rsidR="00B53B4A" w:rsidRPr="007A564A" w:rsidRDefault="003203BE" w:rsidP="007A0A10">
            <w:pPr>
              <w:jc w:val="both"/>
              <w:rPr>
                <w:szCs w:val="20"/>
              </w:rPr>
            </w:pPr>
            <w:r w:rsidRPr="007A564A">
              <w:rPr>
                <w:szCs w:val="20"/>
              </w:rPr>
              <w:t>v súlade s kapitolou 1.2, ods. 3, písm. b) Systému riadenia európskych štrukturálnych a investičných fondov</w:t>
            </w:r>
          </w:p>
        </w:tc>
      </w:tr>
      <w:tr w:rsidR="009836CF" w:rsidRPr="009836CF" w14:paraId="6D2BA277" w14:textId="77777777" w:rsidTr="0056666E">
        <w:tc>
          <w:tcPr>
            <w:tcW w:w="2268" w:type="dxa"/>
            <w:shd w:val="clear" w:color="auto" w:fill="8DB3E2" w:themeFill="text2" w:themeFillTint="66"/>
          </w:tcPr>
          <w:p w14:paraId="1419E2FE" w14:textId="77777777" w:rsidR="009836CF" w:rsidRPr="0084743A" w:rsidRDefault="00116F61" w:rsidP="006479DF">
            <w:pPr>
              <w:rPr>
                <w:b/>
                <w:sz w:val="26"/>
                <w:szCs w:val="26"/>
              </w:rPr>
            </w:pPr>
            <w:r w:rsidRPr="0084743A">
              <w:rPr>
                <w:b/>
                <w:sz w:val="26"/>
                <w:szCs w:val="26"/>
              </w:rPr>
              <w:t>Záväznosť:</w:t>
            </w:r>
          </w:p>
          <w:p w14:paraId="4025EC10" w14:textId="77777777" w:rsidR="0084743A" w:rsidRDefault="0084743A" w:rsidP="006479DF">
            <w:pPr>
              <w:rPr>
                <w:b/>
                <w:sz w:val="16"/>
                <w:szCs w:val="16"/>
              </w:rPr>
            </w:pPr>
          </w:p>
          <w:p w14:paraId="09DDE7B9" w14:textId="77777777" w:rsidR="003B0DFE" w:rsidRDefault="003B0DFE" w:rsidP="006479DF">
            <w:pPr>
              <w:rPr>
                <w:b/>
                <w:sz w:val="16"/>
                <w:szCs w:val="16"/>
              </w:rPr>
            </w:pPr>
          </w:p>
          <w:p w14:paraId="210F69BE" w14:textId="77777777" w:rsidR="003B0DFE" w:rsidRDefault="003B0DFE" w:rsidP="006479DF">
            <w:pPr>
              <w:rPr>
                <w:b/>
                <w:sz w:val="16"/>
                <w:szCs w:val="16"/>
              </w:rPr>
            </w:pPr>
          </w:p>
          <w:p w14:paraId="67586714" w14:textId="77777777" w:rsidR="003B0DFE" w:rsidRDefault="003B0DFE" w:rsidP="006479DF">
            <w:pPr>
              <w:rPr>
                <w:b/>
                <w:sz w:val="16"/>
                <w:szCs w:val="16"/>
              </w:rPr>
            </w:pPr>
          </w:p>
          <w:p w14:paraId="457747ED" w14:textId="77777777" w:rsidR="003B0DFE" w:rsidRPr="003B0DFE" w:rsidRDefault="003B0DFE" w:rsidP="006479DF">
            <w:pPr>
              <w:rPr>
                <w:b/>
                <w:sz w:val="16"/>
                <w:szCs w:val="16"/>
              </w:rPr>
            </w:pPr>
          </w:p>
          <w:p w14:paraId="0C0F2AE3" w14:textId="77777777" w:rsidR="006A5157" w:rsidRPr="003B0DFE" w:rsidRDefault="006A5157" w:rsidP="006479DF">
            <w:pPr>
              <w:rPr>
                <w:b/>
                <w:sz w:val="16"/>
                <w:szCs w:val="16"/>
              </w:rPr>
            </w:pPr>
          </w:p>
        </w:tc>
        <w:sdt>
          <w:sdtPr>
            <w:rPr>
              <w:szCs w:val="20"/>
            </w:rPr>
            <w:alias w:val="Záväznosť"/>
            <w:tag w:val="Záväznosť"/>
            <w:id w:val="1763795753"/>
            <w:lock w:val="sdtLocked"/>
            <w:placeholder>
              <w:docPart w:val="A1DE1FAF9C3142D9B35DEB35D3F6137F"/>
            </w:placeholder>
            <w:dropDownList>
              <w:listItem w:value="Vyberte položku."/>
              <w:listItem w:displayText="Metodický pokyn má záväzný charakter v celom svojom rozsahu." w:value="Metodický pokyn má záväzný charakter v celom svojom rozsahu."/>
              <w:listItem w:displayText="Metodický pokyn má záväzný charakter v celom rozsahu, ak v jeho texte nie je pri konkrétnom ustanovení uvedené inak." w:value="Metodický pokyn má záväzný charakter v celom rozsahu, ak v jeho texte nie je pri konkrétnom ustanovení uvedené inak."/>
              <w:listItem w:displayText="Metodický pokyn má odporúčací charakter." w:value="Metodický pokyn má odporúčací charakter."/>
            </w:dropDownList>
          </w:sdtPr>
          <w:sdtEndPr/>
          <w:sdtContent>
            <w:tc>
              <w:tcPr>
                <w:tcW w:w="6696" w:type="dxa"/>
                <w:shd w:val="clear" w:color="auto" w:fill="8DB3E2" w:themeFill="text2" w:themeFillTint="66"/>
              </w:tcPr>
              <w:p w14:paraId="3CED0D7F" w14:textId="77777777" w:rsidR="009836CF" w:rsidRPr="007A564A" w:rsidRDefault="00034644" w:rsidP="006A5157">
                <w:pPr>
                  <w:jc w:val="both"/>
                  <w:rPr>
                    <w:szCs w:val="20"/>
                  </w:rPr>
                </w:pPr>
                <w:r>
                  <w:rPr>
                    <w:szCs w:val="20"/>
                  </w:rPr>
                  <w:t>Metodický pokyn má záväzný charakter v celom rozsahu, ak v jeho texte nie je pri konkrétnom ustanovení uvedené inak.</w:t>
                </w:r>
              </w:p>
            </w:tc>
          </w:sdtContent>
        </w:sdt>
      </w:tr>
      <w:tr w:rsidR="009836CF" w:rsidRPr="009836CF" w14:paraId="1300C981" w14:textId="77777777" w:rsidTr="0056666E">
        <w:tc>
          <w:tcPr>
            <w:tcW w:w="2268" w:type="dxa"/>
            <w:shd w:val="clear" w:color="auto" w:fill="8DB3E2" w:themeFill="text2" w:themeFillTint="66"/>
          </w:tcPr>
          <w:p w14:paraId="3E04AD8F" w14:textId="77777777" w:rsidR="009836CF" w:rsidRPr="003C2544" w:rsidRDefault="009836CF" w:rsidP="006479DF">
            <w:pPr>
              <w:rPr>
                <w:b/>
                <w:sz w:val="26"/>
                <w:szCs w:val="26"/>
              </w:rPr>
            </w:pPr>
            <w:r w:rsidRPr="003C2544">
              <w:rPr>
                <w:b/>
                <w:sz w:val="26"/>
                <w:szCs w:val="26"/>
              </w:rPr>
              <w:t>Počet príloh:</w:t>
            </w:r>
          </w:p>
          <w:p w14:paraId="54832A61" w14:textId="77777777" w:rsidR="006A5157" w:rsidRDefault="006A5157" w:rsidP="006479DF">
            <w:pPr>
              <w:rPr>
                <w:b/>
              </w:rPr>
            </w:pPr>
          </w:p>
          <w:p w14:paraId="46FDA680" w14:textId="77777777" w:rsidR="003B0DFE" w:rsidRPr="003C2544" w:rsidRDefault="003B0DFE" w:rsidP="006479DF">
            <w:pPr>
              <w:rPr>
                <w:b/>
              </w:rPr>
            </w:pPr>
          </w:p>
        </w:tc>
        <w:tc>
          <w:tcPr>
            <w:tcW w:w="6696" w:type="dxa"/>
            <w:shd w:val="clear" w:color="auto" w:fill="8DB3E2" w:themeFill="text2" w:themeFillTint="66"/>
          </w:tcPr>
          <w:p w14:paraId="0BE95F7C" w14:textId="1DF3B648" w:rsidR="009836CF" w:rsidRPr="007A564A" w:rsidRDefault="009A1D39" w:rsidP="006A5157">
            <w:pPr>
              <w:jc w:val="both"/>
              <w:rPr>
                <w:rStyle w:val="Zstupntext"/>
                <w:rFonts w:eastAsiaTheme="minorHAnsi"/>
              </w:rPr>
            </w:pPr>
            <w:sdt>
              <w:sdtPr>
                <w:rPr>
                  <w:color w:val="808080"/>
                </w:rPr>
                <w:alias w:val="Poradové číslo vzoru"/>
                <w:tag w:val="Poradové číslo vzoru"/>
                <w:id w:val="321319884"/>
                <w:placeholder>
                  <w:docPart w:val="372C34084E1F4CE5A1739291D068FBF6"/>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rPr>
                  <w:color w:val="auto"/>
                </w:rPr>
              </w:sdtEndPr>
              <w:sdtContent>
                <w:r w:rsidR="00034644" w:rsidRPr="0056666E">
                  <w:t>5</w:t>
                </w:r>
              </w:sdtContent>
            </w:sdt>
          </w:p>
        </w:tc>
      </w:tr>
      <w:tr w:rsidR="009836CF" w:rsidRPr="009836CF" w14:paraId="42D9B997" w14:textId="77777777" w:rsidTr="0056666E">
        <w:tc>
          <w:tcPr>
            <w:tcW w:w="2268" w:type="dxa"/>
            <w:shd w:val="clear" w:color="auto" w:fill="8DB3E2" w:themeFill="text2" w:themeFillTint="66"/>
          </w:tcPr>
          <w:p w14:paraId="203F08D8" w14:textId="77777777" w:rsidR="009836CF" w:rsidRPr="0084743A" w:rsidRDefault="009836CF" w:rsidP="006479DF">
            <w:pPr>
              <w:rPr>
                <w:b/>
                <w:sz w:val="26"/>
                <w:szCs w:val="26"/>
              </w:rPr>
            </w:pPr>
            <w:r w:rsidRPr="0084743A">
              <w:rPr>
                <w:b/>
                <w:sz w:val="26"/>
                <w:szCs w:val="26"/>
              </w:rPr>
              <w:t>Dátum vydania:</w:t>
            </w:r>
          </w:p>
          <w:p w14:paraId="2D431C0A" w14:textId="77777777" w:rsidR="006A5157" w:rsidRDefault="006A5157" w:rsidP="006479DF">
            <w:pPr>
              <w:rPr>
                <w:b/>
                <w:sz w:val="26"/>
                <w:szCs w:val="26"/>
              </w:rPr>
            </w:pPr>
          </w:p>
          <w:p w14:paraId="02976FBF" w14:textId="77777777" w:rsidR="003B0DFE" w:rsidRPr="0084743A" w:rsidRDefault="003B0DFE" w:rsidP="006479DF">
            <w:pPr>
              <w:rPr>
                <w:b/>
                <w:sz w:val="26"/>
                <w:szCs w:val="26"/>
              </w:rPr>
            </w:pPr>
          </w:p>
        </w:tc>
        <w:tc>
          <w:tcPr>
            <w:tcW w:w="6696" w:type="dxa"/>
            <w:shd w:val="clear" w:color="auto" w:fill="8DB3E2" w:themeFill="text2" w:themeFillTint="66"/>
          </w:tcPr>
          <w:p w14:paraId="06A6AA23" w14:textId="6E267E43" w:rsidR="009836CF" w:rsidRPr="007A564A" w:rsidRDefault="009A1D39" w:rsidP="00E204F9">
            <w:pPr>
              <w:jc w:val="both"/>
              <w:rPr>
                <w:szCs w:val="20"/>
              </w:rPr>
            </w:pPr>
            <w:sdt>
              <w:sdtPr>
                <w:rPr>
                  <w:szCs w:val="20"/>
                </w:rPr>
                <w:id w:val="769435081"/>
                <w:placeholder>
                  <w:docPart w:val="A0C438BAC08043A7A1FDB60EF61D7C2A"/>
                </w:placeholder>
                <w:date w:fullDate="2018-10-31T00:00:00Z">
                  <w:dateFormat w:val="dd.MM.yyyy"/>
                  <w:lid w:val="sk-SK"/>
                  <w:storeMappedDataAs w:val="dateTime"/>
                  <w:calendar w:val="gregorian"/>
                </w:date>
              </w:sdtPr>
              <w:sdtEndPr/>
              <w:sdtContent>
                <w:r w:rsidR="00034644">
                  <w:rPr>
                    <w:szCs w:val="20"/>
                  </w:rPr>
                  <w:t>31.10.2018</w:t>
                </w:r>
              </w:sdtContent>
            </w:sdt>
            <w:r w:rsidR="00FF36D1">
              <w:rPr>
                <w:szCs w:val="20"/>
              </w:rPr>
              <w:t xml:space="preserve"> </w:t>
            </w:r>
          </w:p>
        </w:tc>
      </w:tr>
      <w:tr w:rsidR="009836CF" w:rsidRPr="009836CF" w14:paraId="092100CA" w14:textId="77777777" w:rsidTr="0056666E">
        <w:tc>
          <w:tcPr>
            <w:tcW w:w="2268" w:type="dxa"/>
            <w:shd w:val="clear" w:color="auto" w:fill="8DB3E2" w:themeFill="text2" w:themeFillTint="66"/>
          </w:tcPr>
          <w:p w14:paraId="35B19B28" w14:textId="77777777" w:rsidR="009836CF" w:rsidRPr="0084743A" w:rsidRDefault="009836CF" w:rsidP="006479DF">
            <w:pPr>
              <w:rPr>
                <w:b/>
                <w:sz w:val="26"/>
                <w:szCs w:val="26"/>
              </w:rPr>
            </w:pPr>
            <w:r w:rsidRPr="0084743A">
              <w:rPr>
                <w:b/>
                <w:sz w:val="26"/>
                <w:szCs w:val="26"/>
              </w:rPr>
              <w:t>Dátum účinnosti:</w:t>
            </w:r>
          </w:p>
          <w:p w14:paraId="799A18C2" w14:textId="77777777" w:rsidR="006A5157" w:rsidRDefault="006A5157" w:rsidP="006479DF">
            <w:pPr>
              <w:rPr>
                <w:b/>
                <w:sz w:val="26"/>
                <w:szCs w:val="26"/>
              </w:rPr>
            </w:pPr>
          </w:p>
          <w:p w14:paraId="27B4B267" w14:textId="77777777" w:rsidR="003B0DFE" w:rsidRPr="0084743A" w:rsidRDefault="003B0DFE" w:rsidP="006479DF">
            <w:pPr>
              <w:rPr>
                <w:b/>
                <w:sz w:val="26"/>
                <w:szCs w:val="26"/>
              </w:rPr>
            </w:pPr>
          </w:p>
        </w:tc>
        <w:tc>
          <w:tcPr>
            <w:tcW w:w="6696" w:type="dxa"/>
            <w:shd w:val="clear" w:color="auto" w:fill="8DB3E2" w:themeFill="text2" w:themeFillTint="66"/>
          </w:tcPr>
          <w:p w14:paraId="5A2CF0DC" w14:textId="5BDBF5E3" w:rsidR="009836CF" w:rsidRPr="007A564A" w:rsidRDefault="009A1D39" w:rsidP="00E204F9">
            <w:pPr>
              <w:jc w:val="both"/>
              <w:rPr>
                <w:szCs w:val="20"/>
              </w:rPr>
            </w:pPr>
            <w:sdt>
              <w:sdtPr>
                <w:rPr>
                  <w:szCs w:val="20"/>
                </w:rPr>
                <w:id w:val="-1813329615"/>
                <w:placeholder>
                  <w:docPart w:val="A9F731F61A7042F186F5DB555D917909"/>
                </w:placeholder>
                <w:date w:fullDate="2018-10-31T00:00:00Z">
                  <w:dateFormat w:val="dd.MM.yyyy"/>
                  <w:lid w:val="sk-SK"/>
                  <w:storeMappedDataAs w:val="dateTime"/>
                  <w:calendar w:val="gregorian"/>
                </w:date>
              </w:sdtPr>
              <w:sdtEndPr/>
              <w:sdtContent>
                <w:r w:rsidR="00034644">
                  <w:rPr>
                    <w:szCs w:val="20"/>
                  </w:rPr>
                  <w:t>31.10.2018</w:t>
                </w:r>
              </w:sdtContent>
            </w:sdt>
          </w:p>
        </w:tc>
      </w:tr>
      <w:tr w:rsidR="009836CF" w:rsidRPr="009836CF" w14:paraId="67B14419" w14:textId="77777777" w:rsidTr="0056666E">
        <w:tc>
          <w:tcPr>
            <w:tcW w:w="2268" w:type="dxa"/>
            <w:shd w:val="clear" w:color="auto" w:fill="8DB3E2" w:themeFill="text2" w:themeFillTint="66"/>
          </w:tcPr>
          <w:p w14:paraId="52280931" w14:textId="77777777" w:rsidR="009836CF" w:rsidRPr="0084743A" w:rsidRDefault="009836CF" w:rsidP="006479DF">
            <w:pPr>
              <w:rPr>
                <w:b/>
                <w:sz w:val="26"/>
                <w:szCs w:val="26"/>
              </w:rPr>
            </w:pPr>
            <w:r w:rsidRPr="0084743A">
              <w:rPr>
                <w:b/>
                <w:sz w:val="26"/>
                <w:szCs w:val="26"/>
              </w:rPr>
              <w:t>Schválil:</w:t>
            </w:r>
          </w:p>
        </w:tc>
        <w:tc>
          <w:tcPr>
            <w:tcW w:w="6696" w:type="dxa"/>
            <w:shd w:val="clear" w:color="auto" w:fill="8DB3E2" w:themeFill="text2" w:themeFillTint="66"/>
          </w:tcPr>
          <w:p w14:paraId="64F58566" w14:textId="199DBA89" w:rsidR="00897520" w:rsidRDefault="00897520" w:rsidP="00897520">
            <w:pPr>
              <w:jc w:val="both"/>
              <w:rPr>
                <w:rStyle w:val="Hypertextovprepojenie"/>
                <w:color w:val="000000"/>
                <w:u w:val="none"/>
              </w:rPr>
            </w:pPr>
            <w:r>
              <w:rPr>
                <w:rStyle w:val="Hypertextovprepojenie"/>
                <w:color w:val="000000"/>
                <w:u w:val="none"/>
              </w:rPr>
              <w:t>JUDr. Denisa Žiláková</w:t>
            </w:r>
          </w:p>
          <w:p w14:paraId="3A0B89C6" w14:textId="77777777" w:rsidR="00C214B6" w:rsidRPr="007A564A" w:rsidRDefault="00897520" w:rsidP="006A5157">
            <w:pPr>
              <w:jc w:val="both"/>
              <w:rPr>
                <w:szCs w:val="20"/>
              </w:rPr>
            </w:pPr>
            <w:r>
              <w:rPr>
                <w:szCs w:val="20"/>
              </w:rPr>
              <w:t>generálna riaditeľka sekcie centrálny koordinačný orgán</w:t>
            </w:r>
          </w:p>
        </w:tc>
      </w:tr>
    </w:tbl>
    <w:p w14:paraId="168E64C0" w14:textId="77777777" w:rsidR="00D61BB6" w:rsidRDefault="00D61BB6" w:rsidP="006479DF">
      <w:pPr>
        <w:rPr>
          <w:sz w:val="20"/>
          <w:szCs w:val="20"/>
        </w:rPr>
      </w:pPr>
    </w:p>
    <w:p w14:paraId="6FBBE247" w14:textId="77777777" w:rsidR="00F94F1D" w:rsidRDefault="00F94F1D" w:rsidP="00F94F1D">
      <w:pPr>
        <w:pStyle w:val="Hlavikaobsahu"/>
      </w:pPr>
      <w:bookmarkStart w:id="1" w:name="_Toc404872120"/>
      <w:bookmarkStart w:id="2" w:name="_Toc404872045"/>
      <w:r>
        <w:t>Obsah</w:t>
      </w:r>
    </w:p>
    <w:p w14:paraId="15E4B768" w14:textId="77777777" w:rsidR="00F94F1D" w:rsidRPr="00F94F1D" w:rsidRDefault="00F94F1D" w:rsidP="00F94F1D"/>
    <w:p w14:paraId="75C304F9" w14:textId="26A228C7" w:rsidR="0056666E" w:rsidRDefault="00FE5A9C">
      <w:pPr>
        <w:pStyle w:val="Obsah2"/>
        <w:rPr>
          <w:rFonts w:asciiTheme="minorHAnsi" w:eastAsiaTheme="minorEastAsia" w:hAnsiTheme="minorHAnsi" w:cstheme="minorBidi"/>
          <w:b w:val="0"/>
          <w:sz w:val="22"/>
          <w:szCs w:val="22"/>
        </w:rPr>
      </w:pPr>
      <w:r>
        <w:fldChar w:fldCharType="begin"/>
      </w:r>
      <w:r w:rsidR="00F94F1D">
        <w:instrText xml:space="preserve"> TOC \o "1-4" \h \z \u </w:instrText>
      </w:r>
      <w:r>
        <w:fldChar w:fldCharType="separate"/>
      </w:r>
      <w:hyperlink w:anchor="_Toc527539357" w:history="1">
        <w:r w:rsidR="0056666E" w:rsidRPr="00877F84">
          <w:rPr>
            <w:rStyle w:val="Hypertextovprepojenie"/>
          </w:rPr>
          <w:t>1 Úvod</w:t>
        </w:r>
        <w:r w:rsidR="0056666E">
          <w:rPr>
            <w:webHidden/>
          </w:rPr>
          <w:tab/>
        </w:r>
        <w:r w:rsidR="0056666E">
          <w:rPr>
            <w:webHidden/>
          </w:rPr>
          <w:fldChar w:fldCharType="begin"/>
        </w:r>
        <w:r w:rsidR="0056666E">
          <w:rPr>
            <w:webHidden/>
          </w:rPr>
          <w:instrText xml:space="preserve"> PAGEREF _Toc527539357 \h </w:instrText>
        </w:r>
        <w:r w:rsidR="0056666E">
          <w:rPr>
            <w:webHidden/>
          </w:rPr>
        </w:r>
        <w:r w:rsidR="0056666E">
          <w:rPr>
            <w:webHidden/>
          </w:rPr>
          <w:fldChar w:fldCharType="separate"/>
        </w:r>
        <w:r w:rsidR="0056666E">
          <w:rPr>
            <w:webHidden/>
          </w:rPr>
          <w:t>2</w:t>
        </w:r>
        <w:r w:rsidR="0056666E">
          <w:rPr>
            <w:webHidden/>
          </w:rPr>
          <w:fldChar w:fldCharType="end"/>
        </w:r>
      </w:hyperlink>
    </w:p>
    <w:p w14:paraId="55A2AB2F" w14:textId="6E2D6B0F" w:rsidR="0056666E" w:rsidRDefault="009A1D39">
      <w:pPr>
        <w:pStyle w:val="Obsah3"/>
        <w:rPr>
          <w:rFonts w:asciiTheme="minorHAnsi" w:eastAsiaTheme="minorEastAsia" w:hAnsiTheme="minorHAnsi" w:cstheme="minorBidi"/>
          <w:noProof/>
          <w:sz w:val="22"/>
          <w:szCs w:val="22"/>
        </w:rPr>
      </w:pPr>
      <w:hyperlink w:anchor="_Toc527539358" w:history="1">
        <w:r w:rsidR="0056666E" w:rsidRPr="00877F84">
          <w:rPr>
            <w:rStyle w:val="Hypertextovprepojenie"/>
            <w:noProof/>
          </w:rPr>
          <w:t>1.1 Právny základ</w:t>
        </w:r>
        <w:r w:rsidR="0056666E">
          <w:rPr>
            <w:noProof/>
            <w:webHidden/>
          </w:rPr>
          <w:tab/>
        </w:r>
        <w:r w:rsidR="0056666E">
          <w:rPr>
            <w:noProof/>
            <w:webHidden/>
          </w:rPr>
          <w:fldChar w:fldCharType="begin"/>
        </w:r>
        <w:r w:rsidR="0056666E">
          <w:rPr>
            <w:noProof/>
            <w:webHidden/>
          </w:rPr>
          <w:instrText xml:space="preserve"> PAGEREF _Toc527539358 \h </w:instrText>
        </w:r>
        <w:r w:rsidR="0056666E">
          <w:rPr>
            <w:noProof/>
            <w:webHidden/>
          </w:rPr>
        </w:r>
        <w:r w:rsidR="0056666E">
          <w:rPr>
            <w:noProof/>
            <w:webHidden/>
          </w:rPr>
          <w:fldChar w:fldCharType="separate"/>
        </w:r>
        <w:r w:rsidR="0056666E">
          <w:rPr>
            <w:noProof/>
            <w:webHidden/>
          </w:rPr>
          <w:t>3</w:t>
        </w:r>
        <w:r w:rsidR="0056666E">
          <w:rPr>
            <w:noProof/>
            <w:webHidden/>
          </w:rPr>
          <w:fldChar w:fldCharType="end"/>
        </w:r>
      </w:hyperlink>
    </w:p>
    <w:p w14:paraId="5C8E051C" w14:textId="358E75D6" w:rsidR="0056666E" w:rsidRDefault="009A1D39">
      <w:pPr>
        <w:pStyle w:val="Obsah3"/>
        <w:rPr>
          <w:rFonts w:asciiTheme="minorHAnsi" w:eastAsiaTheme="minorEastAsia" w:hAnsiTheme="minorHAnsi" w:cstheme="minorBidi"/>
          <w:noProof/>
          <w:sz w:val="22"/>
          <w:szCs w:val="22"/>
        </w:rPr>
      </w:pPr>
      <w:hyperlink w:anchor="_Toc527539359" w:history="1">
        <w:r w:rsidR="0056666E" w:rsidRPr="00877F84">
          <w:rPr>
            <w:rStyle w:val="Hypertextovprepojenie"/>
            <w:noProof/>
          </w:rPr>
          <w:t>1.2 Podstatné zmeny oproti programovému obdobiu 2007 – 2013</w:t>
        </w:r>
        <w:r w:rsidR="0056666E">
          <w:rPr>
            <w:noProof/>
            <w:webHidden/>
          </w:rPr>
          <w:tab/>
        </w:r>
        <w:r w:rsidR="0056666E">
          <w:rPr>
            <w:noProof/>
            <w:webHidden/>
          </w:rPr>
          <w:fldChar w:fldCharType="begin"/>
        </w:r>
        <w:r w:rsidR="0056666E">
          <w:rPr>
            <w:noProof/>
            <w:webHidden/>
          </w:rPr>
          <w:instrText xml:space="preserve"> PAGEREF _Toc527539359 \h </w:instrText>
        </w:r>
        <w:r w:rsidR="0056666E">
          <w:rPr>
            <w:noProof/>
            <w:webHidden/>
          </w:rPr>
        </w:r>
        <w:r w:rsidR="0056666E">
          <w:rPr>
            <w:noProof/>
            <w:webHidden/>
          </w:rPr>
          <w:fldChar w:fldCharType="separate"/>
        </w:r>
        <w:r w:rsidR="0056666E">
          <w:rPr>
            <w:noProof/>
            <w:webHidden/>
          </w:rPr>
          <w:t>4</w:t>
        </w:r>
        <w:r w:rsidR="0056666E">
          <w:rPr>
            <w:noProof/>
            <w:webHidden/>
          </w:rPr>
          <w:fldChar w:fldCharType="end"/>
        </w:r>
      </w:hyperlink>
    </w:p>
    <w:p w14:paraId="4F66F79C" w14:textId="4223D666" w:rsidR="0056666E" w:rsidRDefault="009A1D39">
      <w:pPr>
        <w:pStyle w:val="Obsah3"/>
        <w:rPr>
          <w:rFonts w:asciiTheme="minorHAnsi" w:eastAsiaTheme="minorEastAsia" w:hAnsiTheme="minorHAnsi" w:cstheme="minorBidi"/>
          <w:noProof/>
          <w:sz w:val="22"/>
          <w:szCs w:val="22"/>
        </w:rPr>
      </w:pPr>
      <w:hyperlink w:anchor="_Toc527539360" w:history="1">
        <w:r w:rsidR="0056666E" w:rsidRPr="00877F84">
          <w:rPr>
            <w:rStyle w:val="Hypertextovprepojenie"/>
            <w:noProof/>
          </w:rPr>
          <w:t>1.3 Projekty generujúce príjem podľa čl. 61 všeobecného nariadenia</w:t>
        </w:r>
        <w:r w:rsidR="0056666E">
          <w:rPr>
            <w:noProof/>
            <w:webHidden/>
          </w:rPr>
          <w:tab/>
        </w:r>
        <w:r w:rsidR="0056666E">
          <w:rPr>
            <w:noProof/>
            <w:webHidden/>
          </w:rPr>
          <w:fldChar w:fldCharType="begin"/>
        </w:r>
        <w:r w:rsidR="0056666E">
          <w:rPr>
            <w:noProof/>
            <w:webHidden/>
          </w:rPr>
          <w:instrText xml:space="preserve"> PAGEREF _Toc527539360 \h </w:instrText>
        </w:r>
        <w:r w:rsidR="0056666E">
          <w:rPr>
            <w:noProof/>
            <w:webHidden/>
          </w:rPr>
        </w:r>
        <w:r w:rsidR="0056666E">
          <w:rPr>
            <w:noProof/>
            <w:webHidden/>
          </w:rPr>
          <w:fldChar w:fldCharType="separate"/>
        </w:r>
        <w:r w:rsidR="0056666E">
          <w:rPr>
            <w:noProof/>
            <w:webHidden/>
          </w:rPr>
          <w:t>4</w:t>
        </w:r>
        <w:r w:rsidR="0056666E">
          <w:rPr>
            <w:noProof/>
            <w:webHidden/>
          </w:rPr>
          <w:fldChar w:fldCharType="end"/>
        </w:r>
      </w:hyperlink>
    </w:p>
    <w:p w14:paraId="3C35FFDA" w14:textId="0ABBA7A7" w:rsidR="0056666E" w:rsidRDefault="009A1D39">
      <w:pPr>
        <w:pStyle w:val="Obsah2"/>
        <w:rPr>
          <w:rFonts w:asciiTheme="minorHAnsi" w:eastAsiaTheme="minorEastAsia" w:hAnsiTheme="minorHAnsi" w:cstheme="minorBidi"/>
          <w:b w:val="0"/>
          <w:sz w:val="22"/>
          <w:szCs w:val="22"/>
        </w:rPr>
      </w:pPr>
      <w:hyperlink w:anchor="_Toc527539361" w:history="1">
        <w:r w:rsidR="0056666E" w:rsidRPr="00877F84">
          <w:rPr>
            <w:rStyle w:val="Hypertextovprepojenie"/>
          </w:rPr>
          <w:t>2 Analýza investičných projektov</w:t>
        </w:r>
        <w:r w:rsidR="0056666E">
          <w:rPr>
            <w:webHidden/>
          </w:rPr>
          <w:tab/>
        </w:r>
        <w:r w:rsidR="0056666E">
          <w:rPr>
            <w:webHidden/>
          </w:rPr>
          <w:fldChar w:fldCharType="begin"/>
        </w:r>
        <w:r w:rsidR="0056666E">
          <w:rPr>
            <w:webHidden/>
          </w:rPr>
          <w:instrText xml:space="preserve"> PAGEREF _Toc527539361 \h </w:instrText>
        </w:r>
        <w:r w:rsidR="0056666E">
          <w:rPr>
            <w:webHidden/>
          </w:rPr>
        </w:r>
        <w:r w:rsidR="0056666E">
          <w:rPr>
            <w:webHidden/>
          </w:rPr>
          <w:fldChar w:fldCharType="separate"/>
        </w:r>
        <w:r w:rsidR="0056666E">
          <w:rPr>
            <w:webHidden/>
          </w:rPr>
          <w:t>5</w:t>
        </w:r>
        <w:r w:rsidR="0056666E">
          <w:rPr>
            <w:webHidden/>
          </w:rPr>
          <w:fldChar w:fldCharType="end"/>
        </w:r>
      </w:hyperlink>
    </w:p>
    <w:p w14:paraId="7EA52269" w14:textId="77C146C6" w:rsidR="0056666E" w:rsidRDefault="009A1D39">
      <w:pPr>
        <w:pStyle w:val="Obsah3"/>
        <w:rPr>
          <w:rFonts w:asciiTheme="minorHAnsi" w:eastAsiaTheme="minorEastAsia" w:hAnsiTheme="minorHAnsi" w:cstheme="minorBidi"/>
          <w:noProof/>
          <w:sz w:val="22"/>
          <w:szCs w:val="22"/>
        </w:rPr>
      </w:pPr>
      <w:hyperlink w:anchor="_Toc527539362" w:history="1">
        <w:r w:rsidR="0056666E" w:rsidRPr="00877F84">
          <w:rPr>
            <w:rStyle w:val="Hypertextovprepojenie"/>
            <w:noProof/>
          </w:rPr>
          <w:t>2.1 Finančná analýza projektu</w:t>
        </w:r>
        <w:r w:rsidR="0056666E">
          <w:rPr>
            <w:noProof/>
            <w:webHidden/>
          </w:rPr>
          <w:tab/>
        </w:r>
        <w:r w:rsidR="0056666E">
          <w:rPr>
            <w:noProof/>
            <w:webHidden/>
          </w:rPr>
          <w:fldChar w:fldCharType="begin"/>
        </w:r>
        <w:r w:rsidR="0056666E">
          <w:rPr>
            <w:noProof/>
            <w:webHidden/>
          </w:rPr>
          <w:instrText xml:space="preserve"> PAGEREF _Toc527539362 \h </w:instrText>
        </w:r>
        <w:r w:rsidR="0056666E">
          <w:rPr>
            <w:noProof/>
            <w:webHidden/>
          </w:rPr>
        </w:r>
        <w:r w:rsidR="0056666E">
          <w:rPr>
            <w:noProof/>
            <w:webHidden/>
          </w:rPr>
          <w:fldChar w:fldCharType="separate"/>
        </w:r>
        <w:r w:rsidR="0056666E">
          <w:rPr>
            <w:noProof/>
            <w:webHidden/>
          </w:rPr>
          <w:t>6</w:t>
        </w:r>
        <w:r w:rsidR="0056666E">
          <w:rPr>
            <w:noProof/>
            <w:webHidden/>
          </w:rPr>
          <w:fldChar w:fldCharType="end"/>
        </w:r>
      </w:hyperlink>
    </w:p>
    <w:p w14:paraId="20261CA5" w14:textId="21FC4075" w:rsidR="0056666E" w:rsidRDefault="009A1D39">
      <w:pPr>
        <w:pStyle w:val="Obsah4"/>
        <w:rPr>
          <w:rFonts w:asciiTheme="minorHAnsi" w:eastAsiaTheme="minorEastAsia" w:hAnsiTheme="minorHAnsi" w:cstheme="minorBidi"/>
          <w:noProof/>
          <w:sz w:val="22"/>
          <w:szCs w:val="22"/>
        </w:rPr>
      </w:pPr>
      <w:hyperlink w:anchor="_Toc527539363" w:history="1">
        <w:r w:rsidR="0056666E" w:rsidRPr="00877F84">
          <w:rPr>
            <w:rStyle w:val="Hypertextovprepojenie"/>
            <w:noProof/>
          </w:rPr>
          <w:t>2.1.1 Určenie referenčného obdobia</w:t>
        </w:r>
        <w:r w:rsidR="0056666E">
          <w:rPr>
            <w:noProof/>
            <w:webHidden/>
          </w:rPr>
          <w:tab/>
        </w:r>
        <w:r w:rsidR="0056666E">
          <w:rPr>
            <w:noProof/>
            <w:webHidden/>
          </w:rPr>
          <w:fldChar w:fldCharType="begin"/>
        </w:r>
        <w:r w:rsidR="0056666E">
          <w:rPr>
            <w:noProof/>
            <w:webHidden/>
          </w:rPr>
          <w:instrText xml:space="preserve"> PAGEREF _Toc527539363 \h </w:instrText>
        </w:r>
        <w:r w:rsidR="0056666E">
          <w:rPr>
            <w:noProof/>
            <w:webHidden/>
          </w:rPr>
        </w:r>
        <w:r w:rsidR="0056666E">
          <w:rPr>
            <w:noProof/>
            <w:webHidden/>
          </w:rPr>
          <w:fldChar w:fldCharType="separate"/>
        </w:r>
        <w:r w:rsidR="0056666E">
          <w:rPr>
            <w:noProof/>
            <w:webHidden/>
          </w:rPr>
          <w:t>6</w:t>
        </w:r>
        <w:r w:rsidR="0056666E">
          <w:rPr>
            <w:noProof/>
            <w:webHidden/>
          </w:rPr>
          <w:fldChar w:fldCharType="end"/>
        </w:r>
      </w:hyperlink>
    </w:p>
    <w:p w14:paraId="71259B36" w14:textId="35CE3281" w:rsidR="0056666E" w:rsidRDefault="009A1D39">
      <w:pPr>
        <w:pStyle w:val="Obsah4"/>
        <w:rPr>
          <w:rFonts w:asciiTheme="minorHAnsi" w:eastAsiaTheme="minorEastAsia" w:hAnsiTheme="minorHAnsi" w:cstheme="minorBidi"/>
          <w:noProof/>
          <w:sz w:val="22"/>
          <w:szCs w:val="22"/>
        </w:rPr>
      </w:pPr>
      <w:hyperlink w:anchor="_Toc527539364" w:history="1">
        <w:r w:rsidR="0056666E" w:rsidRPr="00877F84">
          <w:rPr>
            <w:rStyle w:val="Hypertextovprepojenie"/>
            <w:noProof/>
          </w:rPr>
          <w:t>2.1.2 Stanovenie diskontnej miery</w:t>
        </w:r>
        <w:r w:rsidR="0056666E">
          <w:rPr>
            <w:noProof/>
            <w:webHidden/>
          </w:rPr>
          <w:tab/>
        </w:r>
        <w:r w:rsidR="0056666E">
          <w:rPr>
            <w:noProof/>
            <w:webHidden/>
          </w:rPr>
          <w:fldChar w:fldCharType="begin"/>
        </w:r>
        <w:r w:rsidR="0056666E">
          <w:rPr>
            <w:noProof/>
            <w:webHidden/>
          </w:rPr>
          <w:instrText xml:space="preserve"> PAGEREF _Toc527539364 \h </w:instrText>
        </w:r>
        <w:r w:rsidR="0056666E">
          <w:rPr>
            <w:noProof/>
            <w:webHidden/>
          </w:rPr>
        </w:r>
        <w:r w:rsidR="0056666E">
          <w:rPr>
            <w:noProof/>
            <w:webHidden/>
          </w:rPr>
          <w:fldChar w:fldCharType="separate"/>
        </w:r>
        <w:r w:rsidR="0056666E">
          <w:rPr>
            <w:noProof/>
            <w:webHidden/>
          </w:rPr>
          <w:t>7</w:t>
        </w:r>
        <w:r w:rsidR="0056666E">
          <w:rPr>
            <w:noProof/>
            <w:webHidden/>
          </w:rPr>
          <w:fldChar w:fldCharType="end"/>
        </w:r>
      </w:hyperlink>
    </w:p>
    <w:p w14:paraId="4AC06C70" w14:textId="12E2DC5F" w:rsidR="0056666E" w:rsidRDefault="009A1D39">
      <w:pPr>
        <w:pStyle w:val="Obsah4"/>
        <w:rPr>
          <w:rFonts w:asciiTheme="minorHAnsi" w:eastAsiaTheme="minorEastAsia" w:hAnsiTheme="minorHAnsi" w:cstheme="minorBidi"/>
          <w:noProof/>
          <w:sz w:val="22"/>
          <w:szCs w:val="22"/>
        </w:rPr>
      </w:pPr>
      <w:hyperlink w:anchor="_Toc527539365" w:history="1">
        <w:r w:rsidR="0056666E" w:rsidRPr="00877F84">
          <w:rPr>
            <w:rStyle w:val="Hypertextovprepojenie"/>
            <w:noProof/>
          </w:rPr>
          <w:t>2.1.3 Určenie výdavkov projektu</w:t>
        </w:r>
        <w:r w:rsidR="0056666E">
          <w:rPr>
            <w:noProof/>
            <w:webHidden/>
          </w:rPr>
          <w:tab/>
        </w:r>
        <w:r w:rsidR="0056666E">
          <w:rPr>
            <w:noProof/>
            <w:webHidden/>
          </w:rPr>
          <w:fldChar w:fldCharType="begin"/>
        </w:r>
        <w:r w:rsidR="0056666E">
          <w:rPr>
            <w:noProof/>
            <w:webHidden/>
          </w:rPr>
          <w:instrText xml:space="preserve"> PAGEREF _Toc527539365 \h </w:instrText>
        </w:r>
        <w:r w:rsidR="0056666E">
          <w:rPr>
            <w:noProof/>
            <w:webHidden/>
          </w:rPr>
        </w:r>
        <w:r w:rsidR="0056666E">
          <w:rPr>
            <w:noProof/>
            <w:webHidden/>
          </w:rPr>
          <w:fldChar w:fldCharType="separate"/>
        </w:r>
        <w:r w:rsidR="0056666E">
          <w:rPr>
            <w:noProof/>
            <w:webHidden/>
          </w:rPr>
          <w:t>7</w:t>
        </w:r>
        <w:r w:rsidR="0056666E">
          <w:rPr>
            <w:noProof/>
            <w:webHidden/>
          </w:rPr>
          <w:fldChar w:fldCharType="end"/>
        </w:r>
      </w:hyperlink>
    </w:p>
    <w:p w14:paraId="530CEE69" w14:textId="156BC374" w:rsidR="0056666E" w:rsidRDefault="009A1D39">
      <w:pPr>
        <w:pStyle w:val="Obsah4"/>
        <w:rPr>
          <w:rFonts w:asciiTheme="minorHAnsi" w:eastAsiaTheme="minorEastAsia" w:hAnsiTheme="minorHAnsi" w:cstheme="minorBidi"/>
          <w:noProof/>
          <w:sz w:val="22"/>
          <w:szCs w:val="22"/>
        </w:rPr>
      </w:pPr>
      <w:hyperlink w:anchor="_Toc527539366" w:history="1">
        <w:r w:rsidR="0056666E" w:rsidRPr="00877F84">
          <w:rPr>
            <w:rStyle w:val="Hypertextovprepojenie"/>
            <w:noProof/>
          </w:rPr>
          <w:t>2.1.4 Vplyv inflácie</w:t>
        </w:r>
        <w:r w:rsidR="0056666E">
          <w:rPr>
            <w:noProof/>
            <w:webHidden/>
          </w:rPr>
          <w:tab/>
        </w:r>
        <w:r w:rsidR="0056666E">
          <w:rPr>
            <w:noProof/>
            <w:webHidden/>
          </w:rPr>
          <w:fldChar w:fldCharType="begin"/>
        </w:r>
        <w:r w:rsidR="0056666E">
          <w:rPr>
            <w:noProof/>
            <w:webHidden/>
          </w:rPr>
          <w:instrText xml:space="preserve"> PAGEREF _Toc527539366 \h </w:instrText>
        </w:r>
        <w:r w:rsidR="0056666E">
          <w:rPr>
            <w:noProof/>
            <w:webHidden/>
          </w:rPr>
        </w:r>
        <w:r w:rsidR="0056666E">
          <w:rPr>
            <w:noProof/>
            <w:webHidden/>
          </w:rPr>
          <w:fldChar w:fldCharType="separate"/>
        </w:r>
        <w:r w:rsidR="0056666E">
          <w:rPr>
            <w:noProof/>
            <w:webHidden/>
          </w:rPr>
          <w:t>8</w:t>
        </w:r>
        <w:r w:rsidR="0056666E">
          <w:rPr>
            <w:noProof/>
            <w:webHidden/>
          </w:rPr>
          <w:fldChar w:fldCharType="end"/>
        </w:r>
      </w:hyperlink>
    </w:p>
    <w:p w14:paraId="3223174D" w14:textId="6F199507" w:rsidR="0056666E" w:rsidRDefault="009A1D39">
      <w:pPr>
        <w:pStyle w:val="Obsah4"/>
        <w:rPr>
          <w:rFonts w:asciiTheme="minorHAnsi" w:eastAsiaTheme="minorEastAsia" w:hAnsiTheme="minorHAnsi" w:cstheme="minorBidi"/>
          <w:noProof/>
          <w:sz w:val="22"/>
          <w:szCs w:val="22"/>
        </w:rPr>
      </w:pPr>
      <w:hyperlink w:anchor="_Toc527539367" w:history="1">
        <w:r w:rsidR="0056666E" w:rsidRPr="00877F84">
          <w:rPr>
            <w:rStyle w:val="Hypertextovprepojenie"/>
            <w:noProof/>
          </w:rPr>
          <w:t>2.1.5 Určenie príjmov projektu</w:t>
        </w:r>
        <w:r w:rsidR="0056666E">
          <w:rPr>
            <w:noProof/>
            <w:webHidden/>
          </w:rPr>
          <w:tab/>
        </w:r>
        <w:r w:rsidR="0056666E">
          <w:rPr>
            <w:noProof/>
            <w:webHidden/>
          </w:rPr>
          <w:fldChar w:fldCharType="begin"/>
        </w:r>
        <w:r w:rsidR="0056666E">
          <w:rPr>
            <w:noProof/>
            <w:webHidden/>
          </w:rPr>
          <w:instrText xml:space="preserve"> PAGEREF _Toc527539367 \h </w:instrText>
        </w:r>
        <w:r w:rsidR="0056666E">
          <w:rPr>
            <w:noProof/>
            <w:webHidden/>
          </w:rPr>
        </w:r>
        <w:r w:rsidR="0056666E">
          <w:rPr>
            <w:noProof/>
            <w:webHidden/>
          </w:rPr>
          <w:fldChar w:fldCharType="separate"/>
        </w:r>
        <w:r w:rsidR="0056666E">
          <w:rPr>
            <w:noProof/>
            <w:webHidden/>
          </w:rPr>
          <w:t>8</w:t>
        </w:r>
        <w:r w:rsidR="0056666E">
          <w:rPr>
            <w:noProof/>
            <w:webHidden/>
          </w:rPr>
          <w:fldChar w:fldCharType="end"/>
        </w:r>
      </w:hyperlink>
    </w:p>
    <w:p w14:paraId="0741A0B2" w14:textId="0142AD02" w:rsidR="0056666E" w:rsidRDefault="009A1D39">
      <w:pPr>
        <w:pStyle w:val="Obsah4"/>
        <w:rPr>
          <w:rFonts w:asciiTheme="minorHAnsi" w:eastAsiaTheme="minorEastAsia" w:hAnsiTheme="minorHAnsi" w:cstheme="minorBidi"/>
          <w:noProof/>
          <w:sz w:val="22"/>
          <w:szCs w:val="22"/>
        </w:rPr>
      </w:pPr>
      <w:hyperlink w:anchor="_Toc527539368" w:history="1">
        <w:r w:rsidR="0056666E" w:rsidRPr="00877F84">
          <w:rPr>
            <w:rStyle w:val="Hypertextovprepojenie"/>
            <w:noProof/>
          </w:rPr>
          <w:t>2.1.6 Zostatková hodnota majetku</w:t>
        </w:r>
        <w:r w:rsidR="0056666E">
          <w:rPr>
            <w:noProof/>
            <w:webHidden/>
          </w:rPr>
          <w:tab/>
        </w:r>
        <w:r w:rsidR="0056666E">
          <w:rPr>
            <w:noProof/>
            <w:webHidden/>
          </w:rPr>
          <w:fldChar w:fldCharType="begin"/>
        </w:r>
        <w:r w:rsidR="0056666E">
          <w:rPr>
            <w:noProof/>
            <w:webHidden/>
          </w:rPr>
          <w:instrText xml:space="preserve"> PAGEREF _Toc527539368 \h </w:instrText>
        </w:r>
        <w:r w:rsidR="0056666E">
          <w:rPr>
            <w:noProof/>
            <w:webHidden/>
          </w:rPr>
        </w:r>
        <w:r w:rsidR="0056666E">
          <w:rPr>
            <w:noProof/>
            <w:webHidden/>
          </w:rPr>
          <w:fldChar w:fldCharType="separate"/>
        </w:r>
        <w:r w:rsidR="0056666E">
          <w:rPr>
            <w:noProof/>
            <w:webHidden/>
          </w:rPr>
          <w:t>9</w:t>
        </w:r>
        <w:r w:rsidR="0056666E">
          <w:rPr>
            <w:noProof/>
            <w:webHidden/>
          </w:rPr>
          <w:fldChar w:fldCharType="end"/>
        </w:r>
      </w:hyperlink>
    </w:p>
    <w:p w14:paraId="7BBE7738" w14:textId="66067AA3" w:rsidR="0056666E" w:rsidRDefault="009A1D39">
      <w:pPr>
        <w:pStyle w:val="Obsah4"/>
        <w:rPr>
          <w:rFonts w:asciiTheme="minorHAnsi" w:eastAsiaTheme="minorEastAsia" w:hAnsiTheme="minorHAnsi" w:cstheme="minorBidi"/>
          <w:noProof/>
          <w:sz w:val="22"/>
          <w:szCs w:val="22"/>
        </w:rPr>
      </w:pPr>
      <w:hyperlink w:anchor="_Toc527539369" w:history="1">
        <w:r w:rsidR="0056666E" w:rsidRPr="00877F84">
          <w:rPr>
            <w:rStyle w:val="Hypertextovprepojenie"/>
            <w:noProof/>
          </w:rPr>
          <w:t>2.1.7 Výpočet cashflow projektu</w:t>
        </w:r>
        <w:r w:rsidR="0056666E">
          <w:rPr>
            <w:noProof/>
            <w:webHidden/>
          </w:rPr>
          <w:tab/>
        </w:r>
        <w:r w:rsidR="0056666E">
          <w:rPr>
            <w:noProof/>
            <w:webHidden/>
          </w:rPr>
          <w:fldChar w:fldCharType="begin"/>
        </w:r>
        <w:r w:rsidR="0056666E">
          <w:rPr>
            <w:noProof/>
            <w:webHidden/>
          </w:rPr>
          <w:instrText xml:space="preserve"> PAGEREF _Toc527539369 \h </w:instrText>
        </w:r>
        <w:r w:rsidR="0056666E">
          <w:rPr>
            <w:noProof/>
            <w:webHidden/>
          </w:rPr>
        </w:r>
        <w:r w:rsidR="0056666E">
          <w:rPr>
            <w:noProof/>
            <w:webHidden/>
          </w:rPr>
          <w:fldChar w:fldCharType="separate"/>
        </w:r>
        <w:r w:rsidR="0056666E">
          <w:rPr>
            <w:noProof/>
            <w:webHidden/>
          </w:rPr>
          <w:t>10</w:t>
        </w:r>
        <w:r w:rsidR="0056666E">
          <w:rPr>
            <w:noProof/>
            <w:webHidden/>
          </w:rPr>
          <w:fldChar w:fldCharType="end"/>
        </w:r>
      </w:hyperlink>
    </w:p>
    <w:p w14:paraId="54F0A624" w14:textId="36FF7E36" w:rsidR="0056666E" w:rsidRDefault="009A1D39">
      <w:pPr>
        <w:pStyle w:val="Obsah4"/>
        <w:rPr>
          <w:rFonts w:asciiTheme="minorHAnsi" w:eastAsiaTheme="minorEastAsia" w:hAnsiTheme="minorHAnsi" w:cstheme="minorBidi"/>
          <w:noProof/>
          <w:sz w:val="22"/>
          <w:szCs w:val="22"/>
        </w:rPr>
      </w:pPr>
      <w:hyperlink w:anchor="_Toc527539370" w:history="1">
        <w:r w:rsidR="0056666E" w:rsidRPr="00877F84">
          <w:rPr>
            <w:rStyle w:val="Hypertextovprepojenie"/>
            <w:noProof/>
          </w:rPr>
          <w:t>2.1.8 Určenie zdrojov financovania</w:t>
        </w:r>
        <w:r w:rsidR="0056666E">
          <w:rPr>
            <w:noProof/>
            <w:webHidden/>
          </w:rPr>
          <w:tab/>
        </w:r>
        <w:r w:rsidR="0056666E">
          <w:rPr>
            <w:noProof/>
            <w:webHidden/>
          </w:rPr>
          <w:fldChar w:fldCharType="begin"/>
        </w:r>
        <w:r w:rsidR="0056666E">
          <w:rPr>
            <w:noProof/>
            <w:webHidden/>
          </w:rPr>
          <w:instrText xml:space="preserve"> PAGEREF _Toc527539370 \h </w:instrText>
        </w:r>
        <w:r w:rsidR="0056666E">
          <w:rPr>
            <w:noProof/>
            <w:webHidden/>
          </w:rPr>
        </w:r>
        <w:r w:rsidR="0056666E">
          <w:rPr>
            <w:noProof/>
            <w:webHidden/>
          </w:rPr>
          <w:fldChar w:fldCharType="separate"/>
        </w:r>
        <w:r w:rsidR="0056666E">
          <w:rPr>
            <w:noProof/>
            <w:webHidden/>
          </w:rPr>
          <w:t>11</w:t>
        </w:r>
        <w:r w:rsidR="0056666E">
          <w:rPr>
            <w:noProof/>
            <w:webHidden/>
          </w:rPr>
          <w:fldChar w:fldCharType="end"/>
        </w:r>
      </w:hyperlink>
    </w:p>
    <w:p w14:paraId="2F22843A" w14:textId="2C44B534" w:rsidR="0056666E" w:rsidRDefault="009A1D39">
      <w:pPr>
        <w:pStyle w:val="Obsah4"/>
        <w:rPr>
          <w:rFonts w:asciiTheme="minorHAnsi" w:eastAsiaTheme="minorEastAsia" w:hAnsiTheme="minorHAnsi" w:cstheme="minorBidi"/>
          <w:noProof/>
          <w:sz w:val="22"/>
          <w:szCs w:val="22"/>
        </w:rPr>
      </w:pPr>
      <w:hyperlink w:anchor="_Toc527539371" w:history="1">
        <w:r w:rsidR="0056666E" w:rsidRPr="00877F84">
          <w:rPr>
            <w:rStyle w:val="Hypertextovprepojenie"/>
            <w:noProof/>
          </w:rPr>
          <w:t>2.1.9 Určenie finančnej udržateľnosti</w:t>
        </w:r>
        <w:r w:rsidR="0056666E">
          <w:rPr>
            <w:noProof/>
            <w:webHidden/>
          </w:rPr>
          <w:tab/>
        </w:r>
        <w:r w:rsidR="0056666E">
          <w:rPr>
            <w:noProof/>
            <w:webHidden/>
          </w:rPr>
          <w:fldChar w:fldCharType="begin"/>
        </w:r>
        <w:r w:rsidR="0056666E">
          <w:rPr>
            <w:noProof/>
            <w:webHidden/>
          </w:rPr>
          <w:instrText xml:space="preserve"> PAGEREF _Toc527539371 \h </w:instrText>
        </w:r>
        <w:r w:rsidR="0056666E">
          <w:rPr>
            <w:noProof/>
            <w:webHidden/>
          </w:rPr>
        </w:r>
        <w:r w:rsidR="0056666E">
          <w:rPr>
            <w:noProof/>
            <w:webHidden/>
          </w:rPr>
          <w:fldChar w:fldCharType="separate"/>
        </w:r>
        <w:r w:rsidR="0056666E">
          <w:rPr>
            <w:noProof/>
            <w:webHidden/>
          </w:rPr>
          <w:t>12</w:t>
        </w:r>
        <w:r w:rsidR="0056666E">
          <w:rPr>
            <w:noProof/>
            <w:webHidden/>
          </w:rPr>
          <w:fldChar w:fldCharType="end"/>
        </w:r>
      </w:hyperlink>
    </w:p>
    <w:p w14:paraId="5A37740B" w14:textId="0378E4EA" w:rsidR="0056666E" w:rsidRDefault="009A1D39">
      <w:pPr>
        <w:pStyle w:val="Obsah4"/>
        <w:rPr>
          <w:rFonts w:asciiTheme="minorHAnsi" w:eastAsiaTheme="minorEastAsia" w:hAnsiTheme="minorHAnsi" w:cstheme="minorBidi"/>
          <w:noProof/>
          <w:sz w:val="22"/>
          <w:szCs w:val="22"/>
        </w:rPr>
      </w:pPr>
      <w:hyperlink w:anchor="_Toc527539372" w:history="1">
        <w:r w:rsidR="0056666E" w:rsidRPr="00877F84">
          <w:rPr>
            <w:rStyle w:val="Hypertextovprepojenie"/>
            <w:noProof/>
          </w:rPr>
          <w:t>2.1.10 Výpočet finančného vnútorného výnosového percenta (FIRR) a čistej finančnej súčasnej hodnoty (FNPV)</w:t>
        </w:r>
        <w:r w:rsidR="0056666E">
          <w:rPr>
            <w:noProof/>
            <w:webHidden/>
          </w:rPr>
          <w:tab/>
        </w:r>
        <w:r w:rsidR="0056666E">
          <w:rPr>
            <w:noProof/>
            <w:webHidden/>
          </w:rPr>
          <w:fldChar w:fldCharType="begin"/>
        </w:r>
        <w:r w:rsidR="0056666E">
          <w:rPr>
            <w:noProof/>
            <w:webHidden/>
          </w:rPr>
          <w:instrText xml:space="preserve"> PAGEREF _Toc527539372 \h </w:instrText>
        </w:r>
        <w:r w:rsidR="0056666E">
          <w:rPr>
            <w:noProof/>
            <w:webHidden/>
          </w:rPr>
        </w:r>
        <w:r w:rsidR="0056666E">
          <w:rPr>
            <w:noProof/>
            <w:webHidden/>
          </w:rPr>
          <w:fldChar w:fldCharType="separate"/>
        </w:r>
        <w:r w:rsidR="0056666E">
          <w:rPr>
            <w:noProof/>
            <w:webHidden/>
          </w:rPr>
          <w:t>12</w:t>
        </w:r>
        <w:r w:rsidR="0056666E">
          <w:rPr>
            <w:noProof/>
            <w:webHidden/>
          </w:rPr>
          <w:fldChar w:fldCharType="end"/>
        </w:r>
      </w:hyperlink>
    </w:p>
    <w:p w14:paraId="1C6BB512" w14:textId="66DE36C7" w:rsidR="0056666E" w:rsidRDefault="009A1D39">
      <w:pPr>
        <w:pStyle w:val="Obsah3"/>
        <w:rPr>
          <w:rFonts w:asciiTheme="minorHAnsi" w:eastAsiaTheme="minorEastAsia" w:hAnsiTheme="minorHAnsi" w:cstheme="minorBidi"/>
          <w:noProof/>
          <w:sz w:val="22"/>
          <w:szCs w:val="22"/>
        </w:rPr>
      </w:pPr>
      <w:hyperlink w:anchor="_Toc527539373" w:history="1">
        <w:r w:rsidR="0056666E" w:rsidRPr="00877F84">
          <w:rPr>
            <w:rStyle w:val="Hypertextovprepojenie"/>
            <w:noProof/>
          </w:rPr>
          <w:t>2.2 Analýza nákladov a prínosov projektu v zmysle prílohy III k vykonávaciemu nariadeniu Komisie</w:t>
        </w:r>
        <w:r w:rsidR="0056666E">
          <w:rPr>
            <w:noProof/>
            <w:webHidden/>
          </w:rPr>
          <w:tab/>
        </w:r>
        <w:r w:rsidR="0056666E">
          <w:rPr>
            <w:noProof/>
            <w:webHidden/>
          </w:rPr>
          <w:fldChar w:fldCharType="begin"/>
        </w:r>
        <w:r w:rsidR="0056666E">
          <w:rPr>
            <w:noProof/>
            <w:webHidden/>
          </w:rPr>
          <w:instrText xml:space="preserve"> PAGEREF _Toc527539373 \h </w:instrText>
        </w:r>
        <w:r w:rsidR="0056666E">
          <w:rPr>
            <w:noProof/>
            <w:webHidden/>
          </w:rPr>
        </w:r>
        <w:r w:rsidR="0056666E">
          <w:rPr>
            <w:noProof/>
            <w:webHidden/>
          </w:rPr>
          <w:fldChar w:fldCharType="separate"/>
        </w:r>
        <w:r w:rsidR="0056666E">
          <w:rPr>
            <w:noProof/>
            <w:webHidden/>
          </w:rPr>
          <w:t>14</w:t>
        </w:r>
        <w:r w:rsidR="0056666E">
          <w:rPr>
            <w:noProof/>
            <w:webHidden/>
          </w:rPr>
          <w:fldChar w:fldCharType="end"/>
        </w:r>
      </w:hyperlink>
    </w:p>
    <w:p w14:paraId="6B0E3CAB" w14:textId="1B930E44" w:rsidR="0056666E" w:rsidRDefault="009A1D39">
      <w:pPr>
        <w:pStyle w:val="Obsah4"/>
        <w:rPr>
          <w:rFonts w:asciiTheme="minorHAnsi" w:eastAsiaTheme="minorEastAsia" w:hAnsiTheme="minorHAnsi" w:cstheme="minorBidi"/>
          <w:noProof/>
          <w:sz w:val="22"/>
          <w:szCs w:val="22"/>
        </w:rPr>
      </w:pPr>
      <w:hyperlink w:anchor="_Toc527539374" w:history="1">
        <w:r w:rsidR="0056666E" w:rsidRPr="00877F84">
          <w:rPr>
            <w:rStyle w:val="Hypertextovprepojenie"/>
            <w:noProof/>
          </w:rPr>
          <w:t>2.2.1 Kľúčové kroky ekonomickej analýzy</w:t>
        </w:r>
        <w:r w:rsidR="0056666E">
          <w:rPr>
            <w:noProof/>
            <w:webHidden/>
          </w:rPr>
          <w:tab/>
        </w:r>
        <w:r w:rsidR="0056666E">
          <w:rPr>
            <w:noProof/>
            <w:webHidden/>
          </w:rPr>
          <w:fldChar w:fldCharType="begin"/>
        </w:r>
        <w:r w:rsidR="0056666E">
          <w:rPr>
            <w:noProof/>
            <w:webHidden/>
          </w:rPr>
          <w:instrText xml:space="preserve"> PAGEREF _Toc527539374 \h </w:instrText>
        </w:r>
        <w:r w:rsidR="0056666E">
          <w:rPr>
            <w:noProof/>
            <w:webHidden/>
          </w:rPr>
        </w:r>
        <w:r w:rsidR="0056666E">
          <w:rPr>
            <w:noProof/>
            <w:webHidden/>
          </w:rPr>
          <w:fldChar w:fldCharType="separate"/>
        </w:r>
        <w:r w:rsidR="0056666E">
          <w:rPr>
            <w:noProof/>
            <w:webHidden/>
          </w:rPr>
          <w:t>17</w:t>
        </w:r>
        <w:r w:rsidR="0056666E">
          <w:rPr>
            <w:noProof/>
            <w:webHidden/>
          </w:rPr>
          <w:fldChar w:fldCharType="end"/>
        </w:r>
      </w:hyperlink>
    </w:p>
    <w:p w14:paraId="1C3A50C1" w14:textId="0105092C" w:rsidR="0056666E" w:rsidRDefault="009A1D39">
      <w:pPr>
        <w:pStyle w:val="Obsah4"/>
        <w:rPr>
          <w:rFonts w:asciiTheme="minorHAnsi" w:eastAsiaTheme="minorEastAsia" w:hAnsiTheme="minorHAnsi" w:cstheme="minorBidi"/>
          <w:noProof/>
          <w:sz w:val="22"/>
          <w:szCs w:val="22"/>
        </w:rPr>
      </w:pPr>
      <w:hyperlink w:anchor="_Toc527539375" w:history="1">
        <w:r w:rsidR="0056666E" w:rsidRPr="00877F84">
          <w:rPr>
            <w:rStyle w:val="Hypertextovprepojenie"/>
            <w:noProof/>
          </w:rPr>
          <w:t>2.2.2 Ukazovatele ekonomickej výkonnosti:</w:t>
        </w:r>
        <w:r w:rsidR="0056666E">
          <w:rPr>
            <w:noProof/>
            <w:webHidden/>
          </w:rPr>
          <w:tab/>
        </w:r>
        <w:r w:rsidR="0056666E">
          <w:rPr>
            <w:noProof/>
            <w:webHidden/>
          </w:rPr>
          <w:fldChar w:fldCharType="begin"/>
        </w:r>
        <w:r w:rsidR="0056666E">
          <w:rPr>
            <w:noProof/>
            <w:webHidden/>
          </w:rPr>
          <w:instrText xml:space="preserve"> PAGEREF _Toc527539375 \h </w:instrText>
        </w:r>
        <w:r w:rsidR="0056666E">
          <w:rPr>
            <w:noProof/>
            <w:webHidden/>
          </w:rPr>
        </w:r>
        <w:r w:rsidR="0056666E">
          <w:rPr>
            <w:noProof/>
            <w:webHidden/>
          </w:rPr>
          <w:fldChar w:fldCharType="separate"/>
        </w:r>
        <w:r w:rsidR="0056666E">
          <w:rPr>
            <w:noProof/>
            <w:webHidden/>
          </w:rPr>
          <w:t>18</w:t>
        </w:r>
        <w:r w:rsidR="0056666E">
          <w:rPr>
            <w:noProof/>
            <w:webHidden/>
          </w:rPr>
          <w:fldChar w:fldCharType="end"/>
        </w:r>
      </w:hyperlink>
    </w:p>
    <w:p w14:paraId="0438AD7F" w14:textId="0DB374B8" w:rsidR="0056666E" w:rsidRDefault="009A1D39">
      <w:pPr>
        <w:pStyle w:val="Obsah4"/>
        <w:rPr>
          <w:rFonts w:asciiTheme="minorHAnsi" w:eastAsiaTheme="minorEastAsia" w:hAnsiTheme="minorHAnsi" w:cstheme="minorBidi"/>
          <w:noProof/>
          <w:sz w:val="22"/>
          <w:szCs w:val="22"/>
        </w:rPr>
      </w:pPr>
      <w:hyperlink w:anchor="_Toc527539376" w:history="1">
        <w:r w:rsidR="0056666E" w:rsidRPr="00877F84">
          <w:rPr>
            <w:rStyle w:val="Hypertextovprepojenie"/>
            <w:noProof/>
          </w:rPr>
          <w:t>2.2.3 Analýza citlivosti a rizík</w:t>
        </w:r>
        <w:r w:rsidR="0056666E">
          <w:rPr>
            <w:noProof/>
            <w:webHidden/>
          </w:rPr>
          <w:tab/>
        </w:r>
        <w:r w:rsidR="0056666E">
          <w:rPr>
            <w:noProof/>
            <w:webHidden/>
          </w:rPr>
          <w:fldChar w:fldCharType="begin"/>
        </w:r>
        <w:r w:rsidR="0056666E">
          <w:rPr>
            <w:noProof/>
            <w:webHidden/>
          </w:rPr>
          <w:instrText xml:space="preserve"> PAGEREF _Toc527539376 \h </w:instrText>
        </w:r>
        <w:r w:rsidR="0056666E">
          <w:rPr>
            <w:noProof/>
            <w:webHidden/>
          </w:rPr>
        </w:r>
        <w:r w:rsidR="0056666E">
          <w:rPr>
            <w:noProof/>
            <w:webHidden/>
          </w:rPr>
          <w:fldChar w:fldCharType="separate"/>
        </w:r>
        <w:r w:rsidR="0056666E">
          <w:rPr>
            <w:noProof/>
            <w:webHidden/>
          </w:rPr>
          <w:t>19</w:t>
        </w:r>
        <w:r w:rsidR="0056666E">
          <w:rPr>
            <w:noProof/>
            <w:webHidden/>
          </w:rPr>
          <w:fldChar w:fldCharType="end"/>
        </w:r>
      </w:hyperlink>
    </w:p>
    <w:p w14:paraId="0D648927" w14:textId="6C1FE011" w:rsidR="0056666E" w:rsidRDefault="009A1D39">
      <w:pPr>
        <w:pStyle w:val="Obsah2"/>
        <w:rPr>
          <w:rFonts w:asciiTheme="minorHAnsi" w:eastAsiaTheme="minorEastAsia" w:hAnsiTheme="minorHAnsi" w:cstheme="minorBidi"/>
          <w:b w:val="0"/>
          <w:sz w:val="22"/>
          <w:szCs w:val="22"/>
        </w:rPr>
      </w:pPr>
      <w:hyperlink w:anchor="_Toc527539377" w:history="1">
        <w:r w:rsidR="0056666E" w:rsidRPr="00877F84">
          <w:rPr>
            <w:rStyle w:val="Hypertextovprepojenie"/>
          </w:rPr>
          <w:t>3 Metódy výpočtu podpory</w:t>
        </w:r>
        <w:r w:rsidR="0056666E">
          <w:rPr>
            <w:webHidden/>
          </w:rPr>
          <w:tab/>
        </w:r>
        <w:r w:rsidR="0056666E">
          <w:rPr>
            <w:webHidden/>
          </w:rPr>
          <w:fldChar w:fldCharType="begin"/>
        </w:r>
        <w:r w:rsidR="0056666E">
          <w:rPr>
            <w:webHidden/>
          </w:rPr>
          <w:instrText xml:space="preserve"> PAGEREF _Toc527539377 \h </w:instrText>
        </w:r>
        <w:r w:rsidR="0056666E">
          <w:rPr>
            <w:webHidden/>
          </w:rPr>
        </w:r>
        <w:r w:rsidR="0056666E">
          <w:rPr>
            <w:webHidden/>
          </w:rPr>
          <w:fldChar w:fldCharType="separate"/>
        </w:r>
        <w:r w:rsidR="0056666E">
          <w:rPr>
            <w:webHidden/>
          </w:rPr>
          <w:t>20</w:t>
        </w:r>
        <w:r w:rsidR="0056666E">
          <w:rPr>
            <w:webHidden/>
          </w:rPr>
          <w:fldChar w:fldCharType="end"/>
        </w:r>
      </w:hyperlink>
    </w:p>
    <w:p w14:paraId="64EE507E" w14:textId="355177B9" w:rsidR="0056666E" w:rsidRDefault="009A1D39">
      <w:pPr>
        <w:pStyle w:val="Obsah3"/>
        <w:rPr>
          <w:rFonts w:asciiTheme="minorHAnsi" w:eastAsiaTheme="minorEastAsia" w:hAnsiTheme="minorHAnsi" w:cstheme="minorBidi"/>
          <w:noProof/>
          <w:sz w:val="22"/>
          <w:szCs w:val="22"/>
        </w:rPr>
      </w:pPr>
      <w:hyperlink w:anchor="_Toc527539378" w:history="1">
        <w:r w:rsidR="0056666E" w:rsidRPr="00877F84">
          <w:rPr>
            <w:rStyle w:val="Hypertextovprepojenie"/>
            <w:noProof/>
          </w:rPr>
          <w:t>3.1 Postup výpočtu pri metóde finančnej medzery (Projekty, ktorých príjmy je možné dopredu odhadnúť)</w:t>
        </w:r>
        <w:r w:rsidR="0056666E">
          <w:rPr>
            <w:noProof/>
            <w:webHidden/>
          </w:rPr>
          <w:tab/>
        </w:r>
        <w:r w:rsidR="0056666E">
          <w:rPr>
            <w:noProof/>
            <w:webHidden/>
          </w:rPr>
          <w:fldChar w:fldCharType="begin"/>
        </w:r>
        <w:r w:rsidR="0056666E">
          <w:rPr>
            <w:noProof/>
            <w:webHidden/>
          </w:rPr>
          <w:instrText xml:space="preserve"> PAGEREF _Toc527539378 \h </w:instrText>
        </w:r>
        <w:r w:rsidR="0056666E">
          <w:rPr>
            <w:noProof/>
            <w:webHidden/>
          </w:rPr>
        </w:r>
        <w:r w:rsidR="0056666E">
          <w:rPr>
            <w:noProof/>
            <w:webHidden/>
          </w:rPr>
          <w:fldChar w:fldCharType="separate"/>
        </w:r>
        <w:r w:rsidR="0056666E">
          <w:rPr>
            <w:noProof/>
            <w:webHidden/>
          </w:rPr>
          <w:t>21</w:t>
        </w:r>
        <w:r w:rsidR="0056666E">
          <w:rPr>
            <w:noProof/>
            <w:webHidden/>
          </w:rPr>
          <w:fldChar w:fldCharType="end"/>
        </w:r>
      </w:hyperlink>
    </w:p>
    <w:p w14:paraId="2592DBE0" w14:textId="67A01475" w:rsidR="0056666E" w:rsidRDefault="009A1D39">
      <w:pPr>
        <w:pStyle w:val="Obsah3"/>
        <w:tabs>
          <w:tab w:val="left" w:pos="1560"/>
        </w:tabs>
        <w:rPr>
          <w:rFonts w:asciiTheme="minorHAnsi" w:eastAsiaTheme="minorEastAsia" w:hAnsiTheme="minorHAnsi" w:cstheme="minorBidi"/>
          <w:noProof/>
          <w:sz w:val="22"/>
          <w:szCs w:val="22"/>
        </w:rPr>
      </w:pPr>
      <w:hyperlink w:anchor="_Toc527539379" w:history="1">
        <w:r w:rsidR="0056666E" w:rsidRPr="00877F84">
          <w:rPr>
            <w:rStyle w:val="Hypertextovprepojenie"/>
            <w:noProof/>
          </w:rPr>
          <w:t>3.2</w:t>
        </w:r>
        <w:r w:rsidR="0056666E">
          <w:rPr>
            <w:rFonts w:asciiTheme="minorHAnsi" w:eastAsiaTheme="minorEastAsia" w:hAnsiTheme="minorHAnsi" w:cstheme="minorBidi"/>
            <w:noProof/>
            <w:sz w:val="22"/>
            <w:szCs w:val="22"/>
          </w:rPr>
          <w:tab/>
        </w:r>
        <w:r w:rsidR="0056666E" w:rsidRPr="00877F84">
          <w:rPr>
            <w:rStyle w:val="Hypertextovprepojenie"/>
            <w:noProof/>
          </w:rPr>
          <w:t>Postup výpočtu pri metóde paušálnej sadzby príjmov</w:t>
        </w:r>
        <w:r w:rsidR="0056666E">
          <w:rPr>
            <w:noProof/>
            <w:webHidden/>
          </w:rPr>
          <w:tab/>
        </w:r>
        <w:r w:rsidR="0056666E">
          <w:rPr>
            <w:noProof/>
            <w:webHidden/>
          </w:rPr>
          <w:fldChar w:fldCharType="begin"/>
        </w:r>
        <w:r w:rsidR="0056666E">
          <w:rPr>
            <w:noProof/>
            <w:webHidden/>
          </w:rPr>
          <w:instrText xml:space="preserve"> PAGEREF _Toc527539379 \h </w:instrText>
        </w:r>
        <w:r w:rsidR="0056666E">
          <w:rPr>
            <w:noProof/>
            <w:webHidden/>
          </w:rPr>
        </w:r>
        <w:r w:rsidR="0056666E">
          <w:rPr>
            <w:noProof/>
            <w:webHidden/>
          </w:rPr>
          <w:fldChar w:fldCharType="separate"/>
        </w:r>
        <w:r w:rsidR="0056666E">
          <w:rPr>
            <w:noProof/>
            <w:webHidden/>
          </w:rPr>
          <w:t>22</w:t>
        </w:r>
        <w:r w:rsidR="0056666E">
          <w:rPr>
            <w:noProof/>
            <w:webHidden/>
          </w:rPr>
          <w:fldChar w:fldCharType="end"/>
        </w:r>
      </w:hyperlink>
    </w:p>
    <w:p w14:paraId="0E09DBA6" w14:textId="7F1684B3" w:rsidR="0056666E" w:rsidRDefault="009A1D39">
      <w:pPr>
        <w:pStyle w:val="Obsah2"/>
        <w:rPr>
          <w:rFonts w:asciiTheme="minorHAnsi" w:eastAsiaTheme="minorEastAsia" w:hAnsiTheme="minorHAnsi" w:cstheme="minorBidi"/>
          <w:b w:val="0"/>
          <w:sz w:val="22"/>
          <w:szCs w:val="22"/>
        </w:rPr>
      </w:pPr>
      <w:hyperlink w:anchor="_Toc527539380" w:history="1">
        <w:r w:rsidR="0056666E" w:rsidRPr="00877F84">
          <w:rPr>
            <w:rStyle w:val="Hypertextovprepojenie"/>
          </w:rPr>
          <w:t>4 Monitorovanie čistých príjmov</w:t>
        </w:r>
        <w:r w:rsidR="0056666E">
          <w:rPr>
            <w:webHidden/>
          </w:rPr>
          <w:tab/>
        </w:r>
        <w:r w:rsidR="0056666E">
          <w:rPr>
            <w:webHidden/>
          </w:rPr>
          <w:fldChar w:fldCharType="begin"/>
        </w:r>
        <w:r w:rsidR="0056666E">
          <w:rPr>
            <w:webHidden/>
          </w:rPr>
          <w:instrText xml:space="preserve"> PAGEREF _Toc527539380 \h </w:instrText>
        </w:r>
        <w:r w:rsidR="0056666E">
          <w:rPr>
            <w:webHidden/>
          </w:rPr>
        </w:r>
        <w:r w:rsidR="0056666E">
          <w:rPr>
            <w:webHidden/>
          </w:rPr>
          <w:fldChar w:fldCharType="separate"/>
        </w:r>
        <w:r w:rsidR="0056666E">
          <w:rPr>
            <w:webHidden/>
          </w:rPr>
          <w:t>24</w:t>
        </w:r>
        <w:r w:rsidR="0056666E">
          <w:rPr>
            <w:webHidden/>
          </w:rPr>
          <w:fldChar w:fldCharType="end"/>
        </w:r>
      </w:hyperlink>
    </w:p>
    <w:p w14:paraId="2B3C166B" w14:textId="2FD4DA44" w:rsidR="0056666E" w:rsidRDefault="009A1D39">
      <w:pPr>
        <w:pStyle w:val="Obsah3"/>
        <w:rPr>
          <w:rFonts w:asciiTheme="minorHAnsi" w:eastAsiaTheme="minorEastAsia" w:hAnsiTheme="minorHAnsi" w:cstheme="minorBidi"/>
          <w:noProof/>
          <w:sz w:val="22"/>
          <w:szCs w:val="22"/>
        </w:rPr>
      </w:pPr>
      <w:hyperlink w:anchor="_Toc527539381" w:history="1">
        <w:r w:rsidR="0056666E" w:rsidRPr="00877F84">
          <w:rPr>
            <w:rStyle w:val="Hypertextovprepojenie"/>
            <w:noProof/>
          </w:rPr>
          <w:t>4.1  Klasifikácia projektov s ohľadom na možnosti objektívneho odhadu príjmu vopred</w:t>
        </w:r>
        <w:r w:rsidR="0056666E">
          <w:rPr>
            <w:noProof/>
            <w:webHidden/>
          </w:rPr>
          <w:tab/>
        </w:r>
        <w:r w:rsidR="0056666E">
          <w:rPr>
            <w:noProof/>
            <w:webHidden/>
          </w:rPr>
          <w:fldChar w:fldCharType="begin"/>
        </w:r>
        <w:r w:rsidR="0056666E">
          <w:rPr>
            <w:noProof/>
            <w:webHidden/>
          </w:rPr>
          <w:instrText xml:space="preserve"> PAGEREF _Toc527539381 \h </w:instrText>
        </w:r>
        <w:r w:rsidR="0056666E">
          <w:rPr>
            <w:noProof/>
            <w:webHidden/>
          </w:rPr>
        </w:r>
        <w:r w:rsidR="0056666E">
          <w:rPr>
            <w:noProof/>
            <w:webHidden/>
          </w:rPr>
          <w:fldChar w:fldCharType="separate"/>
        </w:r>
        <w:r w:rsidR="0056666E">
          <w:rPr>
            <w:noProof/>
            <w:webHidden/>
          </w:rPr>
          <w:t>27</w:t>
        </w:r>
        <w:r w:rsidR="0056666E">
          <w:rPr>
            <w:noProof/>
            <w:webHidden/>
          </w:rPr>
          <w:fldChar w:fldCharType="end"/>
        </w:r>
      </w:hyperlink>
    </w:p>
    <w:p w14:paraId="3B34D9AB" w14:textId="49D447B7" w:rsidR="0056666E" w:rsidRDefault="009A1D39">
      <w:pPr>
        <w:pStyle w:val="Obsah3"/>
        <w:tabs>
          <w:tab w:val="left" w:pos="1560"/>
        </w:tabs>
        <w:rPr>
          <w:rFonts w:asciiTheme="minorHAnsi" w:eastAsiaTheme="minorEastAsia" w:hAnsiTheme="minorHAnsi" w:cstheme="minorBidi"/>
          <w:noProof/>
          <w:sz w:val="22"/>
          <w:szCs w:val="22"/>
        </w:rPr>
      </w:pPr>
      <w:hyperlink w:anchor="_Toc527539382" w:history="1">
        <w:r w:rsidR="0056666E" w:rsidRPr="00877F84">
          <w:rPr>
            <w:rStyle w:val="Hypertextovprepojenie"/>
            <w:noProof/>
          </w:rPr>
          <w:t>4.2</w:t>
        </w:r>
        <w:r w:rsidR="0056666E">
          <w:rPr>
            <w:rFonts w:asciiTheme="minorHAnsi" w:eastAsiaTheme="minorEastAsia" w:hAnsiTheme="minorHAnsi" w:cstheme="minorBidi"/>
            <w:noProof/>
            <w:sz w:val="22"/>
            <w:szCs w:val="22"/>
          </w:rPr>
          <w:tab/>
        </w:r>
        <w:r w:rsidR="0056666E" w:rsidRPr="00877F84">
          <w:rPr>
            <w:rStyle w:val="Hypertextovprepojenie"/>
            <w:noProof/>
          </w:rPr>
          <w:t>Monitorovanie čistých príjmov v prípade projektov uvedených v článku. 61, ods. 3 všeobecného nariadenia</w:t>
        </w:r>
        <w:r w:rsidR="0056666E">
          <w:rPr>
            <w:noProof/>
            <w:webHidden/>
          </w:rPr>
          <w:tab/>
        </w:r>
        <w:r w:rsidR="0056666E">
          <w:rPr>
            <w:noProof/>
            <w:webHidden/>
          </w:rPr>
          <w:fldChar w:fldCharType="begin"/>
        </w:r>
        <w:r w:rsidR="0056666E">
          <w:rPr>
            <w:noProof/>
            <w:webHidden/>
          </w:rPr>
          <w:instrText xml:space="preserve"> PAGEREF _Toc527539382 \h </w:instrText>
        </w:r>
        <w:r w:rsidR="0056666E">
          <w:rPr>
            <w:noProof/>
            <w:webHidden/>
          </w:rPr>
        </w:r>
        <w:r w:rsidR="0056666E">
          <w:rPr>
            <w:noProof/>
            <w:webHidden/>
          </w:rPr>
          <w:fldChar w:fldCharType="separate"/>
        </w:r>
        <w:r w:rsidR="0056666E">
          <w:rPr>
            <w:noProof/>
            <w:webHidden/>
          </w:rPr>
          <w:t>28</w:t>
        </w:r>
        <w:r w:rsidR="0056666E">
          <w:rPr>
            <w:noProof/>
            <w:webHidden/>
          </w:rPr>
          <w:fldChar w:fldCharType="end"/>
        </w:r>
      </w:hyperlink>
    </w:p>
    <w:p w14:paraId="758F43F1" w14:textId="18F667AE" w:rsidR="0056666E" w:rsidRDefault="009A1D39">
      <w:pPr>
        <w:pStyle w:val="Obsah3"/>
        <w:rPr>
          <w:rFonts w:asciiTheme="minorHAnsi" w:eastAsiaTheme="minorEastAsia" w:hAnsiTheme="minorHAnsi" w:cstheme="minorBidi"/>
          <w:noProof/>
          <w:sz w:val="22"/>
          <w:szCs w:val="22"/>
        </w:rPr>
      </w:pPr>
      <w:hyperlink w:anchor="_Toc527539383" w:history="1">
        <w:r w:rsidR="0056666E" w:rsidRPr="00877F84">
          <w:rPr>
            <w:rStyle w:val="Hypertextovprepojenie"/>
            <w:noProof/>
          </w:rPr>
          <w:t>4.3  Monitorovanie čistých príjmov v prípade projektov uvedených v článku. 61, ods. 6 všeobecného nariadenia</w:t>
        </w:r>
        <w:r w:rsidR="0056666E">
          <w:rPr>
            <w:noProof/>
            <w:webHidden/>
          </w:rPr>
          <w:tab/>
        </w:r>
        <w:r w:rsidR="0056666E">
          <w:rPr>
            <w:noProof/>
            <w:webHidden/>
          </w:rPr>
          <w:fldChar w:fldCharType="begin"/>
        </w:r>
        <w:r w:rsidR="0056666E">
          <w:rPr>
            <w:noProof/>
            <w:webHidden/>
          </w:rPr>
          <w:instrText xml:space="preserve"> PAGEREF _Toc527539383 \h </w:instrText>
        </w:r>
        <w:r w:rsidR="0056666E">
          <w:rPr>
            <w:noProof/>
            <w:webHidden/>
          </w:rPr>
        </w:r>
        <w:r w:rsidR="0056666E">
          <w:rPr>
            <w:noProof/>
            <w:webHidden/>
          </w:rPr>
          <w:fldChar w:fldCharType="separate"/>
        </w:r>
        <w:r w:rsidR="0056666E">
          <w:rPr>
            <w:noProof/>
            <w:webHidden/>
          </w:rPr>
          <w:t>31</w:t>
        </w:r>
        <w:r w:rsidR="0056666E">
          <w:rPr>
            <w:noProof/>
            <w:webHidden/>
          </w:rPr>
          <w:fldChar w:fldCharType="end"/>
        </w:r>
      </w:hyperlink>
    </w:p>
    <w:p w14:paraId="142E780E" w14:textId="5BE96358" w:rsidR="0056666E" w:rsidRDefault="009A1D39">
      <w:pPr>
        <w:pStyle w:val="Obsah3"/>
        <w:rPr>
          <w:rFonts w:asciiTheme="minorHAnsi" w:eastAsiaTheme="minorEastAsia" w:hAnsiTheme="minorHAnsi" w:cstheme="minorBidi"/>
          <w:noProof/>
          <w:sz w:val="22"/>
          <w:szCs w:val="22"/>
        </w:rPr>
      </w:pPr>
      <w:hyperlink w:anchor="_Toc527539384" w:history="1">
        <w:r w:rsidR="0056666E" w:rsidRPr="00877F84">
          <w:rPr>
            <w:rStyle w:val="Hypertextovprepojenie"/>
            <w:noProof/>
          </w:rPr>
          <w:t>4.4  Postup v prípade vzniku príjmu už v priebehu realizácie projektu</w:t>
        </w:r>
        <w:r w:rsidR="0056666E">
          <w:rPr>
            <w:noProof/>
            <w:webHidden/>
          </w:rPr>
          <w:tab/>
        </w:r>
        <w:r w:rsidR="0056666E">
          <w:rPr>
            <w:noProof/>
            <w:webHidden/>
          </w:rPr>
          <w:fldChar w:fldCharType="begin"/>
        </w:r>
        <w:r w:rsidR="0056666E">
          <w:rPr>
            <w:noProof/>
            <w:webHidden/>
          </w:rPr>
          <w:instrText xml:space="preserve"> PAGEREF _Toc527539384 \h </w:instrText>
        </w:r>
        <w:r w:rsidR="0056666E">
          <w:rPr>
            <w:noProof/>
            <w:webHidden/>
          </w:rPr>
        </w:r>
        <w:r w:rsidR="0056666E">
          <w:rPr>
            <w:noProof/>
            <w:webHidden/>
          </w:rPr>
          <w:fldChar w:fldCharType="separate"/>
        </w:r>
        <w:r w:rsidR="0056666E">
          <w:rPr>
            <w:noProof/>
            <w:webHidden/>
          </w:rPr>
          <w:t>33</w:t>
        </w:r>
        <w:r w:rsidR="0056666E">
          <w:rPr>
            <w:noProof/>
            <w:webHidden/>
          </w:rPr>
          <w:fldChar w:fldCharType="end"/>
        </w:r>
      </w:hyperlink>
    </w:p>
    <w:p w14:paraId="55C05C2B" w14:textId="3A471D49" w:rsidR="0056666E" w:rsidRDefault="009A1D39">
      <w:pPr>
        <w:pStyle w:val="Obsah3"/>
        <w:rPr>
          <w:rFonts w:asciiTheme="minorHAnsi" w:eastAsiaTheme="minorEastAsia" w:hAnsiTheme="minorHAnsi" w:cstheme="minorBidi"/>
          <w:noProof/>
          <w:sz w:val="22"/>
          <w:szCs w:val="22"/>
        </w:rPr>
      </w:pPr>
      <w:hyperlink w:anchor="_Toc527539385" w:history="1">
        <w:r w:rsidR="0056666E" w:rsidRPr="00877F84">
          <w:rPr>
            <w:rStyle w:val="Hypertextovprepojenie"/>
            <w:noProof/>
          </w:rPr>
          <w:t>4.5 Opatrenia pre monitorovanie projektov pod 1 mil. EUR podľa článku 61 všeobecného nariadenia</w:t>
        </w:r>
        <w:r w:rsidR="0056666E">
          <w:rPr>
            <w:noProof/>
            <w:webHidden/>
          </w:rPr>
          <w:tab/>
        </w:r>
        <w:r w:rsidR="0056666E">
          <w:rPr>
            <w:noProof/>
            <w:webHidden/>
          </w:rPr>
          <w:fldChar w:fldCharType="begin"/>
        </w:r>
        <w:r w:rsidR="0056666E">
          <w:rPr>
            <w:noProof/>
            <w:webHidden/>
          </w:rPr>
          <w:instrText xml:space="preserve"> PAGEREF _Toc527539385 \h </w:instrText>
        </w:r>
        <w:r w:rsidR="0056666E">
          <w:rPr>
            <w:noProof/>
            <w:webHidden/>
          </w:rPr>
        </w:r>
        <w:r w:rsidR="0056666E">
          <w:rPr>
            <w:noProof/>
            <w:webHidden/>
          </w:rPr>
          <w:fldChar w:fldCharType="separate"/>
        </w:r>
        <w:r w:rsidR="0056666E">
          <w:rPr>
            <w:noProof/>
            <w:webHidden/>
          </w:rPr>
          <w:t>33</w:t>
        </w:r>
        <w:r w:rsidR="0056666E">
          <w:rPr>
            <w:noProof/>
            <w:webHidden/>
          </w:rPr>
          <w:fldChar w:fldCharType="end"/>
        </w:r>
      </w:hyperlink>
    </w:p>
    <w:p w14:paraId="4F9CC878" w14:textId="5B7FDAF2" w:rsidR="0056666E" w:rsidRDefault="009A1D39">
      <w:pPr>
        <w:pStyle w:val="Obsah3"/>
        <w:rPr>
          <w:rFonts w:asciiTheme="minorHAnsi" w:eastAsiaTheme="minorEastAsia" w:hAnsiTheme="minorHAnsi" w:cstheme="minorBidi"/>
          <w:noProof/>
          <w:sz w:val="22"/>
          <w:szCs w:val="22"/>
        </w:rPr>
      </w:pPr>
      <w:hyperlink w:anchor="_Toc527539386" w:history="1">
        <w:r w:rsidR="0056666E" w:rsidRPr="00877F84">
          <w:rPr>
            <w:rStyle w:val="Hypertextovprepojenie"/>
            <w:noProof/>
          </w:rPr>
          <w:t>4.6 čl. 61 ods. 8 všeobecného nariadenia</w:t>
        </w:r>
        <w:r w:rsidR="0056666E">
          <w:rPr>
            <w:noProof/>
            <w:webHidden/>
          </w:rPr>
          <w:tab/>
        </w:r>
        <w:r w:rsidR="0056666E">
          <w:rPr>
            <w:noProof/>
            <w:webHidden/>
          </w:rPr>
          <w:fldChar w:fldCharType="begin"/>
        </w:r>
        <w:r w:rsidR="0056666E">
          <w:rPr>
            <w:noProof/>
            <w:webHidden/>
          </w:rPr>
          <w:instrText xml:space="preserve"> PAGEREF _Toc527539386 \h </w:instrText>
        </w:r>
        <w:r w:rsidR="0056666E">
          <w:rPr>
            <w:noProof/>
            <w:webHidden/>
          </w:rPr>
        </w:r>
        <w:r w:rsidR="0056666E">
          <w:rPr>
            <w:noProof/>
            <w:webHidden/>
          </w:rPr>
          <w:fldChar w:fldCharType="separate"/>
        </w:r>
        <w:r w:rsidR="0056666E">
          <w:rPr>
            <w:noProof/>
            <w:webHidden/>
          </w:rPr>
          <w:t>34</w:t>
        </w:r>
        <w:r w:rsidR="0056666E">
          <w:rPr>
            <w:noProof/>
            <w:webHidden/>
          </w:rPr>
          <w:fldChar w:fldCharType="end"/>
        </w:r>
      </w:hyperlink>
    </w:p>
    <w:p w14:paraId="4CC37E2E" w14:textId="030C9520" w:rsidR="0056666E" w:rsidRDefault="009A1D39">
      <w:pPr>
        <w:pStyle w:val="Obsah2"/>
        <w:rPr>
          <w:rFonts w:asciiTheme="minorHAnsi" w:eastAsiaTheme="minorEastAsia" w:hAnsiTheme="minorHAnsi" w:cstheme="minorBidi"/>
          <w:b w:val="0"/>
          <w:sz w:val="22"/>
          <w:szCs w:val="22"/>
        </w:rPr>
      </w:pPr>
      <w:hyperlink w:anchor="_Toc527539387" w:history="1">
        <w:r w:rsidR="0056666E" w:rsidRPr="00877F84">
          <w:rPr>
            <w:rStyle w:val="Hypertextovprepojenie"/>
          </w:rPr>
          <w:t>5 Projekty vytvárajúce príjmy mimo čl. 61 všeobecného nariadenia</w:t>
        </w:r>
        <w:r w:rsidR="0056666E">
          <w:rPr>
            <w:webHidden/>
          </w:rPr>
          <w:tab/>
        </w:r>
        <w:r w:rsidR="0056666E">
          <w:rPr>
            <w:webHidden/>
          </w:rPr>
          <w:fldChar w:fldCharType="begin"/>
        </w:r>
        <w:r w:rsidR="0056666E">
          <w:rPr>
            <w:webHidden/>
          </w:rPr>
          <w:instrText xml:space="preserve"> PAGEREF _Toc527539387 \h </w:instrText>
        </w:r>
        <w:r w:rsidR="0056666E">
          <w:rPr>
            <w:webHidden/>
          </w:rPr>
        </w:r>
        <w:r w:rsidR="0056666E">
          <w:rPr>
            <w:webHidden/>
          </w:rPr>
          <w:fldChar w:fldCharType="separate"/>
        </w:r>
        <w:r w:rsidR="0056666E">
          <w:rPr>
            <w:webHidden/>
          </w:rPr>
          <w:t>34</w:t>
        </w:r>
        <w:r w:rsidR="0056666E">
          <w:rPr>
            <w:webHidden/>
          </w:rPr>
          <w:fldChar w:fldCharType="end"/>
        </w:r>
      </w:hyperlink>
    </w:p>
    <w:p w14:paraId="02CC9BB5" w14:textId="5D0A1179" w:rsidR="0056666E" w:rsidRDefault="009A1D39">
      <w:pPr>
        <w:pStyle w:val="Obsah3"/>
        <w:rPr>
          <w:rFonts w:asciiTheme="minorHAnsi" w:eastAsiaTheme="minorEastAsia" w:hAnsiTheme="minorHAnsi" w:cstheme="minorBidi"/>
          <w:noProof/>
          <w:sz w:val="22"/>
          <w:szCs w:val="22"/>
        </w:rPr>
      </w:pPr>
      <w:hyperlink w:anchor="_Toc527539388" w:history="1">
        <w:r w:rsidR="0056666E" w:rsidRPr="00877F84">
          <w:rPr>
            <w:rStyle w:val="Hypertextovprepojenie"/>
            <w:noProof/>
          </w:rPr>
          <w:t>5.1 Projekty s celkovými oprávnenými výdavkami nad 100 000 EUR</w:t>
        </w:r>
        <w:r w:rsidR="0056666E">
          <w:rPr>
            <w:noProof/>
            <w:webHidden/>
          </w:rPr>
          <w:tab/>
        </w:r>
        <w:r w:rsidR="0056666E">
          <w:rPr>
            <w:noProof/>
            <w:webHidden/>
          </w:rPr>
          <w:fldChar w:fldCharType="begin"/>
        </w:r>
        <w:r w:rsidR="0056666E">
          <w:rPr>
            <w:noProof/>
            <w:webHidden/>
          </w:rPr>
          <w:instrText xml:space="preserve"> PAGEREF _Toc527539388 \h </w:instrText>
        </w:r>
        <w:r w:rsidR="0056666E">
          <w:rPr>
            <w:noProof/>
            <w:webHidden/>
          </w:rPr>
        </w:r>
        <w:r w:rsidR="0056666E">
          <w:rPr>
            <w:noProof/>
            <w:webHidden/>
          </w:rPr>
          <w:fldChar w:fldCharType="separate"/>
        </w:r>
        <w:r w:rsidR="0056666E">
          <w:rPr>
            <w:noProof/>
            <w:webHidden/>
          </w:rPr>
          <w:t>34</w:t>
        </w:r>
        <w:r w:rsidR="0056666E">
          <w:rPr>
            <w:noProof/>
            <w:webHidden/>
          </w:rPr>
          <w:fldChar w:fldCharType="end"/>
        </w:r>
      </w:hyperlink>
    </w:p>
    <w:p w14:paraId="7E7E1EEE" w14:textId="3BE95FBD" w:rsidR="0056666E" w:rsidRDefault="009A1D39">
      <w:pPr>
        <w:pStyle w:val="Obsah3"/>
        <w:rPr>
          <w:rFonts w:asciiTheme="minorHAnsi" w:eastAsiaTheme="minorEastAsia" w:hAnsiTheme="minorHAnsi" w:cstheme="minorBidi"/>
          <w:noProof/>
          <w:sz w:val="22"/>
          <w:szCs w:val="22"/>
        </w:rPr>
      </w:pPr>
      <w:hyperlink w:anchor="_Toc527539389" w:history="1">
        <w:r w:rsidR="0056666E" w:rsidRPr="00877F84">
          <w:rPr>
            <w:rStyle w:val="Hypertextovprepojenie"/>
            <w:noProof/>
          </w:rPr>
          <w:t>5.2 Projekty s celkovými oprávnenými výdavkami pod 100 000 EUR</w:t>
        </w:r>
        <w:r w:rsidR="0056666E">
          <w:rPr>
            <w:noProof/>
            <w:webHidden/>
          </w:rPr>
          <w:tab/>
        </w:r>
        <w:r w:rsidR="0056666E">
          <w:rPr>
            <w:noProof/>
            <w:webHidden/>
          </w:rPr>
          <w:fldChar w:fldCharType="begin"/>
        </w:r>
        <w:r w:rsidR="0056666E">
          <w:rPr>
            <w:noProof/>
            <w:webHidden/>
          </w:rPr>
          <w:instrText xml:space="preserve"> PAGEREF _Toc527539389 \h </w:instrText>
        </w:r>
        <w:r w:rsidR="0056666E">
          <w:rPr>
            <w:noProof/>
            <w:webHidden/>
          </w:rPr>
        </w:r>
        <w:r w:rsidR="0056666E">
          <w:rPr>
            <w:noProof/>
            <w:webHidden/>
          </w:rPr>
          <w:fldChar w:fldCharType="separate"/>
        </w:r>
        <w:r w:rsidR="0056666E">
          <w:rPr>
            <w:noProof/>
            <w:webHidden/>
          </w:rPr>
          <w:t>35</w:t>
        </w:r>
        <w:r w:rsidR="0056666E">
          <w:rPr>
            <w:noProof/>
            <w:webHidden/>
          </w:rPr>
          <w:fldChar w:fldCharType="end"/>
        </w:r>
      </w:hyperlink>
    </w:p>
    <w:p w14:paraId="477588CC" w14:textId="2FDB1F95" w:rsidR="0056666E" w:rsidRDefault="009A1D39">
      <w:pPr>
        <w:pStyle w:val="Obsah2"/>
        <w:rPr>
          <w:rFonts w:asciiTheme="minorHAnsi" w:eastAsiaTheme="minorEastAsia" w:hAnsiTheme="minorHAnsi" w:cstheme="minorBidi"/>
          <w:b w:val="0"/>
          <w:sz w:val="22"/>
          <w:szCs w:val="22"/>
        </w:rPr>
      </w:pPr>
      <w:hyperlink w:anchor="_Toc527539390" w:history="1">
        <w:r w:rsidR="0056666E" w:rsidRPr="00877F84">
          <w:rPr>
            <w:rStyle w:val="Hypertextovprepojenie"/>
          </w:rPr>
          <w:t>6 Analýza finančného zdravia žiadateľa o NFP</w:t>
        </w:r>
        <w:r w:rsidR="0056666E">
          <w:rPr>
            <w:webHidden/>
          </w:rPr>
          <w:tab/>
        </w:r>
        <w:r w:rsidR="0056666E">
          <w:rPr>
            <w:webHidden/>
          </w:rPr>
          <w:fldChar w:fldCharType="begin"/>
        </w:r>
        <w:r w:rsidR="0056666E">
          <w:rPr>
            <w:webHidden/>
          </w:rPr>
          <w:instrText xml:space="preserve"> PAGEREF _Toc527539390 \h </w:instrText>
        </w:r>
        <w:r w:rsidR="0056666E">
          <w:rPr>
            <w:webHidden/>
          </w:rPr>
        </w:r>
        <w:r w:rsidR="0056666E">
          <w:rPr>
            <w:webHidden/>
          </w:rPr>
          <w:fldChar w:fldCharType="separate"/>
        </w:r>
        <w:r w:rsidR="0056666E">
          <w:rPr>
            <w:webHidden/>
          </w:rPr>
          <w:t>35</w:t>
        </w:r>
        <w:r w:rsidR="0056666E">
          <w:rPr>
            <w:webHidden/>
          </w:rPr>
          <w:fldChar w:fldCharType="end"/>
        </w:r>
      </w:hyperlink>
    </w:p>
    <w:p w14:paraId="030DE017" w14:textId="6A320C1E" w:rsidR="0056666E" w:rsidRDefault="009A1D39">
      <w:pPr>
        <w:pStyle w:val="Obsah3"/>
        <w:tabs>
          <w:tab w:val="left" w:pos="1560"/>
        </w:tabs>
        <w:rPr>
          <w:rFonts w:asciiTheme="minorHAnsi" w:eastAsiaTheme="minorEastAsia" w:hAnsiTheme="minorHAnsi" w:cstheme="minorBidi"/>
          <w:noProof/>
          <w:sz w:val="22"/>
          <w:szCs w:val="22"/>
        </w:rPr>
      </w:pPr>
      <w:hyperlink w:anchor="_Toc527539391" w:history="1">
        <w:r w:rsidR="0056666E" w:rsidRPr="00877F84">
          <w:rPr>
            <w:rStyle w:val="Hypertextovprepojenie"/>
            <w:noProof/>
          </w:rPr>
          <w:t>6.1</w:t>
        </w:r>
        <w:r w:rsidR="0056666E">
          <w:rPr>
            <w:rFonts w:asciiTheme="minorHAnsi" w:eastAsiaTheme="minorEastAsia" w:hAnsiTheme="minorHAnsi" w:cstheme="minorBidi"/>
            <w:noProof/>
            <w:sz w:val="22"/>
            <w:szCs w:val="22"/>
          </w:rPr>
          <w:tab/>
        </w:r>
        <w:r w:rsidR="0056666E" w:rsidRPr="00877F84">
          <w:rPr>
            <w:rStyle w:val="Hypertextovprepojenie"/>
            <w:noProof/>
          </w:rPr>
          <w:t>Finančná analýza žiadateľov z verejnej správy</w:t>
        </w:r>
        <w:r w:rsidR="0056666E">
          <w:rPr>
            <w:noProof/>
            <w:webHidden/>
          </w:rPr>
          <w:tab/>
        </w:r>
        <w:r w:rsidR="0056666E">
          <w:rPr>
            <w:noProof/>
            <w:webHidden/>
          </w:rPr>
          <w:fldChar w:fldCharType="begin"/>
        </w:r>
        <w:r w:rsidR="0056666E">
          <w:rPr>
            <w:noProof/>
            <w:webHidden/>
          </w:rPr>
          <w:instrText xml:space="preserve"> PAGEREF _Toc527539391 \h </w:instrText>
        </w:r>
        <w:r w:rsidR="0056666E">
          <w:rPr>
            <w:noProof/>
            <w:webHidden/>
          </w:rPr>
        </w:r>
        <w:r w:rsidR="0056666E">
          <w:rPr>
            <w:noProof/>
            <w:webHidden/>
          </w:rPr>
          <w:fldChar w:fldCharType="separate"/>
        </w:r>
        <w:r w:rsidR="0056666E">
          <w:rPr>
            <w:noProof/>
            <w:webHidden/>
          </w:rPr>
          <w:t>35</w:t>
        </w:r>
        <w:r w:rsidR="0056666E">
          <w:rPr>
            <w:noProof/>
            <w:webHidden/>
          </w:rPr>
          <w:fldChar w:fldCharType="end"/>
        </w:r>
      </w:hyperlink>
    </w:p>
    <w:p w14:paraId="465A8E00" w14:textId="236A2193" w:rsidR="0056666E" w:rsidRDefault="009A1D39">
      <w:pPr>
        <w:pStyle w:val="Obsah3"/>
        <w:tabs>
          <w:tab w:val="left" w:pos="1560"/>
        </w:tabs>
        <w:rPr>
          <w:rFonts w:asciiTheme="minorHAnsi" w:eastAsiaTheme="minorEastAsia" w:hAnsiTheme="minorHAnsi" w:cstheme="minorBidi"/>
          <w:noProof/>
          <w:sz w:val="22"/>
          <w:szCs w:val="22"/>
        </w:rPr>
      </w:pPr>
      <w:hyperlink w:anchor="_Toc527539392" w:history="1">
        <w:r w:rsidR="0056666E" w:rsidRPr="00877F84">
          <w:rPr>
            <w:rStyle w:val="Hypertextovprepojenie"/>
            <w:noProof/>
          </w:rPr>
          <w:t>6.2</w:t>
        </w:r>
        <w:r w:rsidR="0056666E">
          <w:rPr>
            <w:rFonts w:asciiTheme="minorHAnsi" w:eastAsiaTheme="minorEastAsia" w:hAnsiTheme="minorHAnsi" w:cstheme="minorBidi"/>
            <w:noProof/>
            <w:sz w:val="22"/>
            <w:szCs w:val="22"/>
          </w:rPr>
          <w:tab/>
        </w:r>
        <w:r w:rsidR="0056666E" w:rsidRPr="00877F84">
          <w:rPr>
            <w:rStyle w:val="Hypertextovprepojenie"/>
            <w:noProof/>
          </w:rPr>
          <w:t>Finančná analýza žiadateľov zo súkromnej sféry</w:t>
        </w:r>
        <w:r w:rsidR="0056666E">
          <w:rPr>
            <w:noProof/>
            <w:webHidden/>
          </w:rPr>
          <w:tab/>
        </w:r>
        <w:r w:rsidR="0056666E">
          <w:rPr>
            <w:noProof/>
            <w:webHidden/>
          </w:rPr>
          <w:fldChar w:fldCharType="begin"/>
        </w:r>
        <w:r w:rsidR="0056666E">
          <w:rPr>
            <w:noProof/>
            <w:webHidden/>
          </w:rPr>
          <w:instrText xml:space="preserve"> PAGEREF _Toc527539392 \h </w:instrText>
        </w:r>
        <w:r w:rsidR="0056666E">
          <w:rPr>
            <w:noProof/>
            <w:webHidden/>
          </w:rPr>
        </w:r>
        <w:r w:rsidR="0056666E">
          <w:rPr>
            <w:noProof/>
            <w:webHidden/>
          </w:rPr>
          <w:fldChar w:fldCharType="separate"/>
        </w:r>
        <w:r w:rsidR="0056666E">
          <w:rPr>
            <w:noProof/>
            <w:webHidden/>
          </w:rPr>
          <w:t>37</w:t>
        </w:r>
        <w:r w:rsidR="0056666E">
          <w:rPr>
            <w:noProof/>
            <w:webHidden/>
          </w:rPr>
          <w:fldChar w:fldCharType="end"/>
        </w:r>
      </w:hyperlink>
    </w:p>
    <w:p w14:paraId="1B065FF6" w14:textId="5B707656" w:rsidR="0056666E" w:rsidRDefault="009A1D39">
      <w:pPr>
        <w:pStyle w:val="Obsah3"/>
        <w:tabs>
          <w:tab w:val="left" w:pos="1560"/>
        </w:tabs>
        <w:rPr>
          <w:rFonts w:asciiTheme="minorHAnsi" w:eastAsiaTheme="minorEastAsia" w:hAnsiTheme="minorHAnsi" w:cstheme="minorBidi"/>
          <w:noProof/>
          <w:sz w:val="22"/>
          <w:szCs w:val="22"/>
        </w:rPr>
      </w:pPr>
      <w:hyperlink w:anchor="_Toc527539393" w:history="1">
        <w:r w:rsidR="0056666E" w:rsidRPr="00877F84">
          <w:rPr>
            <w:rStyle w:val="Hypertextovprepojenie"/>
            <w:noProof/>
          </w:rPr>
          <w:t>6.3</w:t>
        </w:r>
        <w:r w:rsidR="0056666E">
          <w:rPr>
            <w:rFonts w:asciiTheme="minorHAnsi" w:eastAsiaTheme="minorEastAsia" w:hAnsiTheme="minorHAnsi" w:cstheme="minorBidi"/>
            <w:noProof/>
            <w:sz w:val="22"/>
            <w:szCs w:val="22"/>
          </w:rPr>
          <w:tab/>
        </w:r>
        <w:r w:rsidR="0056666E" w:rsidRPr="00877F84">
          <w:rPr>
            <w:rStyle w:val="Hypertextovprepojenie"/>
            <w:noProof/>
          </w:rPr>
          <w:t>Doplňujúce údaje pre hodnotenie primeranosti projektu</w:t>
        </w:r>
        <w:r w:rsidR="0056666E">
          <w:rPr>
            <w:noProof/>
            <w:webHidden/>
          </w:rPr>
          <w:tab/>
        </w:r>
        <w:r w:rsidR="0056666E">
          <w:rPr>
            <w:noProof/>
            <w:webHidden/>
          </w:rPr>
          <w:fldChar w:fldCharType="begin"/>
        </w:r>
        <w:r w:rsidR="0056666E">
          <w:rPr>
            <w:noProof/>
            <w:webHidden/>
          </w:rPr>
          <w:instrText xml:space="preserve"> PAGEREF _Toc527539393 \h </w:instrText>
        </w:r>
        <w:r w:rsidR="0056666E">
          <w:rPr>
            <w:noProof/>
            <w:webHidden/>
          </w:rPr>
        </w:r>
        <w:r w:rsidR="0056666E">
          <w:rPr>
            <w:noProof/>
            <w:webHidden/>
          </w:rPr>
          <w:fldChar w:fldCharType="separate"/>
        </w:r>
        <w:r w:rsidR="0056666E">
          <w:rPr>
            <w:noProof/>
            <w:webHidden/>
          </w:rPr>
          <w:t>38</w:t>
        </w:r>
        <w:r w:rsidR="0056666E">
          <w:rPr>
            <w:noProof/>
            <w:webHidden/>
          </w:rPr>
          <w:fldChar w:fldCharType="end"/>
        </w:r>
      </w:hyperlink>
    </w:p>
    <w:p w14:paraId="5E9C0F32" w14:textId="21D03DEF" w:rsidR="0056666E" w:rsidRDefault="009A1D39">
      <w:pPr>
        <w:pStyle w:val="Obsah3"/>
        <w:tabs>
          <w:tab w:val="left" w:pos="1560"/>
        </w:tabs>
        <w:rPr>
          <w:rFonts w:asciiTheme="minorHAnsi" w:eastAsiaTheme="minorEastAsia" w:hAnsiTheme="minorHAnsi" w:cstheme="minorBidi"/>
          <w:noProof/>
          <w:sz w:val="22"/>
          <w:szCs w:val="22"/>
        </w:rPr>
      </w:pPr>
      <w:hyperlink w:anchor="_Toc527539394" w:history="1">
        <w:r w:rsidR="0056666E" w:rsidRPr="00877F84">
          <w:rPr>
            <w:rStyle w:val="Hypertextovprepojenie"/>
            <w:noProof/>
          </w:rPr>
          <w:t>6.4</w:t>
        </w:r>
        <w:r w:rsidR="0056666E">
          <w:rPr>
            <w:rFonts w:asciiTheme="minorHAnsi" w:eastAsiaTheme="minorEastAsia" w:hAnsiTheme="minorHAnsi" w:cstheme="minorBidi"/>
            <w:noProof/>
            <w:sz w:val="22"/>
            <w:szCs w:val="22"/>
          </w:rPr>
          <w:tab/>
        </w:r>
        <w:r w:rsidR="0056666E" w:rsidRPr="00877F84">
          <w:rPr>
            <w:rStyle w:val="Hypertextovprepojenie"/>
            <w:noProof/>
          </w:rPr>
          <w:t>Zdroje údajov</w:t>
        </w:r>
        <w:r w:rsidR="0056666E">
          <w:rPr>
            <w:noProof/>
            <w:webHidden/>
          </w:rPr>
          <w:tab/>
        </w:r>
        <w:r w:rsidR="0056666E">
          <w:rPr>
            <w:noProof/>
            <w:webHidden/>
          </w:rPr>
          <w:fldChar w:fldCharType="begin"/>
        </w:r>
        <w:r w:rsidR="0056666E">
          <w:rPr>
            <w:noProof/>
            <w:webHidden/>
          </w:rPr>
          <w:instrText xml:space="preserve"> PAGEREF _Toc527539394 \h </w:instrText>
        </w:r>
        <w:r w:rsidR="0056666E">
          <w:rPr>
            <w:noProof/>
            <w:webHidden/>
          </w:rPr>
        </w:r>
        <w:r w:rsidR="0056666E">
          <w:rPr>
            <w:noProof/>
            <w:webHidden/>
          </w:rPr>
          <w:fldChar w:fldCharType="separate"/>
        </w:r>
        <w:r w:rsidR="0056666E">
          <w:rPr>
            <w:noProof/>
            <w:webHidden/>
          </w:rPr>
          <w:t>39</w:t>
        </w:r>
        <w:r w:rsidR="0056666E">
          <w:rPr>
            <w:noProof/>
            <w:webHidden/>
          </w:rPr>
          <w:fldChar w:fldCharType="end"/>
        </w:r>
      </w:hyperlink>
    </w:p>
    <w:p w14:paraId="23FFDF29" w14:textId="6A3EEE31" w:rsidR="0056666E" w:rsidRDefault="009A1D39">
      <w:pPr>
        <w:pStyle w:val="Obsah2"/>
        <w:rPr>
          <w:rFonts w:asciiTheme="minorHAnsi" w:eastAsiaTheme="minorEastAsia" w:hAnsiTheme="minorHAnsi" w:cstheme="minorBidi"/>
          <w:b w:val="0"/>
          <w:sz w:val="22"/>
          <w:szCs w:val="22"/>
        </w:rPr>
      </w:pPr>
      <w:hyperlink w:anchor="_Toc527539395" w:history="1">
        <w:r w:rsidR="0056666E" w:rsidRPr="00877F84">
          <w:rPr>
            <w:rStyle w:val="Hypertextovprepojenie"/>
          </w:rPr>
          <w:t>Zoznam príloh</w:t>
        </w:r>
        <w:r w:rsidR="0056666E">
          <w:rPr>
            <w:webHidden/>
          </w:rPr>
          <w:tab/>
        </w:r>
        <w:r w:rsidR="0056666E">
          <w:rPr>
            <w:webHidden/>
          </w:rPr>
          <w:fldChar w:fldCharType="begin"/>
        </w:r>
        <w:r w:rsidR="0056666E">
          <w:rPr>
            <w:webHidden/>
          </w:rPr>
          <w:instrText xml:space="preserve"> PAGEREF _Toc527539395 \h </w:instrText>
        </w:r>
        <w:r w:rsidR="0056666E">
          <w:rPr>
            <w:webHidden/>
          </w:rPr>
        </w:r>
        <w:r w:rsidR="0056666E">
          <w:rPr>
            <w:webHidden/>
          </w:rPr>
          <w:fldChar w:fldCharType="separate"/>
        </w:r>
        <w:r w:rsidR="0056666E">
          <w:rPr>
            <w:webHidden/>
          </w:rPr>
          <w:t>40</w:t>
        </w:r>
        <w:r w:rsidR="0056666E">
          <w:rPr>
            <w:webHidden/>
          </w:rPr>
          <w:fldChar w:fldCharType="end"/>
        </w:r>
      </w:hyperlink>
    </w:p>
    <w:p w14:paraId="7480562B" w14:textId="77777777" w:rsidR="009A0FAA" w:rsidRDefault="00FE5A9C" w:rsidP="009A0FAA">
      <w:r>
        <w:fldChar w:fldCharType="end"/>
      </w:r>
      <w:bookmarkStart w:id="3" w:name="_Toc406160855"/>
      <w:bookmarkStart w:id="4" w:name="_Toc406160945"/>
    </w:p>
    <w:p w14:paraId="7A7694B2" w14:textId="77777777" w:rsidR="00070252" w:rsidRPr="006A5294" w:rsidRDefault="009A0FAA" w:rsidP="009A0FAA">
      <w:pPr>
        <w:pStyle w:val="MPCKO1"/>
      </w:pPr>
      <w:bookmarkStart w:id="5" w:name="_Toc527539357"/>
      <w:r>
        <w:t xml:space="preserve">1 </w:t>
      </w:r>
      <w:r w:rsidR="00070252" w:rsidRPr="006A5294">
        <w:t>Úvod</w:t>
      </w:r>
      <w:bookmarkEnd w:id="3"/>
      <w:bookmarkEnd w:id="4"/>
      <w:bookmarkEnd w:id="5"/>
    </w:p>
    <w:p w14:paraId="32337237" w14:textId="77777777" w:rsidR="00070252" w:rsidRPr="00B403CD" w:rsidRDefault="00070252" w:rsidP="00070252">
      <w:pPr>
        <w:jc w:val="both"/>
      </w:pPr>
      <w:r w:rsidRPr="00B403CD">
        <w:t>Tento metodický pokyn formuluje odporúčania pre prípravu a hodnotenie základných parametrov a postupov finančnej analýzy projektu a analýzy nákladov a prínosov projektu (ďalej aj CBA). Metodický pokyn zároveň popisuje možný spôsob zhodnotenia finančnej stability žiadateľa o NFP. Jedná sa predovšetkým o projekty spadajúce pod čl. 61 Nariadenia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w:t>
      </w:r>
      <w:r w:rsidR="00A71215">
        <w:t xml:space="preserve"> </w:t>
      </w:r>
      <w:r w:rsidRPr="00B403CD">
        <w:t xml:space="preserve">Európskom námornom a rybárskom fonde, a ktorým sa zrušuje nariadenie Rady (ES) </w:t>
      </w:r>
      <w:r w:rsidR="00A71215">
        <w:t xml:space="preserve">             </w:t>
      </w:r>
      <w:r w:rsidRPr="00B403CD">
        <w:t>č. 1083/2006 (ďalej len „</w:t>
      </w:r>
      <w:r w:rsidRPr="00B403CD">
        <w:rPr>
          <w:b/>
          <w:i/>
        </w:rPr>
        <w:t>všeobecné nariadenie</w:t>
      </w:r>
      <w:r w:rsidRPr="00B403CD">
        <w:t>“)</w:t>
      </w:r>
    </w:p>
    <w:p w14:paraId="7AB18410" w14:textId="77777777" w:rsidR="00070252" w:rsidRPr="00B403CD" w:rsidRDefault="00070252" w:rsidP="00070252">
      <w:pPr>
        <w:jc w:val="both"/>
      </w:pPr>
    </w:p>
    <w:p w14:paraId="07246316" w14:textId="77777777" w:rsidR="00070252" w:rsidRPr="00B403CD" w:rsidRDefault="00070252" w:rsidP="00070252">
      <w:pPr>
        <w:jc w:val="both"/>
      </w:pPr>
      <w:r w:rsidRPr="00B403CD">
        <w:t>Metodický pokyn je určený hlavne pre riadiace orgány, sprostredkovateľské orgány, ktoré budú realizovať operačné programy v programovom období 2014 – 2020 a budú administrovať  projekty generujúce príjem</w:t>
      </w:r>
      <w:r w:rsidR="00C37537">
        <w:t xml:space="preserve"> a veľké projekty</w:t>
      </w:r>
      <w:r w:rsidRPr="00B403CD">
        <w:t>.</w:t>
      </w:r>
    </w:p>
    <w:p w14:paraId="19F9ED7B" w14:textId="77777777" w:rsidR="00070252" w:rsidRPr="00B403CD" w:rsidRDefault="00070252" w:rsidP="00070252">
      <w:pPr>
        <w:jc w:val="both"/>
      </w:pPr>
    </w:p>
    <w:p w14:paraId="24183AC9" w14:textId="77777777" w:rsidR="00070252" w:rsidRPr="00B403CD" w:rsidRDefault="00070252" w:rsidP="00070252">
      <w:pPr>
        <w:jc w:val="both"/>
      </w:pPr>
      <w:r w:rsidRPr="00B403CD">
        <w:t>Účelom finančnej analýzy je odôvodnenie nutnosti nenávratného finančného príspevku pre  realizáciu projektu a ubezpečenie poskytovateľa, že projekt po ukončení financovania z prostriedkov nenávratného finančného príspevku bude finančne udržateľný</w:t>
      </w:r>
      <w:r w:rsidR="005459CD">
        <w:t>, </w:t>
      </w:r>
      <w:r w:rsidRPr="00B403CD">
        <w:t>samonosný</w:t>
      </w:r>
      <w:r w:rsidR="005459CD">
        <w:t xml:space="preserve"> a že projekt nebude nadfinancovaný</w:t>
      </w:r>
      <w:r w:rsidRPr="00B403CD">
        <w:t>. Na tomto základe by mala byť stanovená primeraná úroveň pomoci.</w:t>
      </w:r>
    </w:p>
    <w:p w14:paraId="50940636" w14:textId="77777777" w:rsidR="00070252" w:rsidRPr="00B403CD" w:rsidRDefault="00070252" w:rsidP="00070252">
      <w:pPr>
        <w:jc w:val="both"/>
      </w:pPr>
    </w:p>
    <w:p w14:paraId="59BF339C" w14:textId="2DDC8671" w:rsidR="00070252" w:rsidRPr="00B403CD" w:rsidRDefault="00070252" w:rsidP="00070252">
      <w:pPr>
        <w:jc w:val="both"/>
      </w:pPr>
      <w:r w:rsidRPr="00B403CD">
        <w:t>Cieľom finančnej analýzy je stanoviť ziskovosť projektu s ohľadom na oprávnenosť použitia nenávratného finančného príspevku</w:t>
      </w:r>
      <w:r w:rsidR="00E62393">
        <w:t xml:space="preserve"> (ďalej NFP),</w:t>
      </w:r>
      <w:r w:rsidRPr="00B403CD">
        <w:t xml:space="preserve"> určeného ziskovosťou projektu na základe posúdenia čistej súčasnej hodnoty investície</w:t>
      </w:r>
      <w:r w:rsidR="00383C89">
        <w:t>.</w:t>
      </w:r>
      <w:r w:rsidRPr="00B403CD">
        <w:t xml:space="preserve">, </w:t>
      </w:r>
      <w:r w:rsidR="00383C89">
        <w:t>B</w:t>
      </w:r>
      <w:r w:rsidRPr="00B403CD">
        <w:t>ez zohľadnenia zdrojov financovania a teda aj NFP</w:t>
      </w:r>
      <w:r w:rsidR="00383C89">
        <w:t xml:space="preserve"> je čistá súčasná hodnota investície</w:t>
      </w:r>
      <w:r w:rsidRPr="00B403CD">
        <w:t xml:space="preserve"> záporná</w:t>
      </w:r>
      <w:r w:rsidR="00383C89">
        <w:t>.</w:t>
      </w:r>
      <w:r w:rsidRPr="00B403CD">
        <w:t xml:space="preserve"> </w:t>
      </w:r>
      <w:r w:rsidR="00383C89">
        <w:t>P</w:t>
      </w:r>
      <w:r w:rsidRPr="00B403CD">
        <w:t xml:space="preserve">o zohľadnení zdrojov financovania (aj NFP), má byť poskytnutý </w:t>
      </w:r>
      <w:r w:rsidR="00383C89" w:rsidRPr="00B403CD">
        <w:t xml:space="preserve">NFP </w:t>
      </w:r>
      <w:r w:rsidRPr="00B403CD">
        <w:t>v takej miere, aby sa znížili investičné náklady na úroveň, keď čistá súčasná hodnota investície za dané obdobie a pri stanovenej diskontnej sadzbe bude rovná 0.</w:t>
      </w:r>
    </w:p>
    <w:p w14:paraId="172BDA64" w14:textId="77777777" w:rsidR="00070252" w:rsidRPr="00E53276" w:rsidRDefault="00070252" w:rsidP="00070252">
      <w:pPr>
        <w:jc w:val="both"/>
        <w:rPr>
          <w:highlight w:val="yellow"/>
        </w:rPr>
      </w:pPr>
    </w:p>
    <w:p w14:paraId="0865E554" w14:textId="77777777" w:rsidR="00070252" w:rsidRPr="00B403CD" w:rsidRDefault="00070252" w:rsidP="00070252">
      <w:pPr>
        <w:jc w:val="both"/>
      </w:pPr>
      <w:r w:rsidRPr="00B403CD">
        <w:t>Účelom CBA je preukázať, že projekt je z hospodárskeho hľadiska vhodný a prispieva k cieľom regionálnej politiky EÚ a SR na základe porovnania speňažených ale aj nespeňažených hmotných a nehmotných príspevkov a nákladov.</w:t>
      </w:r>
    </w:p>
    <w:p w14:paraId="481B876E" w14:textId="77777777" w:rsidR="00070252" w:rsidRPr="00B403CD" w:rsidRDefault="00070252" w:rsidP="00070252">
      <w:pPr>
        <w:jc w:val="both"/>
      </w:pPr>
    </w:p>
    <w:p w14:paraId="63275E7A" w14:textId="77777777" w:rsidR="00070252" w:rsidRDefault="00070252" w:rsidP="00070252">
      <w:pPr>
        <w:jc w:val="both"/>
      </w:pPr>
      <w:r w:rsidRPr="00B403CD">
        <w:t>Cieľom CBA je preukázať pri štrukturálne významných investíciách, že ekonomická čistá súčasná hodnota za dané obdobie a pri stanovenej sociálnej diskontnej sadzbe je kladná. V prípade zápornej ekonomickej čistej súčasnej hodnoty investície navrhovaný projekt nemá byť podporený z verejných prostriedkov. Pod štrukturálne významnými projektmi sú myslené projekty, ktoré v danom s</w:t>
      </w:r>
      <w:r w:rsidR="0024598E">
        <w:t>ektore či regióne môžu merateľne</w:t>
      </w:r>
      <w:r w:rsidRPr="00B403CD">
        <w:t xml:space="preserve"> ovplyvniť jeho ďalší stav.</w:t>
      </w:r>
    </w:p>
    <w:p w14:paraId="78604E27" w14:textId="77777777" w:rsidR="0007428E" w:rsidRDefault="0007428E" w:rsidP="00070252">
      <w:pPr>
        <w:jc w:val="both"/>
      </w:pPr>
    </w:p>
    <w:p w14:paraId="21A31439" w14:textId="43B5E190" w:rsidR="0007428E" w:rsidRDefault="0007428E" w:rsidP="00070252">
      <w:pPr>
        <w:jc w:val="both"/>
      </w:pPr>
      <w:r>
        <w:t>Tento metodický pokyn sa vzťahuje aj na projekty financované z ESF. Predovšetkým na</w:t>
      </w:r>
      <w:r w:rsidR="008E5524">
        <w:t> </w:t>
      </w:r>
      <w:r>
        <w:t xml:space="preserve">projekty, pri ktorých sa uplatňuje krosfinancovanie je uplatniteľný čl. 61 </w:t>
      </w:r>
      <w:r w:rsidR="00757777">
        <w:t xml:space="preserve">všeobecného nariadenia </w:t>
      </w:r>
      <w:r>
        <w:t xml:space="preserve">. Pri projektoch ESF nad </w:t>
      </w:r>
      <w:r w:rsidR="00DD582A">
        <w:t>10</w:t>
      </w:r>
      <w:r>
        <w:t>0 000 EUR</w:t>
      </w:r>
      <w:r w:rsidR="00357528">
        <w:t xml:space="preserve"> sa uplatňuje čl. 65 ods. 8 všeobecného nariadenia.</w:t>
      </w:r>
    </w:p>
    <w:p w14:paraId="084B9179" w14:textId="77777777" w:rsidR="00070252" w:rsidRPr="006A5294" w:rsidRDefault="006A5294" w:rsidP="006A5294">
      <w:pPr>
        <w:pStyle w:val="MPCKO2"/>
      </w:pPr>
      <w:bookmarkStart w:id="6" w:name="_Toc406160856"/>
      <w:bookmarkStart w:id="7" w:name="_Toc406160946"/>
      <w:bookmarkStart w:id="8" w:name="_Toc527539358"/>
      <w:r w:rsidRPr="006A5294">
        <w:t xml:space="preserve">1.1 </w:t>
      </w:r>
      <w:r w:rsidR="00070252" w:rsidRPr="006A5294">
        <w:t>Právny základ</w:t>
      </w:r>
      <w:bookmarkEnd w:id="6"/>
      <w:bookmarkEnd w:id="7"/>
      <w:bookmarkEnd w:id="8"/>
    </w:p>
    <w:p w14:paraId="56187C5D" w14:textId="77777777" w:rsidR="00070252" w:rsidRPr="00D85232" w:rsidRDefault="00070252" w:rsidP="00070252">
      <w:pPr>
        <w:pStyle w:val="Default"/>
        <w:rPr>
          <w:rFonts w:ascii="Times New Roman" w:hAnsi="Times New Roman" w:cs="Times New Roman"/>
          <w:smallCaps/>
          <w:sz w:val="28"/>
          <w:szCs w:val="20"/>
          <w:highlight w:val="yellow"/>
          <w:lang w:eastAsia="ar-SA"/>
        </w:rPr>
      </w:pPr>
    </w:p>
    <w:p w14:paraId="0467D87A" w14:textId="77777777" w:rsidR="00070252" w:rsidRPr="00B403CD" w:rsidRDefault="00070252" w:rsidP="000C09FD">
      <w:pPr>
        <w:pStyle w:val="Default"/>
        <w:jc w:val="both"/>
        <w:rPr>
          <w:rFonts w:ascii="Times New Roman" w:hAnsi="Times New Roman" w:cs="Times New Roman"/>
          <w:color w:val="auto"/>
          <w:lang w:eastAsia="en-GB"/>
        </w:rPr>
      </w:pPr>
      <w:r w:rsidRPr="00B403CD">
        <w:rPr>
          <w:rFonts w:ascii="Times New Roman" w:hAnsi="Times New Roman" w:cs="Times New Roman"/>
          <w:color w:val="auto"/>
          <w:lang w:eastAsia="en-GB"/>
        </w:rPr>
        <w:t>Metodický pokyn pre projekty generujúce príjem v programovom období 2014 – 2020  vychádza predovšetkým z :</w:t>
      </w:r>
    </w:p>
    <w:p w14:paraId="1EE867E3" w14:textId="77777777" w:rsidR="00070252" w:rsidRPr="00B403CD" w:rsidRDefault="00070252" w:rsidP="00F26B1B">
      <w:pPr>
        <w:pStyle w:val="Default"/>
        <w:numPr>
          <w:ilvl w:val="0"/>
          <w:numId w:val="35"/>
        </w:numPr>
        <w:jc w:val="both"/>
        <w:rPr>
          <w:rFonts w:ascii="Times New Roman" w:hAnsi="Times New Roman" w:cs="Times New Roman"/>
          <w:color w:val="auto"/>
          <w:lang w:eastAsia="en-GB"/>
        </w:rPr>
      </w:pPr>
      <w:r w:rsidRPr="00B403CD">
        <w:rPr>
          <w:rFonts w:ascii="Times New Roman" w:hAnsi="Times New Roman" w:cs="Times New Roman"/>
          <w:color w:val="auto"/>
          <w:lang w:eastAsia="en-GB"/>
        </w:rPr>
        <w:t xml:space="preserve">Nariadenia Európskeho parlamentu a Rady č. 1303/2013 (všeobecné nariadenie) </w:t>
      </w:r>
    </w:p>
    <w:p w14:paraId="54E61F58" w14:textId="77777777" w:rsidR="00070252" w:rsidRPr="00B403CD" w:rsidRDefault="00070252" w:rsidP="00F26B1B">
      <w:pPr>
        <w:pStyle w:val="Default"/>
        <w:numPr>
          <w:ilvl w:val="0"/>
          <w:numId w:val="35"/>
        </w:numPr>
        <w:jc w:val="both"/>
        <w:rPr>
          <w:rFonts w:ascii="Times New Roman" w:hAnsi="Times New Roman" w:cs="Times New Roman"/>
          <w:color w:val="auto"/>
          <w:lang w:eastAsia="en-GB"/>
        </w:rPr>
      </w:pPr>
      <w:r w:rsidRPr="00B403CD">
        <w:rPr>
          <w:rFonts w:ascii="Times New Roman" w:hAnsi="Times New Roman" w:cs="Times New Roman"/>
          <w:color w:val="auto"/>
          <w:lang w:eastAsia="en-GB"/>
        </w:rPr>
        <w:t>Nariadenia Európskeho parlamentu a Rady (EÚ) č. 1304/2013 z 17. decembra 2013 o Európskom sociálnom fonde a o zrušení nariadenia Rady (ES) č. 1081/2006 (ďalej len „nariadenie o ESF“);</w:t>
      </w:r>
    </w:p>
    <w:p w14:paraId="1B4D4F6F" w14:textId="77777777" w:rsidR="00070252" w:rsidRPr="00B403CD" w:rsidRDefault="00070252" w:rsidP="00F26B1B">
      <w:pPr>
        <w:pStyle w:val="Default"/>
        <w:numPr>
          <w:ilvl w:val="0"/>
          <w:numId w:val="35"/>
        </w:numPr>
        <w:jc w:val="both"/>
        <w:rPr>
          <w:rFonts w:ascii="Times New Roman" w:hAnsi="Times New Roman" w:cs="Times New Roman"/>
          <w:color w:val="auto"/>
          <w:lang w:eastAsia="en-GB"/>
        </w:rPr>
      </w:pPr>
      <w:r w:rsidRPr="00B403CD">
        <w:rPr>
          <w:rFonts w:ascii="Times New Roman" w:hAnsi="Times New Roman" w:cs="Times New Roman"/>
          <w:color w:val="auto"/>
          <w:lang w:eastAsia="en-GB"/>
        </w:rPr>
        <w:t>Nariadenia Európskeho parlamentu a Rady (EÚ) č. 1301/2013 zo 17. decembra 2013 o Európskom fonde regionálneho rozvoja a o osobitných ustanoveniach týkajúcich sa cieľa Investovanie do rastu a zamestnanosti, a ktorým sa zrušuje nariadenie (ES) č. 1080/2006 (ďalej len „nariadenie o EFRR“);</w:t>
      </w:r>
    </w:p>
    <w:p w14:paraId="7FED0E57" w14:textId="77777777" w:rsidR="00070252" w:rsidRPr="00B403CD" w:rsidRDefault="00070252" w:rsidP="00F26B1B">
      <w:pPr>
        <w:pStyle w:val="Default"/>
        <w:numPr>
          <w:ilvl w:val="0"/>
          <w:numId w:val="35"/>
        </w:numPr>
        <w:jc w:val="both"/>
        <w:rPr>
          <w:rFonts w:ascii="Times New Roman" w:hAnsi="Times New Roman" w:cs="Times New Roman"/>
          <w:color w:val="auto"/>
          <w:lang w:eastAsia="en-GB"/>
        </w:rPr>
      </w:pPr>
      <w:r w:rsidRPr="00B403CD">
        <w:rPr>
          <w:rFonts w:ascii="Times New Roman" w:hAnsi="Times New Roman" w:cs="Times New Roman"/>
          <w:color w:val="auto"/>
          <w:lang w:eastAsia="en-GB"/>
        </w:rPr>
        <w:t>Nariadenia Európskeho parlamentu a Rady (EÚ) č. 1300/2013 zo 17. decembra 2013 o Kohéznom fonde, ktorým sa zrušuje nariadenie Rady (ES) č. 1084/2006 (ďalej len „nariadenie o KF“);</w:t>
      </w:r>
    </w:p>
    <w:p w14:paraId="444C2893" w14:textId="77777777" w:rsidR="00070252" w:rsidRPr="00B403CD" w:rsidRDefault="00070252" w:rsidP="00F26B1B">
      <w:pPr>
        <w:pStyle w:val="Default"/>
        <w:numPr>
          <w:ilvl w:val="0"/>
          <w:numId w:val="35"/>
        </w:numPr>
        <w:jc w:val="both"/>
        <w:rPr>
          <w:rFonts w:ascii="Times New Roman" w:hAnsi="Times New Roman" w:cs="Times New Roman"/>
          <w:color w:val="auto"/>
          <w:lang w:eastAsia="en-GB"/>
        </w:rPr>
      </w:pPr>
      <w:r w:rsidRPr="00B403CD">
        <w:rPr>
          <w:rFonts w:ascii="Times New Roman" w:hAnsi="Times New Roman" w:cs="Times New Roman"/>
          <w:color w:val="auto"/>
          <w:lang w:eastAsia="en-GB"/>
        </w:rPr>
        <w:t>Nariadenia Európskeho parlamentu a Rady (EÚ) č. 1299/2013 zo 17. decembra 2013 o osobitných ustanoveniach na podporu cieľa Európska územná spolupráca z Európskeho fondu regionálneho rozvoja (ďalej len „nariadenie o EÚS“);</w:t>
      </w:r>
    </w:p>
    <w:p w14:paraId="38BD6ABE" w14:textId="77777777" w:rsidR="00070252" w:rsidRPr="00B403CD" w:rsidRDefault="00070252" w:rsidP="00F26B1B">
      <w:pPr>
        <w:pStyle w:val="Default"/>
        <w:numPr>
          <w:ilvl w:val="0"/>
          <w:numId w:val="35"/>
        </w:numPr>
        <w:jc w:val="both"/>
        <w:rPr>
          <w:rFonts w:ascii="Times New Roman" w:hAnsi="Times New Roman" w:cs="Times New Roman"/>
          <w:color w:val="auto"/>
          <w:lang w:eastAsia="en-GB"/>
        </w:rPr>
      </w:pPr>
      <w:r w:rsidRPr="00B403CD">
        <w:rPr>
          <w:rFonts w:ascii="Times New Roman" w:hAnsi="Times New Roman" w:cs="Times New Roman"/>
          <w:color w:val="auto"/>
          <w:lang w:eastAsia="en-GB"/>
        </w:rPr>
        <w:t>Nariadenia Európskeho parlamentu a Rady (EÚ) č. 1305/2013 zo 17. decembra 2013 o podpore rozvoja vidieka prostredníctvom Európskeho poľnohospodárskeho fondu pre rozvoj vidieka (EPFRV) a o zrušení nariadenia Rady (ES) č. 1698/2005 (ďalej len „nariadenie o EPFRV“);</w:t>
      </w:r>
    </w:p>
    <w:p w14:paraId="55B4BE9C" w14:textId="77777777" w:rsidR="00070252" w:rsidRPr="00B403CD" w:rsidRDefault="00070252" w:rsidP="00F26B1B">
      <w:pPr>
        <w:pStyle w:val="Default"/>
        <w:numPr>
          <w:ilvl w:val="0"/>
          <w:numId w:val="35"/>
        </w:numPr>
        <w:jc w:val="both"/>
        <w:rPr>
          <w:rFonts w:ascii="Times New Roman" w:hAnsi="Times New Roman" w:cs="Times New Roman"/>
          <w:color w:val="auto"/>
          <w:lang w:eastAsia="en-GB"/>
        </w:rPr>
      </w:pPr>
      <w:r w:rsidRPr="00B403CD">
        <w:rPr>
          <w:rFonts w:ascii="Times New Roman" w:hAnsi="Times New Roman" w:cs="Times New Roman"/>
          <w:color w:val="auto"/>
          <w:lang w:eastAsia="en-GB"/>
        </w:rPr>
        <w:t>Nariadenia Európskeho parlamentu a Rady (EÚ) č. 508/2014 z 15. mája 2014 o Európskom námornom a rybárskom fonde, ktorým sa zrušujú nariadenia Rady (ES) č. 2328/2003, (ES)     č. 861/2006, (ES) č. 1198/2006 a (ES) č. 791/2007 a nariadenie Európskeho parlamentu a Rady (EÚ) č. 1255/2011 (ďalej len ,,nariadenie o ENRF“)</w:t>
      </w:r>
    </w:p>
    <w:p w14:paraId="12013A5F" w14:textId="77777777" w:rsidR="00070252" w:rsidRPr="00B403CD" w:rsidRDefault="00070252" w:rsidP="00F26B1B">
      <w:pPr>
        <w:pStyle w:val="Default"/>
        <w:numPr>
          <w:ilvl w:val="0"/>
          <w:numId w:val="35"/>
        </w:numPr>
        <w:jc w:val="both"/>
        <w:rPr>
          <w:rFonts w:ascii="Times New Roman" w:hAnsi="Times New Roman" w:cs="Times New Roman"/>
          <w:color w:val="auto"/>
          <w:lang w:eastAsia="en-GB"/>
        </w:rPr>
      </w:pPr>
      <w:r w:rsidRPr="00B403CD">
        <w:rPr>
          <w:rFonts w:ascii="Times New Roman" w:hAnsi="Times New Roman" w:cs="Times New Roman"/>
          <w:color w:val="auto"/>
          <w:lang w:eastAsia="en-GB"/>
        </w:rPr>
        <w:t>Delegované nariadenia Komisie (EÚ) 480/2014</w:t>
      </w:r>
      <w:r w:rsidR="00A965CC">
        <w:rPr>
          <w:rFonts w:ascii="Times New Roman" w:hAnsi="Times New Roman" w:cs="Times New Roman"/>
          <w:color w:val="auto"/>
          <w:lang w:eastAsia="en-GB"/>
        </w:rPr>
        <w:t xml:space="preserve"> z 3. marca 2014</w:t>
      </w:r>
      <w:r w:rsidRPr="00B403CD">
        <w:rPr>
          <w:rFonts w:ascii="Times New Roman" w:hAnsi="Times New Roman" w:cs="Times New Roman"/>
          <w:color w:val="auto"/>
          <w:lang w:eastAsia="en-GB"/>
        </w:rPr>
        <w:t xml:space="preserve">, ktorým sa dopĺňa </w:t>
      </w:r>
      <w:r w:rsidR="00A965CC">
        <w:rPr>
          <w:rFonts w:ascii="Times New Roman" w:hAnsi="Times New Roman" w:cs="Times New Roman"/>
          <w:color w:val="auto"/>
          <w:lang w:eastAsia="en-GB"/>
        </w:rPr>
        <w:t>nariadenie Európskeho parlamentu a Rady (EÚ) č. 1303/2013</w:t>
      </w:r>
      <w:r w:rsidRPr="00B403CD">
        <w:rPr>
          <w:rFonts w:ascii="Times New Roman" w:hAnsi="Times New Roman" w:cs="Times New Roman"/>
          <w:color w:val="auto"/>
          <w:lang w:eastAsia="en-GB"/>
        </w:rPr>
        <w:t xml:space="preserve">. </w:t>
      </w:r>
    </w:p>
    <w:p w14:paraId="5428FDDE" w14:textId="77777777" w:rsidR="00070252" w:rsidRDefault="00070252" w:rsidP="00F26B1B">
      <w:pPr>
        <w:pStyle w:val="Default"/>
        <w:numPr>
          <w:ilvl w:val="0"/>
          <w:numId w:val="35"/>
        </w:numPr>
        <w:jc w:val="both"/>
        <w:rPr>
          <w:rFonts w:ascii="Times New Roman" w:hAnsi="Times New Roman" w:cs="Times New Roman"/>
          <w:color w:val="auto"/>
          <w:lang w:eastAsia="en-GB"/>
        </w:rPr>
      </w:pPr>
      <w:r w:rsidRPr="00B403CD">
        <w:rPr>
          <w:rFonts w:ascii="Times New Roman" w:hAnsi="Times New Roman" w:cs="Times New Roman"/>
          <w:color w:val="auto"/>
          <w:lang w:eastAsia="en-GB"/>
        </w:rPr>
        <w:t>Fiche č. 13 "Implementačný akt k metodike analýzy nákladov a prínosov pre veľké projekty", verzia 2 z 20. 9. 2013, vydanej Európskou komisiou,</w:t>
      </w:r>
    </w:p>
    <w:p w14:paraId="439FFFB2" w14:textId="77777777" w:rsidR="002B17EC" w:rsidRDefault="002B17EC" w:rsidP="00F26B1B">
      <w:pPr>
        <w:pStyle w:val="Default"/>
        <w:numPr>
          <w:ilvl w:val="0"/>
          <w:numId w:val="35"/>
        </w:numPr>
        <w:jc w:val="both"/>
        <w:rPr>
          <w:rFonts w:ascii="Times New Roman" w:hAnsi="Times New Roman" w:cs="Times New Roman"/>
          <w:color w:val="auto"/>
          <w:lang w:eastAsia="en-GB"/>
        </w:rPr>
      </w:pPr>
      <w:r w:rsidRPr="002B17EC">
        <w:rPr>
          <w:rFonts w:ascii="Times New Roman" w:hAnsi="Times New Roman" w:cs="Times New Roman"/>
          <w:color w:val="auto"/>
          <w:lang w:eastAsia="en-GB"/>
        </w:rPr>
        <w:t>Usmernenie EK k CBA analýze investičných projektov z decembra 2014.</w:t>
      </w:r>
    </w:p>
    <w:p w14:paraId="6C212588" w14:textId="77777777" w:rsidR="00651445" w:rsidRPr="00B86AF7" w:rsidRDefault="009A1D39" w:rsidP="00651445">
      <w:pPr>
        <w:pStyle w:val="SRKNorm"/>
        <w:numPr>
          <w:ilvl w:val="0"/>
          <w:numId w:val="35"/>
        </w:numPr>
        <w:spacing w:before="120" w:after="120"/>
        <w:contextualSpacing w:val="0"/>
      </w:pPr>
      <w:hyperlink r:id="rId10" w:history="1">
        <w:r w:rsidR="00651445" w:rsidRPr="00834516">
          <w:rPr>
            <w:rStyle w:val="Hypertextovprepojenie"/>
          </w:rPr>
          <w:t xml:space="preserve">Nariadenie Európskeho parlamentu a Rady (EÚ, Euratom) 2018/1046 z 18. júla 2018 o rozpočtových pravidlách, ktoré sa vzťahujú na všeobecný rozpočet Únie, o zmene </w:t>
        </w:r>
        <w:r w:rsidR="00651445" w:rsidRPr="00834516">
          <w:rPr>
            <w:rStyle w:val="Hypertextovprepojenie"/>
          </w:rPr>
          <w:lastRenderedPageBreak/>
          <w:t>nariadení (EÚ) č. 1296/2013, (EÚ) č. 1301/2013, (EÚ) č. 1303/2013, (EÚ) č.</w:t>
        </w:r>
        <w:r w:rsidR="008E5524">
          <w:rPr>
            <w:rStyle w:val="Hypertextovprepojenie"/>
          </w:rPr>
          <w:t> </w:t>
        </w:r>
        <w:r w:rsidR="00651445" w:rsidRPr="00834516">
          <w:rPr>
            <w:rStyle w:val="Hypertextovprepojenie"/>
          </w:rPr>
          <w:t>1304/2013, (EÚ) č. 1309/2013, (EÚ) č. 1316/2013, (EÚ) č. 223/2014, (EÚ) č.</w:t>
        </w:r>
        <w:r w:rsidR="008E5524">
          <w:rPr>
            <w:rStyle w:val="Hypertextovprepojenie"/>
          </w:rPr>
          <w:t> </w:t>
        </w:r>
        <w:r w:rsidR="00651445" w:rsidRPr="00834516">
          <w:rPr>
            <w:rStyle w:val="Hypertextovprepojenie"/>
          </w:rPr>
          <w:t>283/2014 a rozhodnutia č. 541/2014/EÚ a o zrušení nariadenia (EÚ, Euratom) č.</w:t>
        </w:r>
        <w:r w:rsidR="008E5524">
          <w:rPr>
            <w:rStyle w:val="Hypertextovprepojenie"/>
          </w:rPr>
          <w:t> </w:t>
        </w:r>
        <w:r w:rsidR="00651445" w:rsidRPr="00834516">
          <w:rPr>
            <w:rStyle w:val="Hypertextovprepojenie"/>
          </w:rPr>
          <w:t>966/2012</w:t>
        </w:r>
      </w:hyperlink>
      <w:r w:rsidR="00651445">
        <w:t xml:space="preserve"> (ďalej len „Omnibus“)</w:t>
      </w:r>
      <w:r w:rsidR="00651445" w:rsidRPr="00B86AF7">
        <w:t>.</w:t>
      </w:r>
      <w:r w:rsidR="00651445">
        <w:t xml:space="preserve"> </w:t>
      </w:r>
    </w:p>
    <w:p w14:paraId="4EA9B264" w14:textId="77777777" w:rsidR="00070252" w:rsidRPr="006A5294" w:rsidRDefault="006A5294" w:rsidP="006A5294">
      <w:pPr>
        <w:pStyle w:val="MPCKO2"/>
      </w:pPr>
      <w:bookmarkStart w:id="9" w:name="_Toc406160857"/>
      <w:bookmarkStart w:id="10" w:name="_Toc406160947"/>
      <w:bookmarkStart w:id="11" w:name="_Toc527539359"/>
      <w:r>
        <w:t xml:space="preserve">1.2 </w:t>
      </w:r>
      <w:r w:rsidR="00070252" w:rsidRPr="006A5294">
        <w:t>Podstatné zmeny oproti programovému obdobiu 2007 – 2013</w:t>
      </w:r>
      <w:bookmarkEnd w:id="9"/>
      <w:bookmarkEnd w:id="10"/>
      <w:bookmarkEnd w:id="11"/>
    </w:p>
    <w:p w14:paraId="5F2D7407" w14:textId="77777777" w:rsidR="00070252" w:rsidRPr="00D85232" w:rsidRDefault="00070252" w:rsidP="00070252">
      <w:pPr>
        <w:jc w:val="both"/>
        <w:rPr>
          <w:smallCaps/>
          <w:sz w:val="28"/>
          <w:szCs w:val="20"/>
          <w:highlight w:val="yellow"/>
          <w:lang w:eastAsia="ar-SA"/>
        </w:rPr>
      </w:pPr>
    </w:p>
    <w:p w14:paraId="6DC9183E" w14:textId="77777777" w:rsidR="00070252" w:rsidRPr="00B403CD" w:rsidRDefault="00070252" w:rsidP="00070252">
      <w:pPr>
        <w:jc w:val="both"/>
      </w:pPr>
      <w:r w:rsidRPr="00B403CD">
        <w:t>Podstatnými zmenami oproti programovému obdobiu 2007 – 2013 sú predovšetkým:</w:t>
      </w:r>
    </w:p>
    <w:p w14:paraId="56B3EB59" w14:textId="77777777" w:rsidR="00070252" w:rsidRPr="00B403CD" w:rsidRDefault="00070252" w:rsidP="00070252">
      <w:pPr>
        <w:jc w:val="both"/>
      </w:pPr>
    </w:p>
    <w:p w14:paraId="4F5893AB" w14:textId="339B2409" w:rsidR="00070252" w:rsidRPr="00B403CD" w:rsidRDefault="00CD7629" w:rsidP="00F26B1B">
      <w:pPr>
        <w:pStyle w:val="Odsekzoznamu"/>
        <w:numPr>
          <w:ilvl w:val="0"/>
          <w:numId w:val="36"/>
        </w:numPr>
        <w:jc w:val="both"/>
      </w:pPr>
      <w:r>
        <w:t>Možnosť uplatniť z</w:t>
      </w:r>
      <w:r w:rsidR="00070252" w:rsidRPr="00B403CD">
        <w:t>jednodušený výpočet nenávratného finančného prostriedku (ďalej NFP) prostredníctvom tzv. flat ratu čistých príjmov pre projekty pod čl. 61 všeobecného nariadenia . Jedná sa o percentuálne zníženie oprávnených výdavkov podľa daného paušálu, čo výrazne uľahčuje postupy zohľadnenia príjmov a nároky na monitoring príjmov pri určitých typoch projektov.</w:t>
      </w:r>
    </w:p>
    <w:p w14:paraId="1425D4E6" w14:textId="61C23520" w:rsidR="00070252" w:rsidRPr="00B403CD" w:rsidRDefault="00070252" w:rsidP="00F26B1B">
      <w:pPr>
        <w:numPr>
          <w:ilvl w:val="0"/>
          <w:numId w:val="36"/>
        </w:numPr>
        <w:jc w:val="both"/>
      </w:pPr>
      <w:r w:rsidRPr="00B403CD">
        <w:t xml:space="preserve">Povinnosť sledovať príjmy a zohľadniť ich pri stanovení výšky NFP sa nanovo objavuje aj u všetkých ostatných projektov mimo čl. 61 s oprávnenými výdavkami nad </w:t>
      </w:r>
      <w:r w:rsidR="00651445">
        <w:t>10</w:t>
      </w:r>
      <w:r w:rsidRPr="00B403CD">
        <w:t>0 000 EUR.</w:t>
      </w:r>
    </w:p>
    <w:p w14:paraId="0A6543DD" w14:textId="77777777" w:rsidR="00070252" w:rsidRPr="00B403CD" w:rsidRDefault="00070252" w:rsidP="00F26B1B">
      <w:pPr>
        <w:numPr>
          <w:ilvl w:val="0"/>
          <w:numId w:val="36"/>
        </w:numPr>
        <w:jc w:val="both"/>
      </w:pPr>
      <w:r w:rsidRPr="00B403CD">
        <w:t>Limit na uplatnenie ustanovení čl. 61. pre programové obdob</w:t>
      </w:r>
      <w:r w:rsidR="001C5086">
        <w:t>ie</w:t>
      </w:r>
      <w:r w:rsidRPr="00B403CD">
        <w:t xml:space="preserve"> 2014 – 2020 sa vzťahuje na  limit 1 mil. EUR na celkové oprávnené výdavky projektu.</w:t>
      </w:r>
    </w:p>
    <w:p w14:paraId="69E933A0" w14:textId="727CEDE1" w:rsidR="00070252" w:rsidRPr="00B403CD" w:rsidRDefault="00070252" w:rsidP="00F26B1B">
      <w:pPr>
        <w:numPr>
          <w:ilvl w:val="0"/>
          <w:numId w:val="36"/>
        </w:numPr>
        <w:jc w:val="both"/>
      </w:pPr>
      <w:r w:rsidRPr="00B403CD">
        <w:t>Referenčné obdobie pre jednotlivé sektory stanovené Európskou komisiou v</w:t>
      </w:r>
      <w:r w:rsidR="008E5524">
        <w:t> </w:t>
      </w:r>
      <w:r w:rsidRPr="00B403CD">
        <w:t xml:space="preserve">programovom období 2007-2013 malo odporúčací charakter, v programovom období 2014-2020 je stanovené ako záväzné a nemožno sa od stanovených hodnôt odchýliť. </w:t>
      </w:r>
    </w:p>
    <w:p w14:paraId="326E5FC3" w14:textId="77777777" w:rsidR="00070252" w:rsidRPr="00B403CD" w:rsidRDefault="00070252" w:rsidP="00F26B1B">
      <w:pPr>
        <w:numPr>
          <w:ilvl w:val="0"/>
          <w:numId w:val="36"/>
        </w:numPr>
        <w:jc w:val="both"/>
      </w:pPr>
      <w:r w:rsidRPr="00B403CD">
        <w:t>Európska komisia doporučuje výšku reálnej finančnej diskontnej sadzby na úrovni</w:t>
      </w:r>
      <w:r w:rsidRPr="00B403CD">
        <w:br/>
        <w:t>4 %.</w:t>
      </w:r>
    </w:p>
    <w:p w14:paraId="4F5C7F20" w14:textId="40333FCF" w:rsidR="00456603" w:rsidRPr="00B403CD" w:rsidRDefault="00456603" w:rsidP="00F26B1B">
      <w:pPr>
        <w:numPr>
          <w:ilvl w:val="0"/>
          <w:numId w:val="36"/>
        </w:numPr>
        <w:jc w:val="both"/>
      </w:pPr>
      <w:r w:rsidRPr="00B403CD">
        <w:t>Sociálna diskontná sadzba pre Slovenskú republiku je 5</w:t>
      </w:r>
      <w:r w:rsidR="00BE7BF3">
        <w:t xml:space="preserve"> </w:t>
      </w:r>
      <w:r w:rsidRPr="00B403CD">
        <w:t>%.</w:t>
      </w:r>
    </w:p>
    <w:p w14:paraId="2A85CCD0" w14:textId="77777777" w:rsidR="00070252" w:rsidRPr="006A5294" w:rsidRDefault="006A5294" w:rsidP="006A5294">
      <w:pPr>
        <w:pStyle w:val="MPCKO2"/>
      </w:pPr>
      <w:bookmarkStart w:id="12" w:name="_Toc406160858"/>
      <w:bookmarkStart w:id="13" w:name="_Toc406160948"/>
      <w:bookmarkStart w:id="14" w:name="_Toc527539360"/>
      <w:r>
        <w:t xml:space="preserve">1.3 </w:t>
      </w:r>
      <w:r w:rsidR="00070252" w:rsidRPr="006A5294">
        <w:t>Projekty generujúce príjem podľa čl. 61 všeobecného nariadenia</w:t>
      </w:r>
      <w:bookmarkEnd w:id="12"/>
      <w:bookmarkEnd w:id="13"/>
      <w:bookmarkEnd w:id="14"/>
    </w:p>
    <w:p w14:paraId="6A0F0766" w14:textId="77777777" w:rsidR="00070252" w:rsidRPr="00233346" w:rsidRDefault="00070252" w:rsidP="00070252">
      <w:pPr>
        <w:pStyle w:val="Default"/>
        <w:rPr>
          <w:rFonts w:ascii="Times New Roman" w:hAnsi="Times New Roman" w:cs="Times New Roman"/>
          <w:smallCaps/>
          <w:sz w:val="28"/>
          <w:szCs w:val="20"/>
          <w:highlight w:val="yellow"/>
          <w:lang w:eastAsia="ar-SA"/>
        </w:rPr>
      </w:pPr>
    </w:p>
    <w:p w14:paraId="5D9BCAF7" w14:textId="77777777" w:rsidR="00070252" w:rsidRPr="00B403CD" w:rsidRDefault="00070252" w:rsidP="00070252">
      <w:pPr>
        <w:pStyle w:val="Default"/>
        <w:jc w:val="both"/>
        <w:rPr>
          <w:rFonts w:ascii="Times New Roman" w:hAnsi="Times New Roman" w:cs="Times New Roman"/>
          <w:color w:val="auto"/>
          <w:lang w:eastAsia="en-GB"/>
        </w:rPr>
      </w:pPr>
      <w:r w:rsidRPr="00B403CD">
        <w:rPr>
          <w:rFonts w:ascii="Times New Roman" w:hAnsi="Times New Roman" w:cs="Times New Roman"/>
          <w:color w:val="auto"/>
          <w:lang w:eastAsia="en-GB"/>
        </w:rPr>
        <w:t>Článok 61 sa vzťahuje na projekty, ktoré po svojom dokončení vytvárajú čistý príjem. Príjem tu predstavuje peňažný tok v podobe poplatkov, ktoré uhrádzajú priamo konečný užívatelia výstupov projektu.</w:t>
      </w:r>
    </w:p>
    <w:p w14:paraId="3CC649AF" w14:textId="77777777" w:rsidR="00070252" w:rsidRPr="00B403CD" w:rsidRDefault="00070252" w:rsidP="00070252">
      <w:pPr>
        <w:pStyle w:val="Default"/>
        <w:jc w:val="both"/>
        <w:rPr>
          <w:rFonts w:ascii="Times New Roman" w:hAnsi="Times New Roman" w:cs="Times New Roman"/>
          <w:color w:val="auto"/>
          <w:lang w:eastAsia="en-GB"/>
        </w:rPr>
      </w:pPr>
      <w:r w:rsidRPr="00B403CD">
        <w:rPr>
          <w:rFonts w:ascii="Times New Roman" w:hAnsi="Times New Roman" w:cs="Times New Roman"/>
          <w:color w:val="auto"/>
          <w:lang w:eastAsia="en-GB"/>
        </w:rPr>
        <w:t>Na účely tohto článku „</w:t>
      </w:r>
      <w:r w:rsidRPr="00B403CD">
        <w:rPr>
          <w:rFonts w:ascii="Times New Roman" w:hAnsi="Times New Roman" w:cs="Times New Roman"/>
          <w:b/>
          <w:color w:val="auto"/>
          <w:lang w:eastAsia="en-GB"/>
        </w:rPr>
        <w:t>čistý príjem</w:t>
      </w:r>
      <w:r w:rsidRPr="00B403CD">
        <w:rPr>
          <w:rFonts w:ascii="Times New Roman" w:hAnsi="Times New Roman" w:cs="Times New Roman"/>
          <w:color w:val="auto"/>
          <w:lang w:eastAsia="en-GB"/>
        </w:rPr>
        <w:t xml:space="preserve">“ predstavuje toky hotovosti, ktorú užívatelia platia priamo za tovary alebo služby zabezpečené v rámci projektu, ako napríklad náklady, ktoré priamo znášajú užívatelia za využívanie infraštruktúry, predaj alebo prenájom pozemkov alebo budov, alebo platby za služby po odpočítaní všetkých </w:t>
      </w:r>
      <w:r w:rsidRPr="00B403CD">
        <w:rPr>
          <w:rFonts w:ascii="Times New Roman" w:hAnsi="Times New Roman" w:cs="Times New Roman"/>
          <w:b/>
          <w:color w:val="auto"/>
          <w:lang w:eastAsia="en-GB"/>
        </w:rPr>
        <w:t>prevádzkových nákladov</w:t>
      </w:r>
      <w:r w:rsidRPr="00B403CD">
        <w:rPr>
          <w:rFonts w:ascii="Times New Roman" w:hAnsi="Times New Roman" w:cs="Times New Roman"/>
          <w:color w:val="auto"/>
          <w:lang w:eastAsia="en-GB"/>
        </w:rPr>
        <w:t xml:space="preserve"> a </w:t>
      </w:r>
      <w:r w:rsidRPr="00B403CD">
        <w:rPr>
          <w:rFonts w:ascii="Times New Roman" w:hAnsi="Times New Roman" w:cs="Times New Roman"/>
          <w:b/>
          <w:color w:val="auto"/>
          <w:lang w:eastAsia="en-GB"/>
        </w:rPr>
        <w:t>nákladov na náhradu zariadenia s krátkou životnosťou</w:t>
      </w:r>
      <w:r w:rsidRPr="00B403CD">
        <w:rPr>
          <w:rFonts w:ascii="Times New Roman" w:hAnsi="Times New Roman" w:cs="Times New Roman"/>
          <w:color w:val="auto"/>
          <w:lang w:eastAsia="en-GB"/>
        </w:rPr>
        <w:t>, ktoré vzniknú v priebehu príslušného obdobia. Úspory prevádzkových nákladov, ktoré vznikli počas projektu,</w:t>
      </w:r>
      <w:r w:rsidR="00651445" w:rsidRPr="008E5524">
        <w:rPr>
          <w:rFonts w:ascii="Times New Roman" w:hAnsi="Times New Roman" w:cs="Times New Roman"/>
          <w:color w:val="auto"/>
          <w:lang w:eastAsia="en-GB"/>
        </w:rPr>
        <w:t xml:space="preserve"> s výnimkou úspor nákladov vyplývajúcich z vykonávania opatrení v oblasti energetickej efektívnosti,</w:t>
      </w:r>
      <w:r w:rsidRPr="00B403CD">
        <w:rPr>
          <w:rFonts w:ascii="Times New Roman" w:hAnsi="Times New Roman" w:cs="Times New Roman"/>
          <w:color w:val="auto"/>
          <w:lang w:eastAsia="en-GB"/>
        </w:rPr>
        <w:t xml:space="preserve"> sa považujú za čistý príjem, ak nie sú kompenzované rovnocenným znížením prevádzkových dotácií.</w:t>
      </w:r>
    </w:p>
    <w:p w14:paraId="1E05A441" w14:textId="77777777" w:rsidR="00070252" w:rsidRPr="00233346" w:rsidRDefault="00070252" w:rsidP="00070252">
      <w:pPr>
        <w:jc w:val="both"/>
        <w:rPr>
          <w:highlight w:val="yellow"/>
        </w:rPr>
      </w:pPr>
    </w:p>
    <w:p w14:paraId="597B17BF" w14:textId="77777777" w:rsidR="00070252" w:rsidRDefault="00070252" w:rsidP="00070252">
      <w:pPr>
        <w:jc w:val="both"/>
      </w:pPr>
      <w:r w:rsidRPr="00B403CD">
        <w:t>Pod čl.61 nezahrňujeme predovšetkým tieto projekty:</w:t>
      </w:r>
    </w:p>
    <w:p w14:paraId="624AD4D3" w14:textId="77777777" w:rsidR="0049757D" w:rsidRPr="00B403CD" w:rsidRDefault="0049757D" w:rsidP="00070252">
      <w:pPr>
        <w:jc w:val="both"/>
      </w:pPr>
    </w:p>
    <w:p w14:paraId="6BD385B5" w14:textId="77777777" w:rsidR="00070252" w:rsidRPr="00B403CD" w:rsidRDefault="00070252" w:rsidP="00F26B1B">
      <w:pPr>
        <w:pStyle w:val="Odsekzoznamu"/>
        <w:numPr>
          <w:ilvl w:val="0"/>
          <w:numId w:val="37"/>
        </w:numPr>
        <w:jc w:val="both"/>
      </w:pPr>
      <w:r w:rsidRPr="00B403CD">
        <w:t>Projekty, ktoré sú výlučne podporované z ESF</w:t>
      </w:r>
    </w:p>
    <w:p w14:paraId="2CBD4F8A" w14:textId="77777777" w:rsidR="00070252" w:rsidRPr="00B403CD" w:rsidRDefault="00070252" w:rsidP="00F26B1B">
      <w:pPr>
        <w:numPr>
          <w:ilvl w:val="0"/>
          <w:numId w:val="37"/>
        </w:numPr>
        <w:jc w:val="both"/>
      </w:pPr>
      <w:r w:rsidRPr="00B403CD">
        <w:t>Projekty, pri ktorých celkové oprávnené náklady pred uplatnením odsekov 1 až 6 čl. 61 všeobecného nariadenia nepresahujú 1 000 000 EUR</w:t>
      </w:r>
    </w:p>
    <w:p w14:paraId="75A1326D" w14:textId="77777777" w:rsidR="00070252" w:rsidRPr="00B403CD" w:rsidRDefault="00070252" w:rsidP="00F26B1B">
      <w:pPr>
        <w:numPr>
          <w:ilvl w:val="0"/>
          <w:numId w:val="37"/>
        </w:numPr>
        <w:jc w:val="both"/>
      </w:pPr>
      <w:r w:rsidRPr="00B403CD">
        <w:t>Projekty návratnej pomoci, ktoré podliehajú povinnosti úplného splatenia, a ceny</w:t>
      </w:r>
    </w:p>
    <w:p w14:paraId="441882DF" w14:textId="77777777" w:rsidR="00070252" w:rsidRPr="00B403CD" w:rsidRDefault="00070252" w:rsidP="00F26B1B">
      <w:pPr>
        <w:numPr>
          <w:ilvl w:val="0"/>
          <w:numId w:val="37"/>
        </w:numPr>
        <w:jc w:val="both"/>
      </w:pPr>
      <w:r w:rsidRPr="00B403CD">
        <w:t>Projekty technickej pomoci</w:t>
      </w:r>
    </w:p>
    <w:p w14:paraId="7B6187D7" w14:textId="77777777" w:rsidR="00070252" w:rsidRPr="00B403CD" w:rsidRDefault="00070252" w:rsidP="00F26B1B">
      <w:pPr>
        <w:numPr>
          <w:ilvl w:val="0"/>
          <w:numId w:val="37"/>
        </w:numPr>
        <w:jc w:val="both"/>
      </w:pPr>
      <w:r w:rsidRPr="00B403CD">
        <w:lastRenderedPageBreak/>
        <w:t>Projekty podpory na finančné nástroje alebo z finančných nástrojov</w:t>
      </w:r>
    </w:p>
    <w:p w14:paraId="67A53359" w14:textId="77777777" w:rsidR="00070252" w:rsidRPr="00B403CD" w:rsidRDefault="00070252" w:rsidP="00F26B1B">
      <w:pPr>
        <w:numPr>
          <w:ilvl w:val="0"/>
          <w:numId w:val="37"/>
        </w:numPr>
        <w:jc w:val="both"/>
      </w:pPr>
      <w:r w:rsidRPr="00B403CD">
        <w:t xml:space="preserve">Projekty, pri ktorých má verejná podpora formu </w:t>
      </w:r>
      <w:r w:rsidR="007309E2">
        <w:t>paušálnych súm</w:t>
      </w:r>
      <w:r w:rsidRPr="00B403CD">
        <w:t xml:space="preserve"> alebo štandardnej stupnice jednotkových výdavkov</w:t>
      </w:r>
    </w:p>
    <w:p w14:paraId="47AFBB11" w14:textId="77777777" w:rsidR="00070252" w:rsidRPr="00B403CD" w:rsidRDefault="00070252" w:rsidP="00F26B1B">
      <w:pPr>
        <w:numPr>
          <w:ilvl w:val="0"/>
          <w:numId w:val="37"/>
        </w:numPr>
        <w:jc w:val="both"/>
      </w:pPr>
      <w:r w:rsidRPr="00B403CD">
        <w:t>Projekty realizované podľa spoločného akčného plánu</w:t>
      </w:r>
    </w:p>
    <w:p w14:paraId="3BA85DEF" w14:textId="3DBEC819" w:rsidR="00070252" w:rsidRPr="00B403CD" w:rsidRDefault="00070252" w:rsidP="00F26B1B">
      <w:pPr>
        <w:numPr>
          <w:ilvl w:val="0"/>
          <w:numId w:val="37"/>
        </w:numPr>
        <w:jc w:val="both"/>
      </w:pPr>
      <w:r w:rsidRPr="00B403CD">
        <w:t xml:space="preserve">Projekty, pre ktoré sú sumy alebo miery podpory vymedzené v prílohe </w:t>
      </w:r>
      <w:r w:rsidR="00166BBC">
        <w:t xml:space="preserve">II </w:t>
      </w:r>
      <w:r w:rsidR="006125E1">
        <w:t>k nariadeniu o EPFRV alebo v nariadení o ENRF (Miery podpory sú definované pre všetky operácie uvedené v článku 95 a prílohe I nariadenia o ENRF. V dôsledku toho sa na</w:t>
      </w:r>
      <w:r w:rsidR="008E5524">
        <w:t> </w:t>
      </w:r>
      <w:r w:rsidR="006125E1">
        <w:t>všetky projekty spolufinancované z ENRF vzťahuje zmena a doplnenie článku 61 ods. 7 písm. h) všeobecného nariadenia)</w:t>
      </w:r>
    </w:p>
    <w:p w14:paraId="45285CBC" w14:textId="77777777" w:rsidR="00070252" w:rsidRPr="00B403CD" w:rsidRDefault="00070252" w:rsidP="00F26B1B">
      <w:pPr>
        <w:numPr>
          <w:ilvl w:val="0"/>
          <w:numId w:val="37"/>
        </w:numPr>
        <w:jc w:val="both"/>
      </w:pPr>
      <w:r w:rsidRPr="00B403CD">
        <w:t>Projekty, ktoré negenerujú čisté príjmy (ich príjmy nestačia na úplné pokrytie prevádzkových nákladov)</w:t>
      </w:r>
    </w:p>
    <w:p w14:paraId="387A7A01" w14:textId="77777777" w:rsidR="00070252" w:rsidRPr="00B403CD" w:rsidRDefault="00070252" w:rsidP="00F26B1B">
      <w:pPr>
        <w:numPr>
          <w:ilvl w:val="0"/>
          <w:numId w:val="37"/>
        </w:numPr>
        <w:jc w:val="both"/>
      </w:pPr>
      <w:r w:rsidRPr="00B403CD">
        <w:t xml:space="preserve"> Projekty, ktoré negenerujú príjmy (napr. nespoplatnené cesty)</w:t>
      </w:r>
    </w:p>
    <w:p w14:paraId="4DA74CCF" w14:textId="77777777" w:rsidR="00070252" w:rsidRDefault="00A51005" w:rsidP="00F26B1B">
      <w:pPr>
        <w:numPr>
          <w:ilvl w:val="0"/>
          <w:numId w:val="37"/>
        </w:numPr>
        <w:jc w:val="both"/>
      </w:pPr>
      <w:r>
        <w:t xml:space="preserve"> Projekty, </w:t>
      </w:r>
      <w:r w:rsidR="00070252" w:rsidRPr="00B403CD">
        <w:t>pri ktorých je už existujúca infraštruktúra</w:t>
      </w:r>
      <w:r w:rsidR="001B0E71">
        <w:t xml:space="preserve"> alebo využívanie služieb</w:t>
      </w:r>
      <w:r w:rsidR="00070252" w:rsidRPr="00B403CD">
        <w:t xml:space="preserve"> spoplatnen</w:t>
      </w:r>
      <w:r w:rsidR="001B0E71">
        <w:t>é</w:t>
      </w:r>
      <w:r w:rsidR="00070252" w:rsidRPr="00B403CD">
        <w:t xml:space="preserve"> a jej čisté príjmy sa po realizácii projektu (ktorým bola investícia do tejto infraštruktúry</w:t>
      </w:r>
      <w:r w:rsidR="001B0E71">
        <w:t xml:space="preserve"> alebo služieb</w:t>
      </w:r>
      <w:r w:rsidR="00070252" w:rsidRPr="00B403CD">
        <w:t>) nezvýši</w:t>
      </w:r>
      <w:r w:rsidR="00D467AA">
        <w:t>a</w:t>
      </w:r>
      <w:r w:rsidR="00070252" w:rsidRPr="00B403CD">
        <w:t>, nejedná sa o projekt vytvárajúci príjem.</w:t>
      </w:r>
    </w:p>
    <w:p w14:paraId="263A6FE0" w14:textId="694FCD1C" w:rsidR="006125E1" w:rsidRPr="00B403CD" w:rsidRDefault="006125E1" w:rsidP="00F26B1B">
      <w:pPr>
        <w:numPr>
          <w:ilvl w:val="0"/>
          <w:numId w:val="37"/>
        </w:numPr>
        <w:jc w:val="both"/>
      </w:pPr>
      <w:r>
        <w:t>Projekty, v prípade ktorých podpora z OP predstavuje štátnu pomoc</w:t>
      </w:r>
      <w:r w:rsidR="009D5C37">
        <w:t>, resp. pomoc de minimis</w:t>
      </w:r>
      <w:r>
        <w:t xml:space="preserve"> (cieľom tejto zmeny je poskytnúť právnu istotu RO a prijímateľom a vyhnúť sa problémom pri</w:t>
      </w:r>
      <w:r w:rsidR="008E5524">
        <w:t> </w:t>
      </w:r>
      <w:r>
        <w:t>kontrolách ex post).</w:t>
      </w:r>
    </w:p>
    <w:p w14:paraId="2AE2B393" w14:textId="77777777" w:rsidR="00070252" w:rsidRPr="006A5294" w:rsidRDefault="009A0FAA" w:rsidP="009A0FAA">
      <w:pPr>
        <w:pStyle w:val="MPCKO1"/>
      </w:pPr>
      <w:bookmarkStart w:id="15" w:name="_Toc406160859"/>
      <w:bookmarkStart w:id="16" w:name="_Toc406160949"/>
      <w:bookmarkStart w:id="17" w:name="_Toc527539361"/>
      <w:r>
        <w:t xml:space="preserve">2 </w:t>
      </w:r>
      <w:r w:rsidR="00070252" w:rsidRPr="006A5294">
        <w:t>Analýza investičných projektov</w:t>
      </w:r>
      <w:bookmarkEnd w:id="15"/>
      <w:bookmarkEnd w:id="16"/>
      <w:bookmarkEnd w:id="17"/>
    </w:p>
    <w:p w14:paraId="560FE804" w14:textId="77777777" w:rsidR="00070252" w:rsidRPr="00B403CD" w:rsidRDefault="00070252" w:rsidP="00070252">
      <w:pPr>
        <w:jc w:val="both"/>
      </w:pPr>
      <w:r w:rsidRPr="00B403CD">
        <w:t>Analýza projektu z finančného a ekonomického hľadiska sa delí na:</w:t>
      </w:r>
    </w:p>
    <w:p w14:paraId="3B44C495" w14:textId="77777777" w:rsidR="00070252" w:rsidRPr="00B403CD" w:rsidRDefault="00070252" w:rsidP="007C2172">
      <w:pPr>
        <w:pStyle w:val="Odsekzoznamu"/>
        <w:numPr>
          <w:ilvl w:val="0"/>
          <w:numId w:val="7"/>
        </w:numPr>
        <w:suppressAutoHyphens/>
        <w:jc w:val="both"/>
      </w:pPr>
      <w:r w:rsidRPr="002F72BC">
        <w:rPr>
          <w:b/>
        </w:rPr>
        <w:t>Finančnú analýzu projektu</w:t>
      </w:r>
      <w:r w:rsidRPr="00B403CD">
        <w:t>, ktorá sa používa pre investičné projekty generujúce príjmy</w:t>
      </w:r>
    </w:p>
    <w:p w14:paraId="58366DE1" w14:textId="77777777" w:rsidR="00070252" w:rsidRPr="00B403CD" w:rsidRDefault="00070252" w:rsidP="007C2172">
      <w:pPr>
        <w:numPr>
          <w:ilvl w:val="0"/>
          <w:numId w:val="7"/>
        </w:numPr>
        <w:suppressAutoHyphens/>
        <w:jc w:val="both"/>
      </w:pPr>
      <w:r w:rsidRPr="00B403CD">
        <w:rPr>
          <w:b/>
        </w:rPr>
        <w:t>Analýzu nákladov a prínosov projektu</w:t>
      </w:r>
      <w:r w:rsidRPr="00B403CD">
        <w:t>, ktorá sa používa pre štrukturálne významné investičné projekty, ktorých dopadom sú ťažko kvantifikovateľné a nekvantifikovateľné efekty. (napr. vytvorenie alebo udržanie pracovných miest, zníženie emisií, zníženie prepravného času atď.</w:t>
      </w:r>
    </w:p>
    <w:p w14:paraId="3B224434" w14:textId="77777777" w:rsidR="00070252" w:rsidRPr="00927C9A" w:rsidRDefault="00070252" w:rsidP="00070252">
      <w:pPr>
        <w:jc w:val="both"/>
        <w:rPr>
          <w:highlight w:val="yellow"/>
        </w:rPr>
      </w:pPr>
    </w:p>
    <w:p w14:paraId="2C9F5536" w14:textId="5B0F4E8F" w:rsidR="00070252" w:rsidRPr="00B403CD" w:rsidRDefault="00070252" w:rsidP="00070252">
      <w:pPr>
        <w:jc w:val="both"/>
      </w:pPr>
      <w:r w:rsidRPr="00B403CD">
        <w:t>Cieľom analýzy projektu je zhodnotiť, či plánovaná investícia je výhodná a oplatí sa ju  realizovať, alebo je investícia nevýhodná a prostriedky je výhodnejšie neinvestovať do</w:t>
      </w:r>
      <w:r w:rsidR="008E5524">
        <w:t> </w:t>
      </w:r>
      <w:r w:rsidRPr="00B403CD">
        <w:t>projektu, resp. investovať ich inak.</w:t>
      </w:r>
    </w:p>
    <w:p w14:paraId="7794B5AE" w14:textId="77777777" w:rsidR="00070252" w:rsidRPr="00B403CD" w:rsidRDefault="00070252" w:rsidP="00070252">
      <w:pPr>
        <w:jc w:val="both"/>
      </w:pPr>
    </w:p>
    <w:p w14:paraId="1F0AD5D7" w14:textId="77777777" w:rsidR="00070252" w:rsidRPr="00B403CD" w:rsidRDefault="00070252" w:rsidP="00070252">
      <w:pPr>
        <w:jc w:val="both"/>
      </w:pPr>
      <w:r w:rsidRPr="00B403CD">
        <w:t xml:space="preserve">Projekty, ktoré vytvárajú príjem v zmysle definície článku. 61, vyžadujú minimálne časť analýzy nákladov a prínosov, a to </w:t>
      </w:r>
      <w:r w:rsidRPr="00B403CD">
        <w:rPr>
          <w:b/>
        </w:rPr>
        <w:t>finančnú analýzu</w:t>
      </w:r>
      <w:r w:rsidRPr="00B403CD">
        <w:t>. Finančná analýza je základným predpokladom pre overenie, či je potrebné projekt spolufinancovať a je tiež východiskom pre posúdenie udržateľnosti projektu, tj. či je na projekt zabezpečený dostatok finančných zdrojov.</w:t>
      </w:r>
    </w:p>
    <w:p w14:paraId="7DBA55DE" w14:textId="77777777" w:rsidR="00070252" w:rsidRPr="00B403CD" w:rsidRDefault="00070252" w:rsidP="00070252">
      <w:pPr>
        <w:jc w:val="both"/>
      </w:pPr>
    </w:p>
    <w:p w14:paraId="707D31C3" w14:textId="77777777" w:rsidR="00070252" w:rsidRPr="00B403CD" w:rsidRDefault="00070252" w:rsidP="00070252">
      <w:pPr>
        <w:jc w:val="both"/>
      </w:pPr>
      <w:r w:rsidRPr="00B403CD">
        <w:t>Pri štrukturálnych fondoch/Kohéznom fonde sa na základe finančnej analýzy projektu posudzujú dve alternatívy projektu:</w:t>
      </w:r>
    </w:p>
    <w:p w14:paraId="0DEAF975" w14:textId="754597DE" w:rsidR="00070252" w:rsidRPr="00B403CD" w:rsidRDefault="00070252" w:rsidP="008D34EF">
      <w:pPr>
        <w:pStyle w:val="Odsekzoznamu"/>
        <w:numPr>
          <w:ilvl w:val="0"/>
          <w:numId w:val="18"/>
        </w:numPr>
        <w:suppressAutoHyphens/>
        <w:jc w:val="both"/>
      </w:pPr>
      <w:r w:rsidRPr="002F72BC">
        <w:rPr>
          <w:b/>
        </w:rPr>
        <w:t>Alternatíva A</w:t>
      </w:r>
      <w:r w:rsidRPr="00B403CD">
        <w:t xml:space="preserve"> predstavuje takú situáciu, keď bude projekt realizovaný bez</w:t>
      </w:r>
      <w:r w:rsidR="008E5524">
        <w:t> </w:t>
      </w:r>
      <w:r w:rsidRPr="00B403CD">
        <w:t xml:space="preserve">príspevku z </w:t>
      </w:r>
      <w:r w:rsidR="00BE0387">
        <w:t>EŠIF</w:t>
      </w:r>
      <w:r w:rsidRPr="00B403CD">
        <w:t>, inými slovami, teda projekt nebude schválený a jeho financovanie bude realizované zo súkromných zdrojov/verejných zdrojov.</w:t>
      </w:r>
    </w:p>
    <w:p w14:paraId="0A70BB79" w14:textId="77777777" w:rsidR="00070252" w:rsidRPr="00B403CD" w:rsidRDefault="00070252" w:rsidP="00070252">
      <w:pPr>
        <w:ind w:left="360"/>
        <w:jc w:val="both"/>
      </w:pPr>
    </w:p>
    <w:p w14:paraId="21D4CCC1" w14:textId="77777777" w:rsidR="00070252" w:rsidRPr="00B403CD" w:rsidRDefault="00070252" w:rsidP="008D34EF">
      <w:pPr>
        <w:pStyle w:val="Odsekzoznamu"/>
        <w:numPr>
          <w:ilvl w:val="0"/>
          <w:numId w:val="18"/>
        </w:numPr>
        <w:suppressAutoHyphens/>
        <w:jc w:val="both"/>
      </w:pPr>
      <w:r w:rsidRPr="002F72BC">
        <w:rPr>
          <w:b/>
        </w:rPr>
        <w:t>Alternatíva B</w:t>
      </w:r>
      <w:r w:rsidRPr="00B403CD">
        <w:t xml:space="preserve"> predstavuje takú situáciu, keď projekt bude schválený a financovaný z EŠIF. </w:t>
      </w:r>
    </w:p>
    <w:p w14:paraId="7BBFB9A3" w14:textId="77777777" w:rsidR="00070252" w:rsidRPr="006A5294" w:rsidRDefault="006A5294" w:rsidP="008E5524">
      <w:pPr>
        <w:pStyle w:val="MPCKO2"/>
      </w:pPr>
      <w:bookmarkStart w:id="18" w:name="_Toc406160860"/>
      <w:bookmarkStart w:id="19" w:name="_Toc406160950"/>
      <w:bookmarkStart w:id="20" w:name="_Toc527539362"/>
      <w:r w:rsidRPr="006A5294">
        <w:lastRenderedPageBreak/>
        <w:t>2</w:t>
      </w:r>
      <w:r w:rsidR="00070252" w:rsidRPr="006A5294">
        <w:t>.1 Finančná analýza projektu</w:t>
      </w:r>
      <w:bookmarkEnd w:id="18"/>
      <w:bookmarkEnd w:id="19"/>
      <w:bookmarkEnd w:id="20"/>
    </w:p>
    <w:p w14:paraId="0541A4E5" w14:textId="77777777" w:rsidR="00070252" w:rsidRPr="00927C9A" w:rsidRDefault="00070252" w:rsidP="0056666E">
      <w:pPr>
        <w:keepNext/>
        <w:rPr>
          <w:highlight w:val="yellow"/>
        </w:rPr>
      </w:pPr>
    </w:p>
    <w:p w14:paraId="425F9046" w14:textId="77777777" w:rsidR="00070252" w:rsidRPr="00B403CD" w:rsidRDefault="00070252" w:rsidP="00B403CD">
      <w:pPr>
        <w:autoSpaceDE w:val="0"/>
        <w:autoSpaceDN w:val="0"/>
        <w:adjustRightInd w:val="0"/>
        <w:jc w:val="both"/>
        <w:rPr>
          <w:color w:val="000000"/>
        </w:rPr>
      </w:pPr>
      <w:r w:rsidRPr="00B403CD">
        <w:rPr>
          <w:color w:val="000000"/>
        </w:rPr>
        <w:t>Finančná analýza musí obsahovať:</w:t>
      </w:r>
    </w:p>
    <w:p w14:paraId="672EB846" w14:textId="77777777" w:rsidR="00070252" w:rsidRPr="00B403CD" w:rsidRDefault="00070252" w:rsidP="00B403CD">
      <w:pPr>
        <w:pStyle w:val="Point0"/>
      </w:pPr>
      <w:r w:rsidRPr="00B403CD">
        <w:t>a)</w:t>
      </w:r>
      <w:r w:rsidRPr="00B403CD">
        <w:tab/>
        <w:t>posúdenie finančnej ziskovosti investície a národného kapitálu</w:t>
      </w:r>
      <w:r w:rsidR="00E81FB9">
        <w:rPr>
          <w:rStyle w:val="Odkaznapoznmkupodiarou"/>
        </w:rPr>
        <w:footnoteReference w:id="2"/>
      </w:r>
      <w:r w:rsidRPr="00B403CD">
        <w:t>;</w:t>
      </w:r>
    </w:p>
    <w:p w14:paraId="06605663" w14:textId="77777777" w:rsidR="00070252" w:rsidRPr="00B403CD" w:rsidRDefault="00070252" w:rsidP="00B403CD">
      <w:pPr>
        <w:pStyle w:val="Point0"/>
      </w:pPr>
      <w:r w:rsidRPr="00B403CD">
        <w:t>b)</w:t>
      </w:r>
      <w:r w:rsidRPr="00B403CD">
        <w:tab/>
        <w:t>určenie vhodného (maximálneho) príspevku z fondov;</w:t>
      </w:r>
    </w:p>
    <w:p w14:paraId="38DEB83B" w14:textId="77777777" w:rsidR="00070252" w:rsidRPr="00B403CD" w:rsidRDefault="00070252" w:rsidP="00B403CD">
      <w:pPr>
        <w:pStyle w:val="Point0"/>
      </w:pPr>
      <w:r w:rsidRPr="00B403CD">
        <w:t>c)</w:t>
      </w:r>
      <w:r w:rsidRPr="00B403CD">
        <w:tab/>
        <w:t>overenie finančnej životaschopnosti (udržateľnosti) projektu.</w:t>
      </w:r>
    </w:p>
    <w:p w14:paraId="534E85FA" w14:textId="77777777" w:rsidR="00070252" w:rsidRPr="00B403CD" w:rsidRDefault="00070252" w:rsidP="00B403CD">
      <w:pPr>
        <w:keepLines/>
        <w:jc w:val="both"/>
      </w:pPr>
      <w:r w:rsidRPr="00B403CD">
        <w:rPr>
          <w:b/>
        </w:rPr>
        <w:t>Finančná analýza</w:t>
      </w:r>
      <w:r w:rsidRPr="00B403CD">
        <w:t xml:space="preserve"> by sa mala, pokiaľ je to možné a vhodné, vypracovať </w:t>
      </w:r>
      <w:r w:rsidRPr="00B403CD">
        <w:rPr>
          <w:b/>
        </w:rPr>
        <w:t>z hľadiska vlastníka projektu</w:t>
      </w:r>
      <w:r w:rsidRPr="00B403CD">
        <w:t xml:space="preserve"> a/alebo prevádzkovateľa, čo umožní overiť peňažné toky a zaručiť kladný hotovostný zostatok s cieľom overiť finančnú udržateľnosť a vypočítať indexy finančnej návratnosti investičného projektu a kapitálu na základe diskontovaných peňažných tokov.</w:t>
      </w:r>
    </w:p>
    <w:p w14:paraId="067699CC" w14:textId="77777777" w:rsidR="00070252" w:rsidRPr="00B403CD" w:rsidRDefault="00070252" w:rsidP="00B403CD">
      <w:pPr>
        <w:jc w:val="both"/>
      </w:pPr>
    </w:p>
    <w:p w14:paraId="0EF6CFA6" w14:textId="77777777" w:rsidR="00070252" w:rsidRPr="00B403CD" w:rsidRDefault="00070252" w:rsidP="00B403CD">
      <w:pPr>
        <w:jc w:val="both"/>
      </w:pPr>
      <w:r w:rsidRPr="00B403CD">
        <w:t>Základný postup pri finančnej analýze projektu sa vykonáva v nasledujúcich krokoch:</w:t>
      </w:r>
    </w:p>
    <w:p w14:paraId="2D88D10C" w14:textId="77777777" w:rsidR="00070252" w:rsidRPr="00B403CD" w:rsidRDefault="00070252" w:rsidP="007C2172">
      <w:pPr>
        <w:numPr>
          <w:ilvl w:val="0"/>
          <w:numId w:val="4"/>
        </w:numPr>
        <w:suppressAutoHyphens/>
        <w:jc w:val="both"/>
      </w:pPr>
      <w:r w:rsidRPr="00B403CD">
        <w:t>Zistí sa rozdiel medzi príjmami z prevádzky a výdavkami na prevádzku. Ide o tú časť príjmov, ktoré po uhradení prevádzkových výdavkov zostanú k dispozícii na úhradu investičných výdavkov.</w:t>
      </w:r>
    </w:p>
    <w:p w14:paraId="74C8869C" w14:textId="77777777" w:rsidR="00070252" w:rsidRPr="00B403CD" w:rsidRDefault="00070252" w:rsidP="007C2172">
      <w:pPr>
        <w:numPr>
          <w:ilvl w:val="0"/>
          <w:numId w:val="4"/>
        </w:numPr>
        <w:suppressAutoHyphens/>
        <w:jc w:val="both"/>
      </w:pPr>
      <w:r w:rsidRPr="00B403CD">
        <w:t xml:space="preserve">Vyššie uvedený rozdiel, o ktorý príjmy z prevádzky </w:t>
      </w:r>
      <w:r w:rsidR="00B403CD">
        <w:t xml:space="preserve">prevyšujú výdavky na prevádzku </w:t>
      </w:r>
      <w:r w:rsidRPr="00B403CD">
        <w:t>sa nazýva  „čistý príjem “. Tento sa porovná s výškou investičných výdavkov.</w:t>
      </w:r>
    </w:p>
    <w:p w14:paraId="4BE0F2ED" w14:textId="77777777" w:rsidR="00070252" w:rsidRPr="00B403CD" w:rsidRDefault="00070252" w:rsidP="007C2172">
      <w:pPr>
        <w:numPr>
          <w:ilvl w:val="0"/>
          <w:numId w:val="4"/>
        </w:numPr>
        <w:suppressAutoHyphens/>
        <w:jc w:val="both"/>
      </w:pPr>
      <w:r w:rsidRPr="00B403CD">
        <w:t>Ak čistý príjem prevyšuje investičné výdavky, projekt je ziskový a dokáže si na seba „zarobiť“. V tom prípade nepotrebuje nenávratný finančný príspevok.</w:t>
      </w:r>
    </w:p>
    <w:p w14:paraId="0FD44970" w14:textId="77777777" w:rsidR="00070252" w:rsidRPr="00B403CD" w:rsidRDefault="00070252" w:rsidP="00B403CD">
      <w:pPr>
        <w:jc w:val="both"/>
      </w:pPr>
    </w:p>
    <w:p w14:paraId="5E121145" w14:textId="09E00A46" w:rsidR="00070252" w:rsidRDefault="00070252" w:rsidP="00B403CD">
      <w:pPr>
        <w:jc w:val="both"/>
      </w:pPr>
      <w:r w:rsidRPr="00B403CD">
        <w:t>Ak čistý príjem nedokáže v plnej miere pokryť investičné výdavky,  vznikne tzv. medzera vo</w:t>
      </w:r>
      <w:r w:rsidR="008E5524">
        <w:t> </w:t>
      </w:r>
      <w:r w:rsidRPr="00B403CD">
        <w:t>financovaní. Je preto potrebné zabezpečiť dodatočné zdroje na financovanie projektu, v opačnom prípade by bol projekt pre žiadateľa stratový. Toto dodatočné dofinancovanie projektu je preto zabezpečené z nenávratného finančného príspevku.</w:t>
      </w:r>
    </w:p>
    <w:p w14:paraId="762D7E1F" w14:textId="77777777" w:rsidR="00070252" w:rsidRPr="006A5294" w:rsidRDefault="006A5294" w:rsidP="006A5294">
      <w:pPr>
        <w:pStyle w:val="MPCKO3"/>
      </w:pPr>
      <w:bookmarkStart w:id="21" w:name="_Toc527539363"/>
      <w:r w:rsidRPr="006A5294">
        <w:t>2</w:t>
      </w:r>
      <w:r w:rsidR="00070252" w:rsidRPr="006A5294">
        <w:t>.1.1 Určenie referenčného obdobia</w:t>
      </w:r>
      <w:bookmarkEnd w:id="21"/>
    </w:p>
    <w:p w14:paraId="4A4C6758" w14:textId="77777777" w:rsidR="00130E2B" w:rsidRDefault="00130E2B" w:rsidP="00070252">
      <w:pPr>
        <w:jc w:val="both"/>
        <w:rPr>
          <w:highlight w:val="yellow"/>
        </w:rPr>
      </w:pPr>
    </w:p>
    <w:p w14:paraId="70256D03" w14:textId="77777777" w:rsidR="00070252" w:rsidRPr="00B403CD" w:rsidRDefault="00070252" w:rsidP="00070252">
      <w:pPr>
        <w:jc w:val="both"/>
      </w:pPr>
      <w:r w:rsidRPr="00B403CD">
        <w:t xml:space="preserve">Referenčné obdobie je počet rokov, na ktorý sa vo finančnej analýze (analýze nákladov a výnosov) uvádzajú predpovede. Predpovede týkajúce sa budúceho trendu projektu by sa mali formulovať na obdobie, ktoré je primerané jeho ekonomicky užitočnému trvaniu a ktoré je dosť dlhé na to, aby zahŕňalo jeho pravdepodobné dlhodobejšie dosahy. Ide o časové obdobie, kedy je možné overiť úspešnosť investície. Trvanie sa mení podľa povahy investície. Referenčný časový horizont v rokoch podľa sektorov je uvedený podľa prílohy 1 Delegovaného nariadenia Komisie (EÚ) 480/2014 z 3. </w:t>
      </w:r>
      <w:r w:rsidR="00F24515">
        <w:t>m</w:t>
      </w:r>
      <w:r w:rsidRPr="00B403CD">
        <w:t xml:space="preserve">arca 2014, ktorým sa dopĺňa všeobecné nariadenie. </w:t>
      </w:r>
      <w:r w:rsidRPr="00B403CD">
        <w:rPr>
          <w:b/>
        </w:rPr>
        <w:t>Jedná sa o konečné určenie referenčného obdobia, od ktorých sa riadiaci orgán nesmie odchýliť</w:t>
      </w:r>
      <w:r w:rsidRPr="00B403CD">
        <w:t>:</w:t>
      </w:r>
    </w:p>
    <w:p w14:paraId="66D40852" w14:textId="77777777" w:rsidR="00070252" w:rsidRPr="00323DF7" w:rsidRDefault="00070252" w:rsidP="00070252">
      <w:pPr>
        <w:jc w:val="both"/>
        <w:rPr>
          <w:highlight w:val="yellow"/>
        </w:rPr>
      </w:pPr>
    </w:p>
    <w:p w14:paraId="6F5011EB" w14:textId="77777777" w:rsidR="00070252" w:rsidRPr="00B403CD" w:rsidRDefault="00070252" w:rsidP="00070252">
      <w:pPr>
        <w:jc w:val="both"/>
      </w:pPr>
      <w:r w:rsidRPr="00B403CD">
        <w:t>Tab. Referenčné obdobia</w:t>
      </w:r>
    </w:p>
    <w:p w14:paraId="6DCC664B" w14:textId="77777777" w:rsidR="00070252" w:rsidRPr="00323DF7" w:rsidRDefault="00070252" w:rsidP="00070252">
      <w:pPr>
        <w:jc w:val="both"/>
        <w:rPr>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6"/>
      </w:tblGrid>
      <w:tr w:rsidR="00070252" w:rsidRPr="000C09FD" w14:paraId="1B51F2CA" w14:textId="77777777" w:rsidTr="0056666E">
        <w:tc>
          <w:tcPr>
            <w:tcW w:w="4606" w:type="dxa"/>
            <w:shd w:val="clear" w:color="auto" w:fill="C6D9F1" w:themeFill="text2" w:themeFillTint="33"/>
          </w:tcPr>
          <w:p w14:paraId="557D4A40" w14:textId="77777777" w:rsidR="00070252" w:rsidRPr="000C09FD" w:rsidRDefault="00070252" w:rsidP="006A5294">
            <w:pPr>
              <w:jc w:val="center"/>
            </w:pPr>
            <w:r w:rsidRPr="000C09FD">
              <w:t>Sektor</w:t>
            </w:r>
          </w:p>
        </w:tc>
        <w:tc>
          <w:tcPr>
            <w:tcW w:w="4606" w:type="dxa"/>
            <w:shd w:val="clear" w:color="auto" w:fill="C6D9F1" w:themeFill="text2" w:themeFillTint="33"/>
          </w:tcPr>
          <w:p w14:paraId="42964E98" w14:textId="77777777" w:rsidR="00070252" w:rsidRPr="000C09FD" w:rsidRDefault="00070252" w:rsidP="006A5294">
            <w:pPr>
              <w:jc w:val="center"/>
            </w:pPr>
            <w:r w:rsidRPr="000C09FD">
              <w:t>Referenčné obdobie</w:t>
            </w:r>
          </w:p>
        </w:tc>
      </w:tr>
      <w:tr w:rsidR="00070252" w:rsidRPr="000C09FD" w14:paraId="0129EB57" w14:textId="77777777" w:rsidTr="0056666E">
        <w:tc>
          <w:tcPr>
            <w:tcW w:w="4606" w:type="dxa"/>
            <w:shd w:val="clear" w:color="auto" w:fill="auto"/>
          </w:tcPr>
          <w:p w14:paraId="31DBF37E" w14:textId="77777777" w:rsidR="00070252" w:rsidRPr="000C09FD" w:rsidRDefault="00070252" w:rsidP="006A5294">
            <w:pPr>
              <w:jc w:val="both"/>
            </w:pPr>
            <w:r w:rsidRPr="000C09FD">
              <w:t>Prístavy a letiská</w:t>
            </w:r>
          </w:p>
        </w:tc>
        <w:tc>
          <w:tcPr>
            <w:tcW w:w="4606" w:type="dxa"/>
            <w:shd w:val="clear" w:color="auto" w:fill="auto"/>
          </w:tcPr>
          <w:p w14:paraId="5E1906E2" w14:textId="77777777" w:rsidR="00070252" w:rsidRPr="000C09FD" w:rsidRDefault="00070252" w:rsidP="006A5294">
            <w:pPr>
              <w:jc w:val="both"/>
            </w:pPr>
            <w:r w:rsidRPr="000C09FD">
              <w:t>25</w:t>
            </w:r>
          </w:p>
        </w:tc>
      </w:tr>
      <w:tr w:rsidR="00070252" w:rsidRPr="000C09FD" w14:paraId="56BC9B5F" w14:textId="77777777" w:rsidTr="0056666E">
        <w:tc>
          <w:tcPr>
            <w:tcW w:w="4606" w:type="dxa"/>
            <w:shd w:val="clear" w:color="auto" w:fill="auto"/>
          </w:tcPr>
          <w:p w14:paraId="403616E9" w14:textId="77777777" w:rsidR="00070252" w:rsidRPr="000C09FD" w:rsidRDefault="00070252" w:rsidP="006A5294">
            <w:pPr>
              <w:jc w:val="both"/>
            </w:pPr>
            <w:r w:rsidRPr="000C09FD">
              <w:t>Železnice</w:t>
            </w:r>
          </w:p>
        </w:tc>
        <w:tc>
          <w:tcPr>
            <w:tcW w:w="4606" w:type="dxa"/>
            <w:shd w:val="clear" w:color="auto" w:fill="auto"/>
          </w:tcPr>
          <w:p w14:paraId="7619CC39" w14:textId="77777777" w:rsidR="00070252" w:rsidRPr="000C09FD" w:rsidRDefault="00070252" w:rsidP="006A5294">
            <w:pPr>
              <w:jc w:val="both"/>
            </w:pPr>
            <w:r w:rsidRPr="000C09FD">
              <w:t>30</w:t>
            </w:r>
          </w:p>
        </w:tc>
      </w:tr>
      <w:tr w:rsidR="00070252" w:rsidRPr="000C09FD" w14:paraId="5AABB0D0" w14:textId="77777777" w:rsidTr="0056666E">
        <w:tc>
          <w:tcPr>
            <w:tcW w:w="4606" w:type="dxa"/>
            <w:shd w:val="clear" w:color="auto" w:fill="auto"/>
          </w:tcPr>
          <w:p w14:paraId="1CA15E4F" w14:textId="77777777" w:rsidR="00070252" w:rsidRPr="000C09FD" w:rsidRDefault="00070252" w:rsidP="006A5294">
            <w:pPr>
              <w:jc w:val="both"/>
            </w:pPr>
            <w:r w:rsidRPr="000C09FD">
              <w:t>Pozemné komunikácie</w:t>
            </w:r>
          </w:p>
        </w:tc>
        <w:tc>
          <w:tcPr>
            <w:tcW w:w="4606" w:type="dxa"/>
            <w:shd w:val="clear" w:color="auto" w:fill="auto"/>
          </w:tcPr>
          <w:p w14:paraId="75ABCB85" w14:textId="77777777" w:rsidR="00070252" w:rsidRPr="000C09FD" w:rsidRDefault="00070252" w:rsidP="006A5294">
            <w:pPr>
              <w:jc w:val="both"/>
            </w:pPr>
            <w:r w:rsidRPr="000C09FD">
              <w:t>25-30</w:t>
            </w:r>
          </w:p>
        </w:tc>
      </w:tr>
      <w:tr w:rsidR="00070252" w:rsidRPr="000C09FD" w14:paraId="7B1ABA02" w14:textId="77777777" w:rsidTr="0056666E">
        <w:tc>
          <w:tcPr>
            <w:tcW w:w="4606" w:type="dxa"/>
            <w:shd w:val="clear" w:color="auto" w:fill="auto"/>
          </w:tcPr>
          <w:p w14:paraId="07AB1360" w14:textId="77777777" w:rsidR="00070252" w:rsidRPr="000C09FD" w:rsidRDefault="00070252" w:rsidP="006A5294">
            <w:pPr>
              <w:jc w:val="both"/>
            </w:pPr>
            <w:r w:rsidRPr="000C09FD">
              <w:t>Odpadové hospodárstvo</w:t>
            </w:r>
          </w:p>
        </w:tc>
        <w:tc>
          <w:tcPr>
            <w:tcW w:w="4606" w:type="dxa"/>
            <w:shd w:val="clear" w:color="auto" w:fill="auto"/>
          </w:tcPr>
          <w:p w14:paraId="49130E5C" w14:textId="77777777" w:rsidR="00070252" w:rsidRPr="000C09FD" w:rsidRDefault="00070252" w:rsidP="006A5294">
            <w:pPr>
              <w:jc w:val="both"/>
            </w:pPr>
            <w:r w:rsidRPr="000C09FD">
              <w:t>25-30</w:t>
            </w:r>
          </w:p>
        </w:tc>
      </w:tr>
      <w:tr w:rsidR="00070252" w:rsidRPr="000C09FD" w14:paraId="15A353F0" w14:textId="77777777" w:rsidTr="0056666E">
        <w:tc>
          <w:tcPr>
            <w:tcW w:w="4606" w:type="dxa"/>
            <w:shd w:val="clear" w:color="auto" w:fill="auto"/>
          </w:tcPr>
          <w:p w14:paraId="4B5ECFB8" w14:textId="77777777" w:rsidR="00070252" w:rsidRPr="000C09FD" w:rsidRDefault="00070252" w:rsidP="006A5294">
            <w:pPr>
              <w:jc w:val="both"/>
            </w:pPr>
            <w:r w:rsidRPr="000C09FD">
              <w:lastRenderedPageBreak/>
              <w:t>Výskum a inovácie</w:t>
            </w:r>
          </w:p>
        </w:tc>
        <w:tc>
          <w:tcPr>
            <w:tcW w:w="4606" w:type="dxa"/>
            <w:shd w:val="clear" w:color="auto" w:fill="auto"/>
          </w:tcPr>
          <w:p w14:paraId="0F539C64" w14:textId="77777777" w:rsidR="00070252" w:rsidRPr="000C09FD" w:rsidRDefault="00070252" w:rsidP="006A5294">
            <w:pPr>
              <w:jc w:val="both"/>
            </w:pPr>
            <w:r w:rsidRPr="000C09FD">
              <w:t>15-25</w:t>
            </w:r>
          </w:p>
        </w:tc>
      </w:tr>
      <w:tr w:rsidR="00070252" w:rsidRPr="000C09FD" w14:paraId="5A941155" w14:textId="77777777" w:rsidTr="0056666E">
        <w:tc>
          <w:tcPr>
            <w:tcW w:w="4606" w:type="dxa"/>
            <w:shd w:val="clear" w:color="auto" w:fill="auto"/>
          </w:tcPr>
          <w:p w14:paraId="35D7ED17" w14:textId="77777777" w:rsidR="00070252" w:rsidRPr="000C09FD" w:rsidRDefault="00070252" w:rsidP="006A5294">
            <w:pPr>
              <w:jc w:val="both"/>
            </w:pPr>
            <w:r w:rsidRPr="000C09FD">
              <w:t>Širokopásmové siete</w:t>
            </w:r>
          </w:p>
        </w:tc>
        <w:tc>
          <w:tcPr>
            <w:tcW w:w="4606" w:type="dxa"/>
            <w:shd w:val="clear" w:color="auto" w:fill="auto"/>
          </w:tcPr>
          <w:p w14:paraId="37AF4919" w14:textId="77777777" w:rsidR="00070252" w:rsidRPr="000C09FD" w:rsidRDefault="00070252" w:rsidP="006A5294">
            <w:pPr>
              <w:jc w:val="both"/>
            </w:pPr>
            <w:r w:rsidRPr="000C09FD">
              <w:t>15-20</w:t>
            </w:r>
          </w:p>
        </w:tc>
      </w:tr>
      <w:tr w:rsidR="00070252" w:rsidRPr="000C09FD" w14:paraId="61E18F38" w14:textId="77777777" w:rsidTr="0056666E">
        <w:tc>
          <w:tcPr>
            <w:tcW w:w="4606" w:type="dxa"/>
            <w:shd w:val="clear" w:color="auto" w:fill="auto"/>
          </w:tcPr>
          <w:p w14:paraId="7D69CE21" w14:textId="77777777" w:rsidR="00070252" w:rsidRPr="000C09FD" w:rsidRDefault="00070252" w:rsidP="006A5294">
            <w:pPr>
              <w:jc w:val="both"/>
            </w:pPr>
            <w:r w:rsidRPr="000C09FD">
              <w:t>Podnikateľská infraštruktúra</w:t>
            </w:r>
          </w:p>
        </w:tc>
        <w:tc>
          <w:tcPr>
            <w:tcW w:w="4606" w:type="dxa"/>
            <w:shd w:val="clear" w:color="auto" w:fill="auto"/>
          </w:tcPr>
          <w:p w14:paraId="5F15C98A" w14:textId="77777777" w:rsidR="00070252" w:rsidRPr="000C09FD" w:rsidRDefault="00070252" w:rsidP="006A5294">
            <w:pPr>
              <w:jc w:val="both"/>
            </w:pPr>
            <w:r w:rsidRPr="000C09FD">
              <w:t>10-15</w:t>
            </w:r>
          </w:p>
        </w:tc>
      </w:tr>
      <w:tr w:rsidR="00070252" w:rsidRPr="000C09FD" w14:paraId="35E3EA8C" w14:textId="77777777" w:rsidTr="0056666E">
        <w:tc>
          <w:tcPr>
            <w:tcW w:w="4606" w:type="dxa"/>
            <w:shd w:val="clear" w:color="auto" w:fill="auto"/>
          </w:tcPr>
          <w:p w14:paraId="25403A40" w14:textId="77777777" w:rsidR="00070252" w:rsidRPr="000C09FD" w:rsidRDefault="00070252" w:rsidP="006A5294">
            <w:pPr>
              <w:jc w:val="both"/>
            </w:pPr>
            <w:r w:rsidRPr="000C09FD">
              <w:t>Energie</w:t>
            </w:r>
          </w:p>
        </w:tc>
        <w:tc>
          <w:tcPr>
            <w:tcW w:w="4606" w:type="dxa"/>
            <w:shd w:val="clear" w:color="auto" w:fill="auto"/>
          </w:tcPr>
          <w:p w14:paraId="2C077A19" w14:textId="77777777" w:rsidR="00070252" w:rsidRPr="000C09FD" w:rsidRDefault="00070252" w:rsidP="006A5294">
            <w:pPr>
              <w:jc w:val="both"/>
            </w:pPr>
            <w:r w:rsidRPr="000C09FD">
              <w:t>15-25</w:t>
            </w:r>
          </w:p>
        </w:tc>
      </w:tr>
      <w:tr w:rsidR="00070252" w:rsidRPr="000C09FD" w14:paraId="132FA133" w14:textId="77777777" w:rsidTr="0056666E">
        <w:tc>
          <w:tcPr>
            <w:tcW w:w="4606" w:type="dxa"/>
            <w:shd w:val="clear" w:color="auto" w:fill="auto"/>
          </w:tcPr>
          <w:p w14:paraId="03A9D20F" w14:textId="77777777" w:rsidR="00070252" w:rsidRPr="000C09FD" w:rsidRDefault="00070252" w:rsidP="006A5294">
            <w:pPr>
              <w:jc w:val="both"/>
            </w:pPr>
            <w:r w:rsidRPr="000C09FD">
              <w:t>Dodávky vody/čistenie vody</w:t>
            </w:r>
          </w:p>
        </w:tc>
        <w:tc>
          <w:tcPr>
            <w:tcW w:w="4606" w:type="dxa"/>
            <w:shd w:val="clear" w:color="auto" w:fill="auto"/>
          </w:tcPr>
          <w:p w14:paraId="24EC2AB8" w14:textId="77777777" w:rsidR="00070252" w:rsidRPr="000C09FD" w:rsidRDefault="00070252" w:rsidP="006A5294">
            <w:pPr>
              <w:jc w:val="both"/>
            </w:pPr>
            <w:r w:rsidRPr="000C09FD">
              <w:t>30</w:t>
            </w:r>
          </w:p>
        </w:tc>
      </w:tr>
      <w:tr w:rsidR="00070252" w:rsidRPr="000C09FD" w14:paraId="5328F885" w14:textId="77777777" w:rsidTr="0056666E">
        <w:tc>
          <w:tcPr>
            <w:tcW w:w="4606" w:type="dxa"/>
            <w:shd w:val="clear" w:color="auto" w:fill="auto"/>
          </w:tcPr>
          <w:p w14:paraId="2547D887" w14:textId="77777777" w:rsidR="00070252" w:rsidRPr="000C09FD" w:rsidRDefault="00070252" w:rsidP="006A5294">
            <w:pPr>
              <w:jc w:val="both"/>
            </w:pPr>
            <w:r w:rsidRPr="000C09FD">
              <w:t>Mestská doprava</w:t>
            </w:r>
          </w:p>
        </w:tc>
        <w:tc>
          <w:tcPr>
            <w:tcW w:w="4606" w:type="dxa"/>
            <w:shd w:val="clear" w:color="auto" w:fill="auto"/>
          </w:tcPr>
          <w:p w14:paraId="504A72F5" w14:textId="77777777" w:rsidR="00070252" w:rsidRPr="000C09FD" w:rsidRDefault="00070252" w:rsidP="006A5294">
            <w:pPr>
              <w:jc w:val="both"/>
            </w:pPr>
            <w:r w:rsidRPr="000C09FD">
              <w:t>25-30</w:t>
            </w:r>
          </w:p>
        </w:tc>
      </w:tr>
      <w:tr w:rsidR="00070252" w:rsidRPr="000C09FD" w14:paraId="73BD2B88" w14:textId="77777777" w:rsidTr="0056666E">
        <w:tc>
          <w:tcPr>
            <w:tcW w:w="4606" w:type="dxa"/>
            <w:shd w:val="clear" w:color="auto" w:fill="auto"/>
          </w:tcPr>
          <w:p w14:paraId="65D2E626" w14:textId="77777777" w:rsidR="00070252" w:rsidRPr="000C09FD" w:rsidRDefault="00070252" w:rsidP="006A5294">
            <w:pPr>
              <w:jc w:val="both"/>
            </w:pPr>
            <w:r w:rsidRPr="000C09FD">
              <w:t>Ostatné sektory</w:t>
            </w:r>
          </w:p>
        </w:tc>
        <w:tc>
          <w:tcPr>
            <w:tcW w:w="4606" w:type="dxa"/>
            <w:shd w:val="clear" w:color="auto" w:fill="auto"/>
          </w:tcPr>
          <w:p w14:paraId="66D425DB" w14:textId="77777777" w:rsidR="00070252" w:rsidRPr="000C09FD" w:rsidRDefault="00070252" w:rsidP="006A5294">
            <w:pPr>
              <w:jc w:val="both"/>
            </w:pPr>
            <w:r w:rsidRPr="000C09FD">
              <w:t>10-15</w:t>
            </w:r>
          </w:p>
        </w:tc>
      </w:tr>
    </w:tbl>
    <w:p w14:paraId="3B3BEC9A" w14:textId="77777777" w:rsidR="00070252" w:rsidRPr="00323DF7" w:rsidRDefault="00070252" w:rsidP="00070252">
      <w:pPr>
        <w:jc w:val="both"/>
        <w:rPr>
          <w:highlight w:val="yellow"/>
        </w:rPr>
      </w:pPr>
    </w:p>
    <w:p w14:paraId="04F0B4E1" w14:textId="77777777" w:rsidR="00B403CD" w:rsidRDefault="00070252" w:rsidP="00B403CD">
      <w:pPr>
        <w:jc w:val="both"/>
      </w:pPr>
      <w:r w:rsidRPr="00B403CD">
        <w:t>Pri zoskupení (t. j. pripočítaní alebo odpočítaní) peňažných tokov, ktoré vznikli v rôznych rokoch, sa musí zohľadniť časová hodnota peňazí. Budúce peňažné toky sa preto redukujú s prihliadnutím na súčasnosť pomocou diskontného faktora klesajúceho s časom, ktorého veľkosť je stanovená výberom diskontnej sadzby, ktorá sa má použiť v analýze diskontovaného peňažného toku.</w:t>
      </w:r>
    </w:p>
    <w:p w14:paraId="2157C28E" w14:textId="77777777" w:rsidR="00070252" w:rsidRPr="006A5294" w:rsidRDefault="006A5294" w:rsidP="006A5294">
      <w:pPr>
        <w:pStyle w:val="MPCKO3"/>
      </w:pPr>
      <w:bookmarkStart w:id="22" w:name="_Toc527539364"/>
      <w:r>
        <w:t>2</w:t>
      </w:r>
      <w:r w:rsidR="00070252" w:rsidRPr="006A5294">
        <w:t>.1.2 Stanovenie diskontnej miery</w:t>
      </w:r>
      <w:bookmarkEnd w:id="22"/>
    </w:p>
    <w:p w14:paraId="3ECF7882" w14:textId="77777777" w:rsidR="00130E2B" w:rsidRDefault="00130E2B" w:rsidP="00070252">
      <w:pPr>
        <w:jc w:val="both"/>
        <w:rPr>
          <w:highlight w:val="yellow"/>
        </w:rPr>
      </w:pPr>
    </w:p>
    <w:p w14:paraId="384EF289" w14:textId="77777777" w:rsidR="00070252" w:rsidRDefault="00070252" w:rsidP="00070252">
      <w:pPr>
        <w:jc w:val="both"/>
      </w:pPr>
      <w:r w:rsidRPr="00B403CD">
        <w:t>Diskontná sadzba, ktorá sa má používať vo finančnej analýze má informovať investora o alternatívnych kapitálových nákladoch. Môže sa za ňu považovať ušlý výnos najlepšieho alternatívneho projektu.</w:t>
      </w:r>
    </w:p>
    <w:p w14:paraId="47BB4D68" w14:textId="77777777" w:rsidR="00070252" w:rsidRDefault="00070252" w:rsidP="00070252">
      <w:pPr>
        <w:jc w:val="both"/>
      </w:pPr>
    </w:p>
    <w:p w14:paraId="77956E3D" w14:textId="77777777" w:rsidR="00070252" w:rsidRPr="00B403CD" w:rsidRDefault="00070252" w:rsidP="00070252">
      <w:pPr>
        <w:jc w:val="both"/>
      </w:pPr>
      <w:r w:rsidRPr="00B403CD">
        <w:t xml:space="preserve">V prípade verejných investičných projektov spolufinancovaných z fondov sa stanovuje </w:t>
      </w:r>
      <w:r w:rsidRPr="00B403CD">
        <w:rPr>
          <w:b/>
        </w:rPr>
        <w:t>4 %</w:t>
      </w:r>
      <w:r w:rsidRPr="00B403CD">
        <w:t xml:space="preserve"> finančná diskontná sadzbu pre výpočet čistej súčasnej hodnoty investície v stálych cenách roku predloženia žiadosti o NFP. </w:t>
      </w:r>
    </w:p>
    <w:p w14:paraId="3AB303BC" w14:textId="77777777" w:rsidR="00070252" w:rsidRPr="00B403CD" w:rsidRDefault="00070252" w:rsidP="00070252">
      <w:pPr>
        <w:jc w:val="both"/>
      </w:pPr>
    </w:p>
    <w:p w14:paraId="00A31A98" w14:textId="77777777" w:rsidR="00070252" w:rsidRPr="00B403CD" w:rsidRDefault="00070252" w:rsidP="00070252">
      <w:pPr>
        <w:jc w:val="both"/>
      </w:pPr>
      <w:r w:rsidRPr="00B403CD">
        <w:t xml:space="preserve">Hodnoty odlišujúce sa od  </w:t>
      </w:r>
      <w:r w:rsidRPr="00B403CD">
        <w:rPr>
          <w:b/>
        </w:rPr>
        <w:t>4 %</w:t>
      </w:r>
      <w:r w:rsidRPr="00B403CD">
        <w:t xml:space="preserve"> referenčnej hodnoty sa však môžu zdôvodniť:</w:t>
      </w:r>
    </w:p>
    <w:p w14:paraId="0C3FDDCA" w14:textId="77777777" w:rsidR="00070252" w:rsidRPr="002F72BC" w:rsidRDefault="00070252" w:rsidP="008D34EF">
      <w:pPr>
        <w:pStyle w:val="Odsekzoznamu"/>
        <w:numPr>
          <w:ilvl w:val="0"/>
          <w:numId w:val="9"/>
        </w:numPr>
        <w:suppressAutoHyphens/>
        <w:jc w:val="both"/>
        <w:rPr>
          <w:b/>
        </w:rPr>
      </w:pPr>
      <w:r w:rsidRPr="002F72BC">
        <w:rPr>
          <w:b/>
        </w:rPr>
        <w:t xml:space="preserve">špecifické makroekonomické podmienky členského štátu a medzinárodné makroekonomické trendy a okolnosti </w:t>
      </w:r>
    </w:p>
    <w:p w14:paraId="092C3414" w14:textId="77777777" w:rsidR="00070252" w:rsidRPr="00B403CD" w:rsidRDefault="00070252" w:rsidP="008D34EF">
      <w:pPr>
        <w:numPr>
          <w:ilvl w:val="0"/>
          <w:numId w:val="9"/>
        </w:numPr>
        <w:suppressAutoHyphens/>
        <w:jc w:val="both"/>
      </w:pPr>
      <w:r w:rsidRPr="00B403CD">
        <w:rPr>
          <w:b/>
        </w:rPr>
        <w:t>povaha investora alebo štruktúra realizácie, ako je napríklad verejno-súkromné partnerstvo</w:t>
      </w:r>
      <w:r w:rsidRPr="00B403CD">
        <w:t xml:space="preserve">: napríklad, diskontná sadzba môže byť vyššia v prípade projektov PPP, keď zahrnutie súkromných finančných prostriedkov môže spôsobiť zvýšenie alternatívnych kapitálových nákladov; </w:t>
      </w:r>
    </w:p>
    <w:p w14:paraId="7FD689E3" w14:textId="77777777" w:rsidR="00070252" w:rsidRPr="00B403CD" w:rsidRDefault="00070252" w:rsidP="008D34EF">
      <w:pPr>
        <w:numPr>
          <w:ilvl w:val="0"/>
          <w:numId w:val="9"/>
        </w:numPr>
        <w:suppressAutoHyphens/>
        <w:jc w:val="both"/>
      </w:pPr>
      <w:r w:rsidRPr="00B403CD">
        <w:rPr>
          <w:b/>
        </w:rPr>
        <w:t>príslušným sektorom</w:t>
      </w:r>
      <w:r w:rsidRPr="00B403CD">
        <w:t xml:space="preserve"> (napríklad doprava, životné prostredie, energetika, atď.). Skutočné (vážený priemer) kapitálové náklady pre daný projekt by sa mali považovať za dolnú hranicu. </w:t>
      </w:r>
    </w:p>
    <w:p w14:paraId="6474CEDF" w14:textId="77777777" w:rsidR="00070252" w:rsidRPr="006A5294" w:rsidRDefault="006A5294" w:rsidP="006A5294">
      <w:pPr>
        <w:pStyle w:val="MPCKO3"/>
      </w:pPr>
      <w:bookmarkStart w:id="23" w:name="_Toc527539365"/>
      <w:r>
        <w:t>2</w:t>
      </w:r>
      <w:r w:rsidR="00070252" w:rsidRPr="006A5294">
        <w:t>.1.3 Určenie výdavkov projektu</w:t>
      </w:r>
      <w:bookmarkEnd w:id="23"/>
    </w:p>
    <w:p w14:paraId="70313DEA" w14:textId="77777777" w:rsidR="00130E2B" w:rsidRDefault="00130E2B" w:rsidP="00070252">
      <w:pPr>
        <w:jc w:val="both"/>
        <w:rPr>
          <w:highlight w:val="yellow"/>
        </w:rPr>
      </w:pPr>
    </w:p>
    <w:p w14:paraId="2C213258" w14:textId="77777777" w:rsidR="00070252" w:rsidRPr="00B403CD" w:rsidRDefault="00070252" w:rsidP="00070252">
      <w:pPr>
        <w:jc w:val="both"/>
      </w:pPr>
      <w:r w:rsidRPr="00B403CD">
        <w:t>Celkové výdavky projektu vyjadrujú hodnotu všetkých výdavkov, priamo súvisiacich</w:t>
      </w:r>
      <w:r w:rsidRPr="00B403CD">
        <w:br/>
        <w:t xml:space="preserve">s projektom bez ohľadu nato či sú alebo nie sú financované z EŠIF. Výdavky projektu delíme na: </w:t>
      </w:r>
    </w:p>
    <w:p w14:paraId="10952905" w14:textId="77777777" w:rsidR="00070252" w:rsidRPr="002F72BC" w:rsidRDefault="00070252" w:rsidP="008D34EF">
      <w:pPr>
        <w:pStyle w:val="Odsekzoznamu"/>
        <w:numPr>
          <w:ilvl w:val="0"/>
          <w:numId w:val="19"/>
        </w:numPr>
        <w:jc w:val="both"/>
        <w:rPr>
          <w:b/>
        </w:rPr>
      </w:pPr>
      <w:r w:rsidRPr="002F72BC">
        <w:rPr>
          <w:b/>
        </w:rPr>
        <w:t xml:space="preserve">Investičné výdavky – </w:t>
      </w:r>
      <w:r w:rsidRPr="00B403CD">
        <w:t>zahrňujeme sem všetky</w:t>
      </w:r>
      <w:r w:rsidR="00A71215">
        <w:t xml:space="preserve"> </w:t>
      </w:r>
      <w:r w:rsidRPr="00B403CD">
        <w:t xml:space="preserve">oprávnené aj neoprávnené kapitálové  výdavky, ktoré vzniknú behom realizácie projektu. Primárne ich rozdeľujeme na fixné pevné investície (budovy, stroje, pozemky) nábehové investície (prípravné štúdie vrátane štúdií uskutočniteľnosti, konzultačné služby atď.) a zmeny prevádzkového kapitálu behom referenčného obdobia. </w:t>
      </w:r>
    </w:p>
    <w:p w14:paraId="4553707E" w14:textId="72F6E52F" w:rsidR="00070252" w:rsidRPr="00B403CD" w:rsidRDefault="00070252" w:rsidP="00070252">
      <w:pPr>
        <w:ind w:left="720"/>
        <w:jc w:val="both"/>
      </w:pPr>
      <w:r w:rsidRPr="00B403CD">
        <w:t>Celkové investičné výdavky sú zahrnuté do výpočtu finančnej medzery a je potrebné sledovať prípadné zmeny ich výšky. V prípade znižovania investičných výdavkov dochádza aj k zníženiu finančnej medzery tým je nižšia aj maximáln</w:t>
      </w:r>
      <w:r w:rsidR="0027333C">
        <w:t>a</w:t>
      </w:r>
      <w:r w:rsidRPr="00B403CD">
        <w:t xml:space="preserve"> možná podpor</w:t>
      </w:r>
      <w:r w:rsidR="0027333C">
        <w:t>a</w:t>
      </w:r>
      <w:r w:rsidRPr="00B403CD">
        <w:t xml:space="preserve">. Náklady na pravidelné </w:t>
      </w:r>
      <w:r w:rsidRPr="00B403CD">
        <w:rPr>
          <w:b/>
        </w:rPr>
        <w:t>reinvestície</w:t>
      </w:r>
      <w:r w:rsidRPr="00B403CD">
        <w:t xml:space="preserve"> alebo </w:t>
      </w:r>
      <w:r w:rsidRPr="00B403CD">
        <w:rPr>
          <w:b/>
        </w:rPr>
        <w:t>modernizáci</w:t>
      </w:r>
      <w:r w:rsidRPr="00B403CD">
        <w:t xml:space="preserve">u východiskových aktív sú </w:t>
      </w:r>
      <w:r w:rsidRPr="00B403CD">
        <w:lastRenderedPageBreak/>
        <w:t>považované za investičné výdavky, ktoré nie sú oprávnené (avšak sú zahrnuté v</w:t>
      </w:r>
      <w:r w:rsidR="008E5524">
        <w:t> </w:t>
      </w:r>
      <w:r w:rsidRPr="00B403CD">
        <w:t>celkových investičných výdavkoch).</w:t>
      </w:r>
    </w:p>
    <w:p w14:paraId="2D0F7D26" w14:textId="77777777" w:rsidR="00070252" w:rsidRPr="00B403CD" w:rsidRDefault="00070252" w:rsidP="008D34EF">
      <w:pPr>
        <w:pStyle w:val="Odsekzoznamu"/>
        <w:numPr>
          <w:ilvl w:val="0"/>
          <w:numId w:val="19"/>
        </w:numPr>
        <w:jc w:val="both"/>
      </w:pPr>
      <w:r w:rsidRPr="002F72BC">
        <w:rPr>
          <w:b/>
        </w:rPr>
        <w:t>Prevádzkové výdavky</w:t>
      </w:r>
    </w:p>
    <w:p w14:paraId="4640D972" w14:textId="77777777" w:rsidR="00070252" w:rsidRPr="00B403CD" w:rsidRDefault="00070252" w:rsidP="00070252">
      <w:pPr>
        <w:ind w:left="720"/>
        <w:jc w:val="both"/>
      </w:pPr>
      <w:r w:rsidRPr="00B403CD">
        <w:t>Prevádzkové výdavky zahŕňajú všetky predpokladané výdavky na nákup tovaru a služieb, ktoré nie sú investičného charakteru, pretože sú spotrebované v</w:t>
      </w:r>
      <w:r w:rsidR="00AA1FBE">
        <w:t> </w:t>
      </w:r>
      <w:r w:rsidRPr="00B403CD">
        <w:t>každom</w:t>
      </w:r>
      <w:r w:rsidR="00AA1FBE">
        <w:t xml:space="preserve"> účtovnom období</w:t>
      </w:r>
      <w:r w:rsidRPr="00B403CD">
        <w:t>. Patria sem:</w:t>
      </w:r>
    </w:p>
    <w:p w14:paraId="40E2BE8F" w14:textId="77777777" w:rsidR="00070252" w:rsidRPr="00B403CD" w:rsidRDefault="00070252" w:rsidP="00070252">
      <w:pPr>
        <w:ind w:left="720"/>
        <w:jc w:val="both"/>
      </w:pPr>
      <w:r w:rsidRPr="00B403CD">
        <w:t xml:space="preserve"> - priame náklady výroby (spotreba materiálu a služieb, personál, údržba, všeobecné</w:t>
      </w:r>
    </w:p>
    <w:p w14:paraId="55B54D1D" w14:textId="77777777" w:rsidR="00070252" w:rsidRPr="00B403CD" w:rsidRDefault="00070252" w:rsidP="00070252">
      <w:pPr>
        <w:ind w:left="720"/>
        <w:jc w:val="both"/>
      </w:pPr>
      <w:r w:rsidRPr="00B403CD">
        <w:t>výrobné náklady);</w:t>
      </w:r>
    </w:p>
    <w:p w14:paraId="275C3138" w14:textId="77777777" w:rsidR="00070252" w:rsidRPr="00B403CD" w:rsidRDefault="00070252" w:rsidP="00070252">
      <w:pPr>
        <w:ind w:left="720"/>
        <w:jc w:val="both"/>
      </w:pPr>
      <w:r w:rsidRPr="00B403CD">
        <w:t xml:space="preserve"> - administratívne a všeobecné výdavky;</w:t>
      </w:r>
    </w:p>
    <w:p w14:paraId="16D90976" w14:textId="77777777" w:rsidR="00070252" w:rsidRPr="00B403CD" w:rsidRDefault="00070252" w:rsidP="00070252">
      <w:pPr>
        <w:ind w:left="720"/>
        <w:jc w:val="both"/>
      </w:pPr>
      <w:r w:rsidRPr="00B403CD">
        <w:t xml:space="preserve"> - predajné a distribučné výdavky. </w:t>
      </w:r>
    </w:p>
    <w:p w14:paraId="1F4CBEB9" w14:textId="77777777" w:rsidR="00070252" w:rsidRPr="00B403CD" w:rsidRDefault="00070252" w:rsidP="00070252">
      <w:pPr>
        <w:ind w:left="720"/>
        <w:jc w:val="both"/>
      </w:pPr>
      <w:r w:rsidRPr="00B403CD">
        <w:t>Ich výška je závislá od objemu produkcie tovarov, alebo poskytnutých služieb. Pri každej položke prevádzkových výdavkov je vhodné rozlíšiť, či sa jedná o fixné alebo variabilné výdavky</w:t>
      </w:r>
      <w:r w:rsidR="00863AC2">
        <w:t>.</w:t>
      </w:r>
    </w:p>
    <w:p w14:paraId="5E3D844A" w14:textId="77777777" w:rsidR="00070252" w:rsidRPr="00B403CD" w:rsidRDefault="00070252" w:rsidP="00070252">
      <w:pPr>
        <w:jc w:val="both"/>
      </w:pPr>
      <w:r w:rsidRPr="00B403CD">
        <w:t>Na účely výpočtu diskontovaných čistých príjmov sa zohľadnia tieto náklady, ktoré vznikli v referenčnom období:</w:t>
      </w:r>
    </w:p>
    <w:p w14:paraId="7908F6DA" w14:textId="77777777" w:rsidR="00070252" w:rsidRPr="00B403CD" w:rsidRDefault="00070252" w:rsidP="00AC7801">
      <w:pPr>
        <w:pStyle w:val="Odsekzoznamu"/>
        <w:numPr>
          <w:ilvl w:val="0"/>
          <w:numId w:val="10"/>
        </w:numPr>
        <w:spacing w:before="200" w:after="200"/>
        <w:ind w:left="1276" w:hanging="425"/>
      </w:pPr>
      <w:r w:rsidRPr="00AC7801">
        <w:t>reprodukčné náklady</w:t>
      </w:r>
      <w:r w:rsidRPr="00B403CD">
        <w:t xml:space="preserve"> zariadení s krátkou životnosťou zabezpečujúcich technické fungovanie operácie</w:t>
      </w:r>
    </w:p>
    <w:p w14:paraId="67F2FF94" w14:textId="77777777" w:rsidR="00070252" w:rsidRPr="00B403CD" w:rsidRDefault="00070252" w:rsidP="00AC7801">
      <w:pPr>
        <w:pStyle w:val="Odsekzoznamu"/>
        <w:numPr>
          <w:ilvl w:val="0"/>
          <w:numId w:val="10"/>
        </w:numPr>
        <w:spacing w:before="200" w:after="200"/>
        <w:ind w:left="1276" w:hanging="425"/>
      </w:pPr>
      <w:r w:rsidRPr="00AC7801">
        <w:t>fixné prevádzkové náklady</w:t>
      </w:r>
      <w:r w:rsidRPr="00B403CD">
        <w:t>, vrátane nákladov na údržbu, ako sú náklady na zamestnancov, náklady na údržbu, opravy, všeobecné riadenie a správu a poistenie</w:t>
      </w:r>
    </w:p>
    <w:p w14:paraId="7043D0AA" w14:textId="77777777" w:rsidR="00070252" w:rsidRPr="00B403CD" w:rsidRDefault="00070252" w:rsidP="00AC7801">
      <w:pPr>
        <w:pStyle w:val="Odsekzoznamu"/>
        <w:numPr>
          <w:ilvl w:val="0"/>
          <w:numId w:val="10"/>
        </w:numPr>
        <w:spacing w:before="200" w:after="200"/>
        <w:ind w:left="1276" w:hanging="425"/>
      </w:pPr>
      <w:r w:rsidRPr="00AC7801">
        <w:t>variabilné prevádzkové náklady</w:t>
      </w:r>
      <w:r w:rsidRPr="00B403CD">
        <w:t>, vrátane nákladov na údržbu, ako sú spotreba surovín, náklady na energie a iný spotrebný tovar a iná údržba a opravy potrebné na predĺženie životnosti operácie</w:t>
      </w:r>
    </w:p>
    <w:p w14:paraId="74A90C48" w14:textId="77777777" w:rsidR="00070252" w:rsidRPr="00B403CD" w:rsidRDefault="00070252" w:rsidP="00070252">
      <w:pPr>
        <w:ind w:left="720"/>
        <w:jc w:val="both"/>
      </w:pPr>
    </w:p>
    <w:p w14:paraId="1449102F" w14:textId="77777777" w:rsidR="00F06BAD" w:rsidRDefault="00F06BAD" w:rsidP="00070252">
      <w:pPr>
        <w:jc w:val="both"/>
      </w:pPr>
      <w:r>
        <w:t>P</w:t>
      </w:r>
      <w:r w:rsidRPr="00F06BAD">
        <w:t xml:space="preserve">rípadnú úsporu </w:t>
      </w:r>
      <w:r>
        <w:t>prevádzkových výdavkov</w:t>
      </w:r>
      <w:r w:rsidRPr="00F06BAD">
        <w:t xml:space="preserve"> vyvolanú projektom</w:t>
      </w:r>
      <w:r w:rsidR="00410FC9" w:rsidRPr="00410FC9">
        <w:t xml:space="preserve">, </w:t>
      </w:r>
      <w:r w:rsidR="00410FC9" w:rsidRPr="008E5524">
        <w:t>s</w:t>
      </w:r>
      <w:r w:rsidR="00410FC9" w:rsidRPr="008E5524">
        <w:rPr>
          <w:rFonts w:hint="eastAsia"/>
        </w:rPr>
        <w:t> </w:t>
      </w:r>
      <w:r w:rsidR="00410FC9" w:rsidRPr="008E5524">
        <w:t>v</w:t>
      </w:r>
      <w:r w:rsidR="00410FC9" w:rsidRPr="008E5524">
        <w:rPr>
          <w:rFonts w:hint="eastAsia"/>
        </w:rPr>
        <w:t>ý</w:t>
      </w:r>
      <w:r w:rsidR="00410FC9" w:rsidRPr="008E5524">
        <w:t xml:space="preserve">nimkou </w:t>
      </w:r>
      <w:r w:rsidR="00410FC9" w:rsidRPr="008E5524">
        <w:rPr>
          <w:rFonts w:hint="eastAsia"/>
        </w:rPr>
        <w:t>ú</w:t>
      </w:r>
      <w:r w:rsidR="00410FC9" w:rsidRPr="008E5524">
        <w:t>spor n</w:t>
      </w:r>
      <w:r w:rsidR="00410FC9" w:rsidRPr="008E5524">
        <w:rPr>
          <w:rFonts w:hint="eastAsia"/>
        </w:rPr>
        <w:t>á</w:t>
      </w:r>
      <w:r w:rsidR="00410FC9" w:rsidRPr="008E5524">
        <w:t>kladov vypl</w:t>
      </w:r>
      <w:r w:rsidR="00410FC9" w:rsidRPr="008E5524">
        <w:rPr>
          <w:rFonts w:hint="eastAsia"/>
        </w:rPr>
        <w:t>ý</w:t>
      </w:r>
      <w:r w:rsidR="00410FC9" w:rsidRPr="008E5524">
        <w:t>vaj</w:t>
      </w:r>
      <w:r w:rsidR="00410FC9" w:rsidRPr="008E5524">
        <w:rPr>
          <w:rFonts w:hint="eastAsia"/>
        </w:rPr>
        <w:t>ú</w:t>
      </w:r>
      <w:r w:rsidR="00410FC9" w:rsidRPr="008E5524">
        <w:t>cich z</w:t>
      </w:r>
      <w:r w:rsidR="00410FC9" w:rsidRPr="008E5524">
        <w:rPr>
          <w:rFonts w:hint="eastAsia"/>
        </w:rPr>
        <w:t> </w:t>
      </w:r>
      <w:r w:rsidR="00410FC9" w:rsidRPr="008E5524">
        <w:t>vykon</w:t>
      </w:r>
      <w:r w:rsidR="00410FC9" w:rsidRPr="008E5524">
        <w:rPr>
          <w:rFonts w:hint="eastAsia"/>
        </w:rPr>
        <w:t>á</w:t>
      </w:r>
      <w:r w:rsidR="00410FC9" w:rsidRPr="008E5524">
        <w:t>vania opatren</w:t>
      </w:r>
      <w:r w:rsidR="00410FC9" w:rsidRPr="008E5524">
        <w:rPr>
          <w:rFonts w:hint="eastAsia"/>
        </w:rPr>
        <w:t>í</w:t>
      </w:r>
      <w:r w:rsidR="00410FC9" w:rsidRPr="008E5524">
        <w:t xml:space="preserve"> v</w:t>
      </w:r>
      <w:r w:rsidR="00410FC9" w:rsidRPr="008E5524">
        <w:rPr>
          <w:rFonts w:hint="eastAsia"/>
        </w:rPr>
        <w:t> </w:t>
      </w:r>
      <w:r w:rsidR="00410FC9" w:rsidRPr="008E5524">
        <w:t>oblasti energetickej efekt</w:t>
      </w:r>
      <w:r w:rsidR="00410FC9" w:rsidRPr="008E5524">
        <w:rPr>
          <w:rFonts w:hint="eastAsia"/>
        </w:rPr>
        <w:t>í</w:t>
      </w:r>
      <w:r w:rsidR="00410FC9" w:rsidRPr="008E5524">
        <w:t>vnosti</w:t>
      </w:r>
      <w:r w:rsidRPr="00F06BAD">
        <w:t xml:space="preserve"> je potrebné zohľadniť. Ak táto úspora nie je vyvážená zodpovedajúcim znížením prevádzkových dotácií, musí byť započítaná pri výpočte finančnej medzery.</w:t>
      </w:r>
    </w:p>
    <w:p w14:paraId="51FE8F73" w14:textId="0923CD6E" w:rsidR="00070252" w:rsidRDefault="00070252" w:rsidP="00070252">
      <w:pPr>
        <w:jc w:val="both"/>
      </w:pPr>
      <w:r w:rsidRPr="00B403CD">
        <w:t>Pri investičných výdavkoch je potrebné zadať samostatne výšku rezervy na stavebné práce a samostatne ostatné investičné výdavky. Rezerva na stavebné práce musí byť rovnako prepočítaná na stále ceny, v samotnej finančnej analýze a pri výpočte medzery financovania sa táto rezerva nezohľadňuje, pretože nepredstavuje reálny peňažný tok. Rezerva maximálne do výšky 10</w:t>
      </w:r>
      <w:r w:rsidR="00BE7BF3">
        <w:t xml:space="preserve"> </w:t>
      </w:r>
      <w:r w:rsidRPr="00B403CD">
        <w:t>% priamych investičných nákladov môže v prípade vykonanej rizikovej analýzy a v súlade s pokynmi RO byť zaradená medzi oprávnené výdavky projektu.</w:t>
      </w:r>
    </w:p>
    <w:p w14:paraId="2DD20758" w14:textId="77777777" w:rsidR="00070252" w:rsidRPr="006A5294" w:rsidRDefault="006A5294" w:rsidP="006A5294">
      <w:pPr>
        <w:pStyle w:val="MPCKO3"/>
      </w:pPr>
      <w:bookmarkStart w:id="24" w:name="_Toc527539366"/>
      <w:r>
        <w:t>2</w:t>
      </w:r>
      <w:r w:rsidR="00070252" w:rsidRPr="006A5294">
        <w:t>.1.4 Vplyv inflácie</w:t>
      </w:r>
      <w:bookmarkEnd w:id="24"/>
    </w:p>
    <w:p w14:paraId="6D708944" w14:textId="77777777" w:rsidR="00130E2B" w:rsidRDefault="00130E2B" w:rsidP="00070252">
      <w:pPr>
        <w:jc w:val="both"/>
        <w:rPr>
          <w:highlight w:val="yellow"/>
        </w:rPr>
      </w:pPr>
    </w:p>
    <w:p w14:paraId="114EEECA" w14:textId="77777777" w:rsidR="00070252" w:rsidRDefault="00070252" w:rsidP="00070252">
      <w:pPr>
        <w:jc w:val="both"/>
      </w:pPr>
      <w:r w:rsidRPr="00B403CD">
        <w:t xml:space="preserve">Analýza sa vykonáva pri stálych cenách. Ak je to nutné, musia sa zohľadniť relatívne zmeny stálych cien počas posudzovaného obdobia. Vo finančnej analýze </w:t>
      </w:r>
      <w:r w:rsidRPr="00B403CD">
        <w:rPr>
          <w:b/>
        </w:rPr>
        <w:t>nezohľadňujeme</w:t>
      </w:r>
      <w:r w:rsidRPr="00B403CD">
        <w:t xml:space="preserve"> nárast cien v dôsledku  inflácie. Všetky vstupné údaje do finančnej analýzy (ako napr. výška miezd, ceny materiálu, energií, výstupov projektu a pod.) uvádzame </w:t>
      </w:r>
      <w:r w:rsidRPr="00B403CD">
        <w:rPr>
          <w:b/>
        </w:rPr>
        <w:t>v stálych cenách</w:t>
      </w:r>
      <w:r w:rsidRPr="00B403CD">
        <w:t>. Sú to ceny, ktoré budú aktuálne v čase predloženia žiadosti o NFP.</w:t>
      </w:r>
    </w:p>
    <w:p w14:paraId="1C2B833E" w14:textId="77777777" w:rsidR="00070252" w:rsidRPr="006A5294" w:rsidRDefault="006A5294" w:rsidP="006A5294">
      <w:pPr>
        <w:pStyle w:val="MPCKO3"/>
      </w:pPr>
      <w:bookmarkStart w:id="25" w:name="_Toc527539367"/>
      <w:r>
        <w:t>2</w:t>
      </w:r>
      <w:r w:rsidR="00070252" w:rsidRPr="006A5294">
        <w:t>.1.5 Určenie príjmov projektu</w:t>
      </w:r>
      <w:bookmarkEnd w:id="25"/>
    </w:p>
    <w:p w14:paraId="4C569C6B" w14:textId="77777777" w:rsidR="00130E2B" w:rsidRDefault="00130E2B" w:rsidP="00070252">
      <w:pPr>
        <w:jc w:val="both"/>
        <w:rPr>
          <w:highlight w:val="yellow"/>
        </w:rPr>
      </w:pPr>
    </w:p>
    <w:p w14:paraId="31BB85DF" w14:textId="04C34067" w:rsidR="00070252" w:rsidRPr="00B403CD" w:rsidRDefault="00070252" w:rsidP="00070252">
      <w:pPr>
        <w:jc w:val="both"/>
      </w:pPr>
      <w:r w:rsidRPr="00B403CD">
        <w:t>Medzi príjmy projektu zaraďujeme poplatky hradené priamo koncovým užívateľom za</w:t>
      </w:r>
      <w:r w:rsidR="008E5524">
        <w:t> </w:t>
      </w:r>
      <w:r w:rsidRPr="00B403CD">
        <w:t xml:space="preserve">používanie infraštruktúry vybudovanej projektom, príjmy z predaja alebo prenájmu pozemkov alebo budov, stavieb, príjmy z predaja výrobkov alebo vedľajších výrobkov </w:t>
      </w:r>
      <w:r w:rsidRPr="00B403CD">
        <w:lastRenderedPageBreak/>
        <w:t xml:space="preserve">vytvorenej projektom či poskytovanie služieb za odplatu. </w:t>
      </w:r>
      <w:r w:rsidRPr="00B403CD">
        <w:rPr>
          <w:b/>
        </w:rPr>
        <w:t>Vždy sa musí jednať o príjmy, ktoré priamo súvisia s projektom</w:t>
      </w:r>
      <w:r w:rsidRPr="00B403CD">
        <w:t xml:space="preserve">. Do príjmov nezahrnujeme transfery a dotácie, DPH a iné nepriame dane ukladané spotrebiteľovi. Za príjem sa tiež nepovažujú </w:t>
      </w:r>
      <w:r w:rsidRPr="00B403CD">
        <w:rPr>
          <w:b/>
        </w:rPr>
        <w:t>zmluvn</w:t>
      </w:r>
      <w:r w:rsidR="00F24515">
        <w:rPr>
          <w:b/>
        </w:rPr>
        <w:t>á</w:t>
      </w:r>
      <w:r w:rsidRPr="00B403CD">
        <w:rPr>
          <w:b/>
        </w:rPr>
        <w:t xml:space="preserve"> pokut</w:t>
      </w:r>
      <w:r w:rsidR="00F24515">
        <w:rPr>
          <w:b/>
        </w:rPr>
        <w:t>a</w:t>
      </w:r>
      <w:r w:rsidRPr="00B403CD">
        <w:t xml:space="preserve"> vyplývajúc</w:t>
      </w:r>
      <w:r w:rsidR="00F24515">
        <w:t>a</w:t>
      </w:r>
      <w:r w:rsidRPr="00B403CD">
        <w:t xml:space="preserve"> z porušenia podmienok zmluvy medzi prijímateľom a treťou stranou (dodávateľom).</w:t>
      </w:r>
    </w:p>
    <w:p w14:paraId="020B7D0E" w14:textId="77777777" w:rsidR="00070252" w:rsidRPr="00B403CD" w:rsidRDefault="00070252" w:rsidP="00070252">
      <w:pPr>
        <w:jc w:val="both"/>
      </w:pPr>
    </w:p>
    <w:p w14:paraId="0DC928AD" w14:textId="77777777" w:rsidR="00070252" w:rsidRPr="00B403CD" w:rsidRDefault="00070252" w:rsidP="00070252">
      <w:pPr>
        <w:jc w:val="both"/>
      </w:pPr>
      <w:r w:rsidRPr="00B403CD">
        <w:t xml:space="preserve">Pri výpočte očakávaných príjmov projektu je pri finančnej analýze najkomplikovanejšie spoľahlivo určiť budúci odbyt produktov a služieb, ktorý je potrebné odhadnúť za jednotlivé roky životnosti projektu. Relatívne jednoduchšie sa budúce príjmy odhadujú vtedy, ak sa investuje do existujúcej prevádzky a sú k dispozícii účtovné výkazy z minulosti. </w:t>
      </w:r>
    </w:p>
    <w:p w14:paraId="792A3D3A" w14:textId="77777777" w:rsidR="00070252" w:rsidRPr="009B4DCF" w:rsidRDefault="00070252" w:rsidP="00070252">
      <w:pPr>
        <w:jc w:val="both"/>
        <w:rPr>
          <w:highlight w:val="yellow"/>
        </w:rPr>
      </w:pPr>
    </w:p>
    <w:p w14:paraId="647BDCBE" w14:textId="77777777" w:rsidR="00070252" w:rsidRPr="00B403CD" w:rsidRDefault="00070252" w:rsidP="00070252">
      <w:pPr>
        <w:jc w:val="both"/>
      </w:pPr>
      <w:r w:rsidRPr="00B403CD">
        <w:t xml:space="preserve">Budúce príjmy projektu sú dané rozdielom príjmov a výdavkov projektu a ich výpočet prebieha v nasledujúcich krokoch: </w:t>
      </w:r>
    </w:p>
    <w:p w14:paraId="7ED05CD5" w14:textId="77777777" w:rsidR="00070252" w:rsidRPr="00B403CD" w:rsidRDefault="00070252" w:rsidP="00F26B1B">
      <w:pPr>
        <w:pStyle w:val="Odsekzoznamu"/>
        <w:numPr>
          <w:ilvl w:val="0"/>
          <w:numId w:val="34"/>
        </w:numPr>
        <w:suppressAutoHyphens/>
        <w:jc w:val="both"/>
      </w:pPr>
      <w:r w:rsidRPr="00B403CD">
        <w:t>určí sa predajná cena tovaru/služby;</w:t>
      </w:r>
    </w:p>
    <w:p w14:paraId="1A86423B" w14:textId="43BECB59" w:rsidR="00070252" w:rsidRPr="00B403CD" w:rsidRDefault="00070252" w:rsidP="00F26B1B">
      <w:pPr>
        <w:numPr>
          <w:ilvl w:val="0"/>
          <w:numId w:val="34"/>
        </w:numPr>
        <w:suppressAutoHyphens/>
        <w:jc w:val="both"/>
      </w:pPr>
      <w:r w:rsidRPr="00B403CD">
        <w:t xml:space="preserve">odhadne sa počet predaných tovarov/služieb (v kusoch, kg., </w:t>
      </w:r>
      <w:r w:rsidR="006E6AFB">
        <w:t>osobo</w:t>
      </w:r>
      <w:r w:rsidRPr="00B403CD">
        <w:t>hodinách, ...) za</w:t>
      </w:r>
      <w:r w:rsidR="008E5524">
        <w:t> </w:t>
      </w:r>
      <w:r w:rsidRPr="00B403CD">
        <w:t>každý rok životnosti projektu. Je potrebné pritom zohľadniť maximálnu výrobnú kapacitu zariadení, možnosti trhu pre odbyt služieb a výrobkov a zanalyzovať i existujúcu a potenciálnu konkurenciu;</w:t>
      </w:r>
    </w:p>
    <w:p w14:paraId="2BA785CF" w14:textId="77777777" w:rsidR="00070252" w:rsidRPr="00B403CD" w:rsidRDefault="00070252" w:rsidP="00F26B1B">
      <w:pPr>
        <w:numPr>
          <w:ilvl w:val="0"/>
          <w:numId w:val="34"/>
        </w:numPr>
        <w:suppressAutoHyphens/>
        <w:jc w:val="both"/>
      </w:pPr>
      <w:r w:rsidRPr="00B403CD">
        <w:t xml:space="preserve">vypočítajú sa odhadované príjmy za každý výrobok/službu a každý rok životnosti projektu; </w:t>
      </w:r>
    </w:p>
    <w:p w14:paraId="54C52EC3" w14:textId="77777777" w:rsidR="00070252" w:rsidRPr="00B403CD" w:rsidRDefault="00070252" w:rsidP="00F26B1B">
      <w:pPr>
        <w:numPr>
          <w:ilvl w:val="0"/>
          <w:numId w:val="34"/>
        </w:numPr>
        <w:suppressAutoHyphens/>
        <w:jc w:val="both"/>
      </w:pPr>
      <w:r w:rsidRPr="00B403CD">
        <w:t>Príjmy = počet predaných výrobkov/služieb * predajná cena.</w:t>
      </w:r>
    </w:p>
    <w:p w14:paraId="2B9FE381" w14:textId="77777777" w:rsidR="00070252" w:rsidRDefault="00070252" w:rsidP="00070252"/>
    <w:p w14:paraId="2FE79E96" w14:textId="77777777" w:rsidR="00070252" w:rsidRDefault="00070252" w:rsidP="00070252">
      <w:pPr>
        <w:rPr>
          <w:b/>
        </w:rPr>
      </w:pPr>
      <w:r w:rsidRPr="00B403CD">
        <w:t xml:space="preserve">V relevantných sektoroch vrátane environmentálneho sektoru sa </w:t>
      </w:r>
      <w:r w:rsidRPr="00B403CD">
        <w:rPr>
          <w:b/>
        </w:rPr>
        <w:t>poplatky stanovia v súlade so zásadou „znečisťovateľ platí“ so zreteľom na cenovú dostupnosť.</w:t>
      </w:r>
    </w:p>
    <w:p w14:paraId="63BBA859" w14:textId="77777777" w:rsidR="00AA0E53" w:rsidRDefault="00AA0E53" w:rsidP="00070252">
      <w:pPr>
        <w:rPr>
          <w:b/>
        </w:rPr>
      </w:pPr>
    </w:p>
    <w:p w14:paraId="31363F97" w14:textId="77777777" w:rsidR="00AA0E53" w:rsidRDefault="00AA0E53" w:rsidP="007D30EB">
      <w:pPr>
        <w:jc w:val="both"/>
        <w:rPr>
          <w:color w:val="222222"/>
        </w:rPr>
      </w:pPr>
      <w:r w:rsidRPr="007D30EB">
        <w:rPr>
          <w:rStyle w:val="hps"/>
          <w:color w:val="222222"/>
        </w:rPr>
        <w:t>Systém</w:t>
      </w:r>
      <w:r w:rsidRPr="007D30EB">
        <w:rPr>
          <w:color w:val="222222"/>
        </w:rPr>
        <w:t xml:space="preserve"> </w:t>
      </w:r>
      <w:r w:rsidRPr="007D30EB">
        <w:rPr>
          <w:rStyle w:val="hps"/>
          <w:color w:val="222222"/>
        </w:rPr>
        <w:t>pre</w:t>
      </w:r>
      <w:r w:rsidRPr="007D30EB">
        <w:rPr>
          <w:color w:val="222222"/>
        </w:rPr>
        <w:t xml:space="preserve"> </w:t>
      </w:r>
      <w:r w:rsidRPr="007D30EB">
        <w:rPr>
          <w:rStyle w:val="hps"/>
          <w:color w:val="222222"/>
        </w:rPr>
        <w:t>stanovenie poplatkov</w:t>
      </w:r>
      <w:r w:rsidRPr="007D30EB">
        <w:rPr>
          <w:color w:val="222222"/>
        </w:rPr>
        <w:t xml:space="preserve"> </w:t>
      </w:r>
      <w:r w:rsidRPr="007D30EB">
        <w:rPr>
          <w:rStyle w:val="hps"/>
          <w:color w:val="222222"/>
        </w:rPr>
        <w:t>za</w:t>
      </w:r>
      <w:r w:rsidRPr="007D30EB">
        <w:rPr>
          <w:color w:val="222222"/>
        </w:rPr>
        <w:t xml:space="preserve"> </w:t>
      </w:r>
      <w:r w:rsidRPr="007D30EB">
        <w:rPr>
          <w:rStyle w:val="hps"/>
          <w:color w:val="222222"/>
        </w:rPr>
        <w:t>použitie</w:t>
      </w:r>
      <w:r w:rsidRPr="007D30EB">
        <w:rPr>
          <w:color w:val="222222"/>
        </w:rPr>
        <w:t xml:space="preserve"> </w:t>
      </w:r>
      <w:r w:rsidRPr="007D30EB">
        <w:rPr>
          <w:rStyle w:val="hps"/>
          <w:color w:val="222222"/>
        </w:rPr>
        <w:t>výstupu</w:t>
      </w:r>
      <w:r w:rsidRPr="007D30EB">
        <w:rPr>
          <w:color w:val="222222"/>
        </w:rPr>
        <w:t xml:space="preserve"> </w:t>
      </w:r>
      <w:r w:rsidRPr="007D30EB">
        <w:rPr>
          <w:rStyle w:val="hps"/>
          <w:color w:val="222222"/>
        </w:rPr>
        <w:t>projektu</w:t>
      </w:r>
      <w:r w:rsidRPr="007D30EB">
        <w:rPr>
          <w:color w:val="222222"/>
        </w:rPr>
        <w:t xml:space="preserve"> </w:t>
      </w:r>
      <w:r w:rsidRPr="007D30EB">
        <w:rPr>
          <w:rStyle w:val="hps"/>
          <w:color w:val="222222"/>
        </w:rPr>
        <w:t>by</w:t>
      </w:r>
      <w:r w:rsidRPr="007D30EB">
        <w:rPr>
          <w:color w:val="222222"/>
        </w:rPr>
        <w:t xml:space="preserve"> </w:t>
      </w:r>
      <w:r w:rsidRPr="007D30EB">
        <w:rPr>
          <w:rStyle w:val="hps"/>
          <w:color w:val="222222"/>
        </w:rPr>
        <w:t>mal byť úmerný</w:t>
      </w:r>
      <w:r w:rsidRPr="007D30EB">
        <w:rPr>
          <w:color w:val="222222"/>
        </w:rPr>
        <w:t xml:space="preserve"> </w:t>
      </w:r>
      <w:r w:rsidRPr="007D30EB">
        <w:rPr>
          <w:rStyle w:val="hps"/>
          <w:color w:val="222222"/>
        </w:rPr>
        <w:t>spoločenským</w:t>
      </w:r>
      <w:r w:rsidRPr="007D30EB">
        <w:rPr>
          <w:color w:val="222222"/>
        </w:rPr>
        <w:t xml:space="preserve"> </w:t>
      </w:r>
      <w:r w:rsidRPr="007D30EB">
        <w:rPr>
          <w:rStyle w:val="hps"/>
          <w:color w:val="222222"/>
        </w:rPr>
        <w:t>marginálnym</w:t>
      </w:r>
      <w:r w:rsidRPr="007D30EB">
        <w:rPr>
          <w:color w:val="222222"/>
        </w:rPr>
        <w:t xml:space="preserve"> </w:t>
      </w:r>
      <w:r w:rsidRPr="007D30EB">
        <w:rPr>
          <w:rStyle w:val="hps"/>
          <w:color w:val="222222"/>
        </w:rPr>
        <w:t>výrobným</w:t>
      </w:r>
      <w:r w:rsidRPr="007D30EB">
        <w:rPr>
          <w:color w:val="222222"/>
        </w:rPr>
        <w:t xml:space="preserve"> </w:t>
      </w:r>
      <w:r w:rsidRPr="007D30EB">
        <w:rPr>
          <w:rStyle w:val="hps"/>
          <w:color w:val="222222"/>
        </w:rPr>
        <w:t>nákladom</w:t>
      </w:r>
      <w:r w:rsidRPr="007D30EB">
        <w:rPr>
          <w:color w:val="222222"/>
        </w:rPr>
        <w:t xml:space="preserve">, </w:t>
      </w:r>
      <w:r w:rsidRPr="007D30EB">
        <w:rPr>
          <w:rStyle w:val="hps"/>
          <w:color w:val="222222"/>
        </w:rPr>
        <w:t>ktoré zahŕňajú</w:t>
      </w:r>
      <w:r w:rsidRPr="007D30EB">
        <w:rPr>
          <w:color w:val="222222"/>
        </w:rPr>
        <w:t xml:space="preserve"> </w:t>
      </w:r>
      <w:r w:rsidRPr="007D30EB">
        <w:rPr>
          <w:rStyle w:val="hps"/>
          <w:color w:val="222222"/>
        </w:rPr>
        <w:t>celkové náklady</w:t>
      </w:r>
      <w:r w:rsidRPr="007D30EB">
        <w:rPr>
          <w:color w:val="222222"/>
        </w:rPr>
        <w:t xml:space="preserve"> </w:t>
      </w:r>
      <w:r w:rsidRPr="007D30EB">
        <w:rPr>
          <w:rStyle w:val="hps"/>
          <w:color w:val="222222"/>
        </w:rPr>
        <w:t>environmentálnych služieb</w:t>
      </w:r>
      <w:r w:rsidRPr="007D30EB">
        <w:rPr>
          <w:color w:val="222222"/>
        </w:rPr>
        <w:t xml:space="preserve">, </w:t>
      </w:r>
      <w:r w:rsidRPr="007D30EB">
        <w:rPr>
          <w:rStyle w:val="hps"/>
          <w:color w:val="222222"/>
        </w:rPr>
        <w:t>vrátane</w:t>
      </w:r>
      <w:r w:rsidRPr="007D30EB">
        <w:rPr>
          <w:color w:val="222222"/>
        </w:rPr>
        <w:t xml:space="preserve"> </w:t>
      </w:r>
      <w:r w:rsidRPr="007D30EB">
        <w:rPr>
          <w:rStyle w:val="hps"/>
          <w:color w:val="222222"/>
        </w:rPr>
        <w:t>kapitálových</w:t>
      </w:r>
      <w:r w:rsidRPr="007D30EB">
        <w:rPr>
          <w:color w:val="222222"/>
        </w:rPr>
        <w:t xml:space="preserve"> </w:t>
      </w:r>
      <w:r w:rsidRPr="007D30EB">
        <w:rPr>
          <w:rStyle w:val="hps"/>
          <w:color w:val="222222"/>
        </w:rPr>
        <w:t>nákladov</w:t>
      </w:r>
      <w:r w:rsidRPr="007D30EB">
        <w:rPr>
          <w:color w:val="222222"/>
        </w:rPr>
        <w:t xml:space="preserve">, </w:t>
      </w:r>
      <w:r w:rsidRPr="007D30EB">
        <w:rPr>
          <w:rStyle w:val="hps"/>
          <w:color w:val="222222"/>
        </w:rPr>
        <w:t>náklady na znečisťovanie</w:t>
      </w:r>
      <w:r w:rsidRPr="007D30EB">
        <w:rPr>
          <w:color w:val="222222"/>
        </w:rPr>
        <w:t xml:space="preserve"> </w:t>
      </w:r>
      <w:r w:rsidRPr="007D30EB">
        <w:rPr>
          <w:rStyle w:val="hps"/>
          <w:color w:val="222222"/>
        </w:rPr>
        <w:t>životného</w:t>
      </w:r>
      <w:r w:rsidRPr="007D30EB">
        <w:rPr>
          <w:color w:val="222222"/>
        </w:rPr>
        <w:t xml:space="preserve"> </w:t>
      </w:r>
      <w:r w:rsidRPr="007D30EB">
        <w:rPr>
          <w:rStyle w:val="hps"/>
          <w:color w:val="222222"/>
        </w:rPr>
        <w:t>prostredia, vrátane nákladov</w:t>
      </w:r>
      <w:r w:rsidRPr="007D30EB">
        <w:rPr>
          <w:color w:val="222222"/>
        </w:rPr>
        <w:t xml:space="preserve"> </w:t>
      </w:r>
      <w:r w:rsidRPr="007D30EB">
        <w:rPr>
          <w:rStyle w:val="hps"/>
          <w:color w:val="222222"/>
        </w:rPr>
        <w:t>uplatnených</w:t>
      </w:r>
      <w:r w:rsidRPr="007D30EB">
        <w:rPr>
          <w:color w:val="222222"/>
        </w:rPr>
        <w:t xml:space="preserve"> </w:t>
      </w:r>
      <w:r w:rsidRPr="007D30EB">
        <w:rPr>
          <w:rStyle w:val="hps"/>
          <w:color w:val="222222"/>
        </w:rPr>
        <w:t>preventívnych</w:t>
      </w:r>
      <w:r w:rsidRPr="007D30EB">
        <w:rPr>
          <w:color w:val="222222"/>
        </w:rPr>
        <w:t xml:space="preserve"> </w:t>
      </w:r>
      <w:r w:rsidRPr="007D30EB">
        <w:rPr>
          <w:rStyle w:val="hps"/>
          <w:color w:val="222222"/>
        </w:rPr>
        <w:t>opatrení</w:t>
      </w:r>
      <w:r w:rsidRPr="007D30EB">
        <w:rPr>
          <w:color w:val="222222"/>
        </w:rPr>
        <w:t xml:space="preserve"> </w:t>
      </w:r>
      <w:r w:rsidRPr="007D30EB">
        <w:rPr>
          <w:rStyle w:val="hps"/>
          <w:color w:val="222222"/>
        </w:rPr>
        <w:t>a</w:t>
      </w:r>
      <w:r w:rsidRPr="007D30EB">
        <w:rPr>
          <w:color w:val="222222"/>
        </w:rPr>
        <w:t xml:space="preserve"> </w:t>
      </w:r>
      <w:r w:rsidRPr="007D30EB">
        <w:rPr>
          <w:rStyle w:val="hps"/>
          <w:color w:val="222222"/>
        </w:rPr>
        <w:t>náklady</w:t>
      </w:r>
      <w:r w:rsidRPr="007D30EB">
        <w:rPr>
          <w:color w:val="222222"/>
        </w:rPr>
        <w:t xml:space="preserve"> </w:t>
      </w:r>
      <w:r w:rsidRPr="007D30EB">
        <w:rPr>
          <w:rStyle w:val="hps"/>
          <w:color w:val="222222"/>
        </w:rPr>
        <w:t>súvisiace</w:t>
      </w:r>
      <w:r w:rsidRPr="007D30EB">
        <w:rPr>
          <w:color w:val="222222"/>
        </w:rPr>
        <w:t xml:space="preserve"> </w:t>
      </w:r>
      <w:r w:rsidRPr="007D30EB">
        <w:rPr>
          <w:rStyle w:val="hps"/>
          <w:color w:val="222222"/>
        </w:rPr>
        <w:t>so</w:t>
      </w:r>
      <w:r w:rsidRPr="007D30EB">
        <w:rPr>
          <w:color w:val="222222"/>
        </w:rPr>
        <w:t xml:space="preserve"> </w:t>
      </w:r>
      <w:r w:rsidRPr="007D30EB">
        <w:rPr>
          <w:rStyle w:val="hps"/>
          <w:color w:val="222222"/>
        </w:rPr>
        <w:t>vzácnosťou</w:t>
      </w:r>
      <w:r w:rsidRPr="007D30EB">
        <w:rPr>
          <w:color w:val="222222"/>
        </w:rPr>
        <w:t xml:space="preserve"> </w:t>
      </w:r>
      <w:r w:rsidRPr="007D30EB">
        <w:rPr>
          <w:rStyle w:val="hps"/>
          <w:color w:val="222222"/>
        </w:rPr>
        <w:t>a</w:t>
      </w:r>
      <w:r w:rsidRPr="007D30EB">
        <w:rPr>
          <w:color w:val="222222"/>
        </w:rPr>
        <w:t xml:space="preserve"> </w:t>
      </w:r>
      <w:r w:rsidRPr="007D30EB">
        <w:rPr>
          <w:rStyle w:val="hps"/>
          <w:color w:val="222222"/>
        </w:rPr>
        <w:t>obmedzenosťou</w:t>
      </w:r>
      <w:r w:rsidRPr="007D30EB">
        <w:rPr>
          <w:color w:val="222222"/>
        </w:rPr>
        <w:t xml:space="preserve"> </w:t>
      </w:r>
      <w:r w:rsidRPr="007D30EB">
        <w:rPr>
          <w:rStyle w:val="hps"/>
          <w:color w:val="222222"/>
        </w:rPr>
        <w:t>využívaných</w:t>
      </w:r>
      <w:r w:rsidRPr="007D30EB">
        <w:rPr>
          <w:color w:val="222222"/>
        </w:rPr>
        <w:t xml:space="preserve"> </w:t>
      </w:r>
      <w:r w:rsidRPr="007D30EB">
        <w:rPr>
          <w:rStyle w:val="hps"/>
          <w:color w:val="222222"/>
        </w:rPr>
        <w:t>zdrojov</w:t>
      </w:r>
      <w:r w:rsidRPr="007D30EB">
        <w:rPr>
          <w:color w:val="222222"/>
        </w:rPr>
        <w:t xml:space="preserve">. </w:t>
      </w:r>
      <w:r w:rsidRPr="007D30EB">
        <w:rPr>
          <w:rStyle w:val="hps"/>
          <w:color w:val="222222"/>
        </w:rPr>
        <w:t>Reflektovaná</w:t>
      </w:r>
      <w:r w:rsidRPr="007D30EB">
        <w:rPr>
          <w:color w:val="222222"/>
        </w:rPr>
        <w:t xml:space="preserve"> </w:t>
      </w:r>
      <w:r w:rsidRPr="007D30EB">
        <w:rPr>
          <w:rStyle w:val="hps"/>
          <w:color w:val="222222"/>
        </w:rPr>
        <w:t>musia</w:t>
      </w:r>
      <w:r w:rsidRPr="007D30EB">
        <w:rPr>
          <w:color w:val="222222"/>
        </w:rPr>
        <w:t xml:space="preserve"> </w:t>
      </w:r>
      <w:r w:rsidRPr="007D30EB">
        <w:rPr>
          <w:rStyle w:val="hps"/>
          <w:color w:val="222222"/>
        </w:rPr>
        <w:t>byť</w:t>
      </w:r>
      <w:r w:rsidRPr="007D30EB">
        <w:rPr>
          <w:color w:val="222222"/>
        </w:rPr>
        <w:t xml:space="preserve"> </w:t>
      </w:r>
      <w:r w:rsidRPr="007D30EB">
        <w:rPr>
          <w:rStyle w:val="hps"/>
          <w:color w:val="222222"/>
        </w:rPr>
        <w:t>nasledujúce pravidlá</w:t>
      </w:r>
      <w:r w:rsidRPr="007D30EB">
        <w:rPr>
          <w:color w:val="222222"/>
        </w:rPr>
        <w:t>:</w:t>
      </w:r>
      <w:r w:rsidR="008348D6">
        <w:rPr>
          <w:color w:val="222222"/>
        </w:rPr>
        <w:tab/>
      </w:r>
      <w:r w:rsidR="008348D6">
        <w:rPr>
          <w:color w:val="222222"/>
        </w:rPr>
        <w:tab/>
      </w:r>
    </w:p>
    <w:p w14:paraId="093254DB" w14:textId="77777777" w:rsidR="008D34EF" w:rsidRPr="00C2033C" w:rsidRDefault="00AA0E53" w:rsidP="00F26B1B">
      <w:pPr>
        <w:pStyle w:val="Odsekzoznamu"/>
        <w:numPr>
          <w:ilvl w:val="0"/>
          <w:numId w:val="38"/>
        </w:numPr>
        <w:spacing w:before="200" w:after="200"/>
        <w:ind w:left="1276" w:hanging="425"/>
        <w:jc w:val="both"/>
      </w:pPr>
      <w:r w:rsidRPr="00C2033C">
        <w:t>náklady znečistenia životného prostredia vrátane uplatnených preventívnych opatrení nesú tí, ktorí znečistenie spôsobujú;</w:t>
      </w:r>
    </w:p>
    <w:p w14:paraId="6AEE1698" w14:textId="77777777" w:rsidR="008D34EF" w:rsidRPr="00C2033C" w:rsidRDefault="00AA0E53" w:rsidP="00F26B1B">
      <w:pPr>
        <w:pStyle w:val="Odsekzoznamu"/>
        <w:numPr>
          <w:ilvl w:val="0"/>
          <w:numId w:val="38"/>
        </w:numPr>
        <w:spacing w:before="200" w:after="200"/>
        <w:ind w:left="1276" w:hanging="425"/>
        <w:jc w:val="both"/>
      </w:pPr>
      <w:r w:rsidRPr="00C2033C">
        <w:t>uplatnené poplatky plne vykompenzujú celkové náklady environmentálnych služieb</w:t>
      </w:r>
      <w:r w:rsidR="008D34EF" w:rsidRPr="00C2033C">
        <w:t xml:space="preserve"> </w:t>
      </w:r>
      <w:r w:rsidRPr="00C2033C">
        <w:t>vrátane kapitálových nákladov;</w:t>
      </w:r>
    </w:p>
    <w:p w14:paraId="4AE5B888" w14:textId="77777777" w:rsidR="008D34EF" w:rsidRPr="00C2033C" w:rsidRDefault="00AA0E53" w:rsidP="00F26B1B">
      <w:pPr>
        <w:pStyle w:val="Odsekzoznamu"/>
        <w:numPr>
          <w:ilvl w:val="0"/>
          <w:numId w:val="38"/>
        </w:numPr>
        <w:spacing w:before="200" w:after="200"/>
        <w:ind w:left="1276" w:hanging="425"/>
        <w:jc w:val="both"/>
      </w:pPr>
      <w:r w:rsidRPr="00C2033C">
        <w:t>výška poplatkov je stanovená s cieľom zaistenia kompenzácie kapitálových nákladov</w:t>
      </w:r>
      <w:r w:rsidR="008D34EF" w:rsidRPr="00C2033C">
        <w:t xml:space="preserve"> </w:t>
      </w:r>
      <w:r w:rsidRPr="00C2033C">
        <w:t>prevádzkových nákladov a nákladov na údržbu, vrátane nákladov na životné prostredie a zdroje;</w:t>
      </w:r>
    </w:p>
    <w:p w14:paraId="69E52839" w14:textId="77777777" w:rsidR="00AA0E53" w:rsidRDefault="00AA0E53" w:rsidP="00F26B1B">
      <w:pPr>
        <w:pStyle w:val="Odsekzoznamu"/>
        <w:numPr>
          <w:ilvl w:val="0"/>
          <w:numId w:val="38"/>
        </w:numPr>
        <w:spacing w:before="200" w:after="200"/>
        <w:ind w:left="1276" w:hanging="425"/>
        <w:jc w:val="both"/>
      </w:pPr>
      <w:r w:rsidRPr="00C2033C">
        <w:t>štruktúra poplatkov maximalizuje príjmy projektu pred zapojením verejných dotácií pri rešpektovaní princípu dostupnosti.</w:t>
      </w:r>
    </w:p>
    <w:p w14:paraId="1745055A" w14:textId="77777777" w:rsidR="00070252" w:rsidRPr="006A5294" w:rsidRDefault="006A5294" w:rsidP="006A5294">
      <w:pPr>
        <w:pStyle w:val="MPCKO3"/>
      </w:pPr>
      <w:bookmarkStart w:id="26" w:name="_Toc527539368"/>
      <w:r>
        <w:t>2</w:t>
      </w:r>
      <w:r w:rsidR="00070252" w:rsidRPr="006A5294">
        <w:t>.1.6 Zostatková hodnota majetku</w:t>
      </w:r>
      <w:bookmarkEnd w:id="26"/>
    </w:p>
    <w:p w14:paraId="4DEAFDB9" w14:textId="77777777" w:rsidR="00130E2B" w:rsidRDefault="00130E2B" w:rsidP="00070252">
      <w:pPr>
        <w:jc w:val="both"/>
        <w:rPr>
          <w:highlight w:val="yellow"/>
        </w:rPr>
      </w:pPr>
    </w:p>
    <w:p w14:paraId="4B148C9B" w14:textId="77777777" w:rsidR="00070252" w:rsidRPr="00B403CD" w:rsidRDefault="00070252" w:rsidP="00070252">
      <w:pPr>
        <w:jc w:val="both"/>
      </w:pPr>
      <w:r w:rsidRPr="00B403CD">
        <w:t>Zostatková hodnota je hodnota, ktorú bude mať majetok v poslednom roku časového horizontu finančnej analýzy.</w:t>
      </w:r>
      <w:r w:rsidR="009E28B3">
        <w:t xml:space="preserve"> </w:t>
      </w:r>
      <w:r w:rsidRPr="00B403CD">
        <w:t>Ak majú aktíva projektu projektovanú životnosť dlhšiu ako referenčné obdobie, ich zostatková hodnota sa určí vypočítaním čistej súčasnej hodnoty peňažných tokov v zostávajúcich rokoch životnosti projektu. Za riadne odôvodnených okolností možno použiť aj iné metódy výpočtu zostatkovej hodnoty.</w:t>
      </w:r>
    </w:p>
    <w:p w14:paraId="6E62ED73" w14:textId="77777777" w:rsidR="00070252" w:rsidRPr="00B403CD" w:rsidRDefault="00070252" w:rsidP="00070252">
      <w:pPr>
        <w:jc w:val="both"/>
      </w:pPr>
    </w:p>
    <w:p w14:paraId="643C3821" w14:textId="77777777" w:rsidR="00070252" w:rsidRPr="00B403CD" w:rsidRDefault="00070252" w:rsidP="00070252">
      <w:pPr>
        <w:jc w:val="both"/>
      </w:pPr>
      <w:r w:rsidRPr="00B403CD">
        <w:lastRenderedPageBreak/>
        <w:t>Zostatková hodnota investície sa zahrnie do výpočtu diskontovaných čistých príjmov projektu iba vtedy, ak príjmy prevyšujú prevádzkové výdavky.</w:t>
      </w:r>
    </w:p>
    <w:p w14:paraId="754244CB" w14:textId="77777777" w:rsidR="00070252" w:rsidRDefault="00070252" w:rsidP="00070252">
      <w:pPr>
        <w:jc w:val="both"/>
      </w:pPr>
      <w:r w:rsidRPr="00B403CD">
        <w:t>Medzi príjmovými položkami v poslednom zvažovanom roku je zostatková hodnota majetku, ktorá sa používa vždy pre výpočet</w:t>
      </w:r>
      <w:r w:rsidR="00067768">
        <w:t xml:space="preserve"> </w:t>
      </w:r>
      <w:r w:rsidR="00067768" w:rsidRPr="00B403CD">
        <w:t>finančnej miery návratnosti investície</w:t>
      </w:r>
      <w:r w:rsidR="00067768">
        <w:t xml:space="preserve"> a národného kapitálu</w:t>
      </w:r>
      <w:r w:rsidRPr="00B403CD">
        <w:t xml:space="preserve"> </w:t>
      </w:r>
      <w:r w:rsidR="00067768">
        <w:t>(</w:t>
      </w:r>
      <w:r w:rsidRPr="00B403CD">
        <w:t>FRR/C a FRR/K</w:t>
      </w:r>
      <w:r w:rsidR="00067768">
        <w:t>)</w:t>
      </w:r>
      <w:r w:rsidR="00B403CD">
        <w:t>.</w:t>
      </w:r>
    </w:p>
    <w:p w14:paraId="0A5614CA" w14:textId="77777777" w:rsidR="00070252" w:rsidRPr="006A5294" w:rsidRDefault="006A5294" w:rsidP="006A5294">
      <w:pPr>
        <w:pStyle w:val="MPCKO3"/>
      </w:pPr>
      <w:bookmarkStart w:id="27" w:name="_Toc527539369"/>
      <w:r>
        <w:t>2</w:t>
      </w:r>
      <w:r w:rsidR="00070252" w:rsidRPr="006A5294">
        <w:t>.1.7 Výpočet cashflow projektu</w:t>
      </w:r>
      <w:bookmarkEnd w:id="27"/>
    </w:p>
    <w:p w14:paraId="2368325F" w14:textId="77777777" w:rsidR="00130E2B" w:rsidRDefault="00130E2B" w:rsidP="00070252">
      <w:pPr>
        <w:jc w:val="both"/>
        <w:rPr>
          <w:highlight w:val="yellow"/>
        </w:rPr>
      </w:pPr>
    </w:p>
    <w:p w14:paraId="6F6127B2" w14:textId="098BEFED" w:rsidR="00070252" w:rsidRPr="00B403CD" w:rsidRDefault="00070252" w:rsidP="00070252">
      <w:pPr>
        <w:jc w:val="both"/>
      </w:pPr>
      <w:r w:rsidRPr="00B403CD">
        <w:t xml:space="preserve">Cashflow (ďalej iba CF) je zjednodušene vyjadrenie „prebytku príjmov nad výdavkami projektu“. Výpočet cashflow vychádza z výpočtu odhadovaných výnosov projektu a je realizovaný zvlášť pre alternatívu A (bez podpory z </w:t>
      </w:r>
      <w:r w:rsidR="001434A7">
        <w:t>EŠIF</w:t>
      </w:r>
      <w:r w:rsidRPr="00B403CD">
        <w:t>)  a zvlášť pre alternatívu B (s</w:t>
      </w:r>
      <w:r w:rsidR="008E5524">
        <w:t> </w:t>
      </w:r>
      <w:r w:rsidRPr="00B403CD">
        <w:t xml:space="preserve">podporou </w:t>
      </w:r>
      <w:r w:rsidR="001434A7">
        <w:t>EŠIF</w:t>
      </w:r>
      <w:r w:rsidRPr="00B403CD">
        <w:t xml:space="preserve">). </w:t>
      </w:r>
    </w:p>
    <w:p w14:paraId="7D3CD8E9" w14:textId="77777777" w:rsidR="00070252" w:rsidRPr="00B403CD" w:rsidRDefault="00070252" w:rsidP="00070252">
      <w:pPr>
        <w:jc w:val="both"/>
      </w:pPr>
      <w:r w:rsidRPr="00B403CD">
        <w:t xml:space="preserve">Výpočet cashflow sa realizuje v nasledujúcich krokoch: </w:t>
      </w:r>
    </w:p>
    <w:p w14:paraId="225A6F96" w14:textId="77777777" w:rsidR="00070252" w:rsidRPr="00B403CD" w:rsidRDefault="00070252" w:rsidP="007C2172">
      <w:pPr>
        <w:numPr>
          <w:ilvl w:val="0"/>
          <w:numId w:val="3"/>
        </w:numPr>
        <w:suppressAutoHyphens/>
        <w:jc w:val="both"/>
      </w:pPr>
      <w:r w:rsidRPr="00B403CD">
        <w:t>od príjmov (spolu zo zostatkovou hodnotou majetku) odpočítame výdavky projektu a dostaneme hotovostný tok – cashflow;</w:t>
      </w:r>
    </w:p>
    <w:p w14:paraId="02779A99" w14:textId="77777777" w:rsidR="00070252" w:rsidRPr="00B403CD" w:rsidRDefault="00070252" w:rsidP="007C2172">
      <w:pPr>
        <w:numPr>
          <w:ilvl w:val="0"/>
          <w:numId w:val="3"/>
        </w:numPr>
        <w:suppressAutoHyphens/>
        <w:jc w:val="both"/>
      </w:pPr>
      <w:r w:rsidRPr="00B403CD">
        <w:t>vypočítame cashflow pre alternatívu A</w:t>
      </w:r>
      <w:r w:rsidR="00B403CD">
        <w:t xml:space="preserve"> </w:t>
      </w:r>
      <w:r w:rsidRPr="00B403CD">
        <w:t>a alternatívu B.</w:t>
      </w:r>
    </w:p>
    <w:p w14:paraId="41728F89" w14:textId="77777777" w:rsidR="00070252" w:rsidRPr="00B403CD" w:rsidRDefault="00070252" w:rsidP="00070252">
      <w:pPr>
        <w:jc w:val="both"/>
      </w:pPr>
    </w:p>
    <w:p w14:paraId="62F95E33" w14:textId="587FFB5D" w:rsidR="00070252" w:rsidRPr="00B403CD" w:rsidRDefault="00070252" w:rsidP="00070252">
      <w:pPr>
        <w:jc w:val="both"/>
      </w:pPr>
      <w:r w:rsidRPr="00B403CD">
        <w:t>Zohľadňujú sa iba peňažné toky, t. j. aktuálna výška hotovosti, ktorú projekt spláca alebo prijíma. Takže, napríklad, bezhotovostné účtovné položky ako odpisy a rezervy pre</w:t>
      </w:r>
      <w:r w:rsidR="008E5524">
        <w:t> </w:t>
      </w:r>
      <w:r w:rsidRPr="00B403CD">
        <w:t>nepredvídané straty nesmú byť zahrnuté do analýzy diskontovaných peňažných tokov. Ak je však navrhovaný projekt podporený podrobnou analýzou rizík, mimoriadne prípady sa môžu zahrnúť do oprávnených nákladov tak, aby nepresiahli 10 % celkových investičných nákladov po odpočítaní mimoriadnych prípadov. Mimoriadne prípady by však nemali byť nikdy zahrnuté do nákladov uvažovaných na stanovenie medzery vo financovaní, keďže nepredstavujú peňažné toky. Peňažné toky sa musia zohľadniť v roku, v ktorom vznikli,</w:t>
      </w:r>
      <w:r w:rsidRPr="00B403CD">
        <w:br/>
        <w:t>a počas daného referenčného obdobia . Ak skutočné ekonomicky užitočné trvanie projektu presiahne uvažované referenčné obdobie, je nutné zohľadniť aj zostatkovú hodnotu investície. V ideálnom prípade sa vypočíta ako súčasná hodnota očakávaných čistých peňažných tokov počas rokov ekonomického trvania, ktoré prekračujú referenčné obdobie.</w:t>
      </w:r>
    </w:p>
    <w:p w14:paraId="139FBCCC" w14:textId="77777777" w:rsidR="00070252" w:rsidRDefault="00070252" w:rsidP="00070252">
      <w:pPr>
        <w:suppressAutoHyphens/>
        <w:jc w:val="both"/>
        <w:rPr>
          <w:highlight w:val="yellow"/>
        </w:rPr>
      </w:pPr>
    </w:p>
    <w:p w14:paraId="721A91A8" w14:textId="77777777" w:rsidR="00070252" w:rsidRPr="00B403CD" w:rsidRDefault="00070252" w:rsidP="00070252">
      <w:pPr>
        <w:suppressAutoHyphens/>
        <w:jc w:val="both"/>
      </w:pPr>
      <w:r w:rsidRPr="00B403CD">
        <w:t>Tab. Príklad cashflowu udržateľnosti, FNPV( C ), FNPV ( K ) projektu</w:t>
      </w:r>
    </w:p>
    <w:p w14:paraId="0052D90A" w14:textId="77777777" w:rsidR="00070252" w:rsidRDefault="00070252" w:rsidP="0007025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2"/>
        <w:gridCol w:w="2322"/>
        <w:gridCol w:w="2322"/>
        <w:gridCol w:w="2322"/>
      </w:tblGrid>
      <w:tr w:rsidR="00034644" w14:paraId="337C3097" w14:textId="77777777" w:rsidTr="006A5294">
        <w:tc>
          <w:tcPr>
            <w:tcW w:w="1250" w:type="pct"/>
            <w:tcBorders>
              <w:bottom w:val="single" w:sz="4" w:space="0" w:color="auto"/>
            </w:tcBorders>
            <w:shd w:val="clear" w:color="auto" w:fill="C6D9F1"/>
          </w:tcPr>
          <w:p w14:paraId="055D039E" w14:textId="77777777" w:rsidR="00070252" w:rsidRDefault="00070252" w:rsidP="006A5294"/>
        </w:tc>
        <w:tc>
          <w:tcPr>
            <w:tcW w:w="1250" w:type="pct"/>
            <w:tcBorders>
              <w:bottom w:val="single" w:sz="4" w:space="0" w:color="auto"/>
            </w:tcBorders>
            <w:shd w:val="clear" w:color="auto" w:fill="C6D9F1"/>
          </w:tcPr>
          <w:p w14:paraId="5C60739A" w14:textId="77777777" w:rsidR="00070252" w:rsidRPr="00CF19D6" w:rsidRDefault="00070252" w:rsidP="006A5294">
            <w:pPr>
              <w:rPr>
                <w:b/>
              </w:rPr>
            </w:pPr>
            <w:r w:rsidRPr="00CF19D6">
              <w:rPr>
                <w:b/>
              </w:rPr>
              <w:t>FNPV ( C )</w:t>
            </w:r>
          </w:p>
        </w:tc>
        <w:tc>
          <w:tcPr>
            <w:tcW w:w="1250" w:type="pct"/>
            <w:tcBorders>
              <w:bottom w:val="single" w:sz="4" w:space="0" w:color="auto"/>
            </w:tcBorders>
            <w:shd w:val="clear" w:color="auto" w:fill="C6D9F1"/>
          </w:tcPr>
          <w:p w14:paraId="7B3FD3CA" w14:textId="77777777" w:rsidR="00070252" w:rsidRPr="00CF19D6" w:rsidRDefault="00070252" w:rsidP="006A5294">
            <w:pPr>
              <w:rPr>
                <w:b/>
              </w:rPr>
            </w:pPr>
            <w:r w:rsidRPr="00CF19D6">
              <w:rPr>
                <w:b/>
              </w:rPr>
              <w:t>Udržateľnosť</w:t>
            </w:r>
          </w:p>
        </w:tc>
        <w:tc>
          <w:tcPr>
            <w:tcW w:w="1250" w:type="pct"/>
            <w:tcBorders>
              <w:bottom w:val="single" w:sz="4" w:space="0" w:color="auto"/>
            </w:tcBorders>
            <w:shd w:val="clear" w:color="auto" w:fill="C6D9F1"/>
          </w:tcPr>
          <w:p w14:paraId="5AACD535" w14:textId="77777777" w:rsidR="00070252" w:rsidRPr="00CF19D6" w:rsidRDefault="00070252" w:rsidP="006A5294">
            <w:pPr>
              <w:rPr>
                <w:b/>
              </w:rPr>
            </w:pPr>
            <w:r w:rsidRPr="00CF19D6">
              <w:rPr>
                <w:b/>
              </w:rPr>
              <w:t>FNPV ( K )</w:t>
            </w:r>
          </w:p>
        </w:tc>
      </w:tr>
      <w:tr w:rsidR="00034644" w14:paraId="3FFA159C" w14:textId="77777777" w:rsidTr="006A5294">
        <w:tc>
          <w:tcPr>
            <w:tcW w:w="1250" w:type="pct"/>
            <w:shd w:val="clear" w:color="auto" w:fill="C6D9F1"/>
          </w:tcPr>
          <w:p w14:paraId="3E60DEA2" w14:textId="77777777" w:rsidR="00070252" w:rsidRPr="00CF19D6" w:rsidRDefault="00070252" w:rsidP="006A5294">
            <w:pPr>
              <w:rPr>
                <w:b/>
              </w:rPr>
            </w:pPr>
            <w:r w:rsidRPr="00CF19D6">
              <w:rPr>
                <w:b/>
              </w:rPr>
              <w:t>Celkové investičné výdavky</w:t>
            </w:r>
          </w:p>
        </w:tc>
        <w:tc>
          <w:tcPr>
            <w:tcW w:w="1250" w:type="pct"/>
            <w:shd w:val="clear" w:color="auto" w:fill="C6D9F1"/>
          </w:tcPr>
          <w:p w14:paraId="2549B529" w14:textId="77777777" w:rsidR="00070252" w:rsidRDefault="00070252" w:rsidP="006A5294">
            <w:pPr>
              <w:jc w:val="center"/>
            </w:pPr>
          </w:p>
        </w:tc>
        <w:tc>
          <w:tcPr>
            <w:tcW w:w="1250" w:type="pct"/>
            <w:shd w:val="clear" w:color="auto" w:fill="C6D9F1"/>
          </w:tcPr>
          <w:p w14:paraId="17B7A43D" w14:textId="77777777" w:rsidR="00070252" w:rsidRDefault="00070252" w:rsidP="006A5294">
            <w:pPr>
              <w:jc w:val="center"/>
            </w:pPr>
          </w:p>
        </w:tc>
        <w:tc>
          <w:tcPr>
            <w:tcW w:w="1250" w:type="pct"/>
            <w:shd w:val="clear" w:color="auto" w:fill="C6D9F1"/>
          </w:tcPr>
          <w:p w14:paraId="7B24706E" w14:textId="77777777" w:rsidR="00070252" w:rsidRDefault="00070252" w:rsidP="006A5294">
            <w:pPr>
              <w:jc w:val="center"/>
            </w:pPr>
          </w:p>
        </w:tc>
      </w:tr>
      <w:tr w:rsidR="00070252" w14:paraId="48838791" w14:textId="77777777" w:rsidTr="0056666E">
        <w:tc>
          <w:tcPr>
            <w:tcW w:w="1250" w:type="pct"/>
            <w:shd w:val="clear" w:color="auto" w:fill="auto"/>
          </w:tcPr>
          <w:p w14:paraId="781BE001" w14:textId="77777777" w:rsidR="00070252" w:rsidRDefault="00070252" w:rsidP="006A5294">
            <w:r>
              <w:t>Pozemky</w:t>
            </w:r>
          </w:p>
        </w:tc>
        <w:tc>
          <w:tcPr>
            <w:tcW w:w="1250" w:type="pct"/>
            <w:shd w:val="clear" w:color="auto" w:fill="auto"/>
          </w:tcPr>
          <w:p w14:paraId="606D7A80" w14:textId="77777777" w:rsidR="00070252" w:rsidRDefault="00070252" w:rsidP="006A5294">
            <w:pPr>
              <w:jc w:val="center"/>
            </w:pPr>
            <w:r>
              <w:t>-</w:t>
            </w:r>
          </w:p>
        </w:tc>
        <w:tc>
          <w:tcPr>
            <w:tcW w:w="1250" w:type="pct"/>
            <w:shd w:val="clear" w:color="auto" w:fill="auto"/>
          </w:tcPr>
          <w:p w14:paraId="63016F51" w14:textId="77777777" w:rsidR="00070252" w:rsidRDefault="00070252" w:rsidP="006A5294">
            <w:pPr>
              <w:jc w:val="center"/>
            </w:pPr>
            <w:r>
              <w:t>-</w:t>
            </w:r>
          </w:p>
        </w:tc>
        <w:tc>
          <w:tcPr>
            <w:tcW w:w="1250" w:type="pct"/>
            <w:shd w:val="clear" w:color="auto" w:fill="auto"/>
          </w:tcPr>
          <w:p w14:paraId="49186911" w14:textId="77777777" w:rsidR="00070252" w:rsidRDefault="00070252" w:rsidP="006A5294">
            <w:pPr>
              <w:jc w:val="center"/>
            </w:pPr>
          </w:p>
        </w:tc>
      </w:tr>
      <w:tr w:rsidR="00070252" w14:paraId="05D8FBE8" w14:textId="77777777" w:rsidTr="0056666E">
        <w:tc>
          <w:tcPr>
            <w:tcW w:w="1250" w:type="pct"/>
            <w:shd w:val="clear" w:color="auto" w:fill="auto"/>
          </w:tcPr>
          <w:p w14:paraId="78F4B012" w14:textId="77777777" w:rsidR="00070252" w:rsidRDefault="00070252" w:rsidP="006A5294">
            <w:r>
              <w:t>Budovy</w:t>
            </w:r>
          </w:p>
        </w:tc>
        <w:tc>
          <w:tcPr>
            <w:tcW w:w="1250" w:type="pct"/>
            <w:shd w:val="clear" w:color="auto" w:fill="auto"/>
          </w:tcPr>
          <w:p w14:paraId="5E13A00B" w14:textId="77777777" w:rsidR="00070252" w:rsidRDefault="00070252" w:rsidP="006A5294">
            <w:pPr>
              <w:jc w:val="center"/>
            </w:pPr>
            <w:r>
              <w:t>-</w:t>
            </w:r>
          </w:p>
        </w:tc>
        <w:tc>
          <w:tcPr>
            <w:tcW w:w="1250" w:type="pct"/>
            <w:shd w:val="clear" w:color="auto" w:fill="auto"/>
          </w:tcPr>
          <w:p w14:paraId="31EFA96D" w14:textId="77777777" w:rsidR="00070252" w:rsidRDefault="00070252" w:rsidP="006A5294">
            <w:pPr>
              <w:jc w:val="center"/>
            </w:pPr>
            <w:r>
              <w:t>-</w:t>
            </w:r>
          </w:p>
        </w:tc>
        <w:tc>
          <w:tcPr>
            <w:tcW w:w="1250" w:type="pct"/>
            <w:shd w:val="clear" w:color="auto" w:fill="auto"/>
          </w:tcPr>
          <w:p w14:paraId="524395DC" w14:textId="77777777" w:rsidR="00070252" w:rsidRDefault="00070252" w:rsidP="006A5294">
            <w:pPr>
              <w:jc w:val="center"/>
            </w:pPr>
          </w:p>
        </w:tc>
      </w:tr>
      <w:tr w:rsidR="00070252" w14:paraId="0C083403" w14:textId="77777777" w:rsidTr="0056666E">
        <w:tc>
          <w:tcPr>
            <w:tcW w:w="1250" w:type="pct"/>
            <w:shd w:val="clear" w:color="auto" w:fill="auto"/>
          </w:tcPr>
          <w:p w14:paraId="7044A4BB" w14:textId="77777777" w:rsidR="00070252" w:rsidRDefault="00070252" w:rsidP="006A5294">
            <w:r>
              <w:t>Zariadenia</w:t>
            </w:r>
          </w:p>
        </w:tc>
        <w:tc>
          <w:tcPr>
            <w:tcW w:w="1250" w:type="pct"/>
            <w:shd w:val="clear" w:color="auto" w:fill="auto"/>
          </w:tcPr>
          <w:p w14:paraId="147095A5" w14:textId="77777777" w:rsidR="00070252" w:rsidRDefault="00070252" w:rsidP="006A5294">
            <w:pPr>
              <w:jc w:val="center"/>
            </w:pPr>
            <w:r>
              <w:t>-</w:t>
            </w:r>
          </w:p>
        </w:tc>
        <w:tc>
          <w:tcPr>
            <w:tcW w:w="1250" w:type="pct"/>
            <w:shd w:val="clear" w:color="auto" w:fill="auto"/>
          </w:tcPr>
          <w:p w14:paraId="3E298A39" w14:textId="77777777" w:rsidR="00070252" w:rsidRDefault="00070252" w:rsidP="006A5294">
            <w:pPr>
              <w:jc w:val="center"/>
            </w:pPr>
            <w:r>
              <w:t>-</w:t>
            </w:r>
          </w:p>
        </w:tc>
        <w:tc>
          <w:tcPr>
            <w:tcW w:w="1250" w:type="pct"/>
            <w:shd w:val="clear" w:color="auto" w:fill="auto"/>
          </w:tcPr>
          <w:p w14:paraId="5AA877C9" w14:textId="77777777" w:rsidR="00070252" w:rsidRDefault="00070252" w:rsidP="006A5294">
            <w:pPr>
              <w:jc w:val="center"/>
            </w:pPr>
          </w:p>
        </w:tc>
      </w:tr>
      <w:tr w:rsidR="00070252" w14:paraId="335E0D7E" w14:textId="77777777" w:rsidTr="0056666E">
        <w:tc>
          <w:tcPr>
            <w:tcW w:w="1250" w:type="pct"/>
            <w:shd w:val="clear" w:color="auto" w:fill="auto"/>
          </w:tcPr>
          <w:p w14:paraId="31C01056" w14:textId="77777777" w:rsidR="00070252" w:rsidRDefault="00070252" w:rsidP="006A5294">
            <w:r>
              <w:t>Mimoriadne reinvestície</w:t>
            </w:r>
          </w:p>
        </w:tc>
        <w:tc>
          <w:tcPr>
            <w:tcW w:w="1250" w:type="pct"/>
            <w:shd w:val="clear" w:color="auto" w:fill="auto"/>
          </w:tcPr>
          <w:p w14:paraId="303F8464" w14:textId="77777777" w:rsidR="00070252" w:rsidRDefault="00070252" w:rsidP="006A5294">
            <w:pPr>
              <w:jc w:val="center"/>
            </w:pPr>
            <w:r>
              <w:t>-</w:t>
            </w:r>
          </w:p>
        </w:tc>
        <w:tc>
          <w:tcPr>
            <w:tcW w:w="1250" w:type="pct"/>
            <w:shd w:val="clear" w:color="auto" w:fill="auto"/>
          </w:tcPr>
          <w:p w14:paraId="0FC6BF4E" w14:textId="77777777" w:rsidR="00070252" w:rsidRDefault="00070252" w:rsidP="006A5294">
            <w:pPr>
              <w:jc w:val="center"/>
            </w:pPr>
            <w:r>
              <w:t>-</w:t>
            </w:r>
          </w:p>
        </w:tc>
        <w:tc>
          <w:tcPr>
            <w:tcW w:w="1250" w:type="pct"/>
            <w:shd w:val="clear" w:color="auto" w:fill="auto"/>
          </w:tcPr>
          <w:p w14:paraId="56A5D80B" w14:textId="77777777" w:rsidR="00070252" w:rsidRDefault="00070252" w:rsidP="006A5294">
            <w:pPr>
              <w:jc w:val="center"/>
            </w:pPr>
          </w:p>
        </w:tc>
      </w:tr>
      <w:tr w:rsidR="00070252" w14:paraId="72411615" w14:textId="77777777" w:rsidTr="0056666E">
        <w:tc>
          <w:tcPr>
            <w:tcW w:w="1250" w:type="pct"/>
            <w:shd w:val="clear" w:color="auto" w:fill="auto"/>
          </w:tcPr>
          <w:p w14:paraId="3A38590A" w14:textId="77777777" w:rsidR="00070252" w:rsidRDefault="00070252" w:rsidP="006A5294">
            <w:r>
              <w:t>Licencie</w:t>
            </w:r>
          </w:p>
        </w:tc>
        <w:tc>
          <w:tcPr>
            <w:tcW w:w="1250" w:type="pct"/>
            <w:shd w:val="clear" w:color="auto" w:fill="auto"/>
          </w:tcPr>
          <w:p w14:paraId="1EBCAC4D" w14:textId="77777777" w:rsidR="00070252" w:rsidRDefault="00070252" w:rsidP="006A5294">
            <w:pPr>
              <w:jc w:val="center"/>
            </w:pPr>
            <w:r>
              <w:t>-</w:t>
            </w:r>
          </w:p>
        </w:tc>
        <w:tc>
          <w:tcPr>
            <w:tcW w:w="1250" w:type="pct"/>
            <w:shd w:val="clear" w:color="auto" w:fill="auto"/>
          </w:tcPr>
          <w:p w14:paraId="472ACD61" w14:textId="77777777" w:rsidR="00070252" w:rsidRDefault="00070252" w:rsidP="006A5294">
            <w:pPr>
              <w:jc w:val="center"/>
            </w:pPr>
            <w:r>
              <w:t>-</w:t>
            </w:r>
          </w:p>
        </w:tc>
        <w:tc>
          <w:tcPr>
            <w:tcW w:w="1250" w:type="pct"/>
            <w:shd w:val="clear" w:color="auto" w:fill="auto"/>
          </w:tcPr>
          <w:p w14:paraId="5015E00C" w14:textId="77777777" w:rsidR="00070252" w:rsidRDefault="00070252" w:rsidP="006A5294">
            <w:pPr>
              <w:jc w:val="center"/>
            </w:pPr>
          </w:p>
        </w:tc>
      </w:tr>
      <w:tr w:rsidR="00070252" w14:paraId="0913EE89" w14:textId="77777777" w:rsidTr="0056666E">
        <w:tc>
          <w:tcPr>
            <w:tcW w:w="1250" w:type="pct"/>
            <w:shd w:val="clear" w:color="auto" w:fill="auto"/>
          </w:tcPr>
          <w:p w14:paraId="45F908C8" w14:textId="77777777" w:rsidR="00070252" w:rsidRDefault="00070252" w:rsidP="006A5294">
            <w:r>
              <w:t>Patenty</w:t>
            </w:r>
          </w:p>
        </w:tc>
        <w:tc>
          <w:tcPr>
            <w:tcW w:w="1250" w:type="pct"/>
            <w:shd w:val="clear" w:color="auto" w:fill="auto"/>
          </w:tcPr>
          <w:p w14:paraId="7DD2C2E2" w14:textId="77777777" w:rsidR="00070252" w:rsidRDefault="00070252" w:rsidP="006A5294">
            <w:pPr>
              <w:jc w:val="center"/>
            </w:pPr>
            <w:r>
              <w:t>-</w:t>
            </w:r>
          </w:p>
        </w:tc>
        <w:tc>
          <w:tcPr>
            <w:tcW w:w="1250" w:type="pct"/>
            <w:shd w:val="clear" w:color="auto" w:fill="auto"/>
          </w:tcPr>
          <w:p w14:paraId="198B5D54" w14:textId="77777777" w:rsidR="00070252" w:rsidRDefault="00070252" w:rsidP="006A5294">
            <w:pPr>
              <w:jc w:val="center"/>
            </w:pPr>
            <w:r>
              <w:t>-</w:t>
            </w:r>
          </w:p>
        </w:tc>
        <w:tc>
          <w:tcPr>
            <w:tcW w:w="1250" w:type="pct"/>
            <w:shd w:val="clear" w:color="auto" w:fill="auto"/>
          </w:tcPr>
          <w:p w14:paraId="1288117F" w14:textId="77777777" w:rsidR="00070252" w:rsidRDefault="00070252" w:rsidP="006A5294">
            <w:pPr>
              <w:jc w:val="center"/>
            </w:pPr>
          </w:p>
        </w:tc>
      </w:tr>
      <w:tr w:rsidR="00070252" w14:paraId="32E23FF6" w14:textId="77777777" w:rsidTr="0056666E">
        <w:tc>
          <w:tcPr>
            <w:tcW w:w="1250" w:type="pct"/>
            <w:shd w:val="clear" w:color="auto" w:fill="auto"/>
          </w:tcPr>
          <w:p w14:paraId="5CB2B67D" w14:textId="77777777" w:rsidR="00070252" w:rsidRDefault="00070252" w:rsidP="006A5294">
            <w:r>
              <w:t>Nábehové investície</w:t>
            </w:r>
          </w:p>
        </w:tc>
        <w:tc>
          <w:tcPr>
            <w:tcW w:w="1250" w:type="pct"/>
            <w:shd w:val="clear" w:color="auto" w:fill="auto"/>
          </w:tcPr>
          <w:p w14:paraId="4F0FC681" w14:textId="77777777" w:rsidR="00070252" w:rsidRDefault="00070252" w:rsidP="006A5294">
            <w:pPr>
              <w:jc w:val="center"/>
            </w:pPr>
            <w:r>
              <w:t>-</w:t>
            </w:r>
          </w:p>
        </w:tc>
        <w:tc>
          <w:tcPr>
            <w:tcW w:w="1250" w:type="pct"/>
            <w:shd w:val="clear" w:color="auto" w:fill="auto"/>
          </w:tcPr>
          <w:p w14:paraId="2B3F2EB0" w14:textId="77777777" w:rsidR="00070252" w:rsidRDefault="00070252" w:rsidP="006A5294">
            <w:pPr>
              <w:jc w:val="center"/>
            </w:pPr>
            <w:r>
              <w:t>-</w:t>
            </w:r>
          </w:p>
        </w:tc>
        <w:tc>
          <w:tcPr>
            <w:tcW w:w="1250" w:type="pct"/>
            <w:shd w:val="clear" w:color="auto" w:fill="auto"/>
          </w:tcPr>
          <w:p w14:paraId="31EED807" w14:textId="77777777" w:rsidR="00070252" w:rsidRDefault="00070252" w:rsidP="006A5294">
            <w:pPr>
              <w:jc w:val="center"/>
            </w:pPr>
          </w:p>
        </w:tc>
      </w:tr>
      <w:tr w:rsidR="00070252" w14:paraId="6CAB31B7" w14:textId="77777777" w:rsidTr="0056666E">
        <w:tc>
          <w:tcPr>
            <w:tcW w:w="1250" w:type="pct"/>
            <w:tcBorders>
              <w:bottom w:val="single" w:sz="4" w:space="0" w:color="auto"/>
            </w:tcBorders>
            <w:shd w:val="clear" w:color="auto" w:fill="auto"/>
          </w:tcPr>
          <w:p w14:paraId="2CBC9BC8" w14:textId="77777777" w:rsidR="00070252" w:rsidRDefault="00070252" w:rsidP="006A5294">
            <w:r>
              <w:t>Zmeny v prac. kapitály</w:t>
            </w:r>
          </w:p>
        </w:tc>
        <w:tc>
          <w:tcPr>
            <w:tcW w:w="1250" w:type="pct"/>
            <w:tcBorders>
              <w:bottom w:val="single" w:sz="4" w:space="0" w:color="auto"/>
            </w:tcBorders>
            <w:shd w:val="clear" w:color="auto" w:fill="auto"/>
          </w:tcPr>
          <w:p w14:paraId="5AB11235" w14:textId="77777777" w:rsidR="00070252" w:rsidRDefault="00070252" w:rsidP="007C2172">
            <w:pPr>
              <w:numPr>
                <w:ilvl w:val="0"/>
                <w:numId w:val="3"/>
              </w:numPr>
              <w:jc w:val="center"/>
            </w:pPr>
            <w:r>
              <w:t>(+)</w:t>
            </w:r>
          </w:p>
        </w:tc>
        <w:tc>
          <w:tcPr>
            <w:tcW w:w="1250" w:type="pct"/>
            <w:tcBorders>
              <w:bottom w:val="single" w:sz="4" w:space="0" w:color="auto"/>
            </w:tcBorders>
            <w:shd w:val="clear" w:color="auto" w:fill="auto"/>
          </w:tcPr>
          <w:p w14:paraId="56147131" w14:textId="77777777" w:rsidR="00070252" w:rsidRDefault="00070252" w:rsidP="007C2172">
            <w:pPr>
              <w:numPr>
                <w:ilvl w:val="0"/>
                <w:numId w:val="3"/>
              </w:numPr>
              <w:jc w:val="center"/>
            </w:pPr>
            <w:r>
              <w:t>(+)</w:t>
            </w:r>
          </w:p>
        </w:tc>
        <w:tc>
          <w:tcPr>
            <w:tcW w:w="1250" w:type="pct"/>
            <w:tcBorders>
              <w:bottom w:val="single" w:sz="4" w:space="0" w:color="auto"/>
            </w:tcBorders>
            <w:shd w:val="clear" w:color="auto" w:fill="auto"/>
          </w:tcPr>
          <w:p w14:paraId="69473AE4" w14:textId="77777777" w:rsidR="00070252" w:rsidRDefault="00070252" w:rsidP="006A5294">
            <w:pPr>
              <w:jc w:val="center"/>
            </w:pPr>
          </w:p>
        </w:tc>
      </w:tr>
      <w:tr w:rsidR="00034644" w14:paraId="796698C7" w14:textId="77777777" w:rsidTr="006A5294">
        <w:tc>
          <w:tcPr>
            <w:tcW w:w="1250" w:type="pct"/>
            <w:tcBorders>
              <w:bottom w:val="single" w:sz="4" w:space="0" w:color="auto"/>
            </w:tcBorders>
            <w:shd w:val="clear" w:color="auto" w:fill="C6D9F1"/>
          </w:tcPr>
          <w:p w14:paraId="7E9F211A" w14:textId="77777777" w:rsidR="00070252" w:rsidRPr="00CF19D6" w:rsidRDefault="00070252" w:rsidP="006A5294">
            <w:pPr>
              <w:rPr>
                <w:b/>
              </w:rPr>
            </w:pPr>
            <w:r w:rsidRPr="00CF19D6">
              <w:rPr>
                <w:b/>
              </w:rPr>
              <w:t>Zostatková hodnota</w:t>
            </w:r>
          </w:p>
        </w:tc>
        <w:tc>
          <w:tcPr>
            <w:tcW w:w="1250" w:type="pct"/>
            <w:tcBorders>
              <w:bottom w:val="single" w:sz="4" w:space="0" w:color="auto"/>
            </w:tcBorders>
            <w:shd w:val="clear" w:color="auto" w:fill="C6D9F1"/>
          </w:tcPr>
          <w:p w14:paraId="39C5EABE" w14:textId="77777777" w:rsidR="00070252" w:rsidRDefault="00070252" w:rsidP="006A5294">
            <w:pPr>
              <w:jc w:val="center"/>
            </w:pPr>
            <w:r>
              <w:t>+</w:t>
            </w:r>
          </w:p>
        </w:tc>
        <w:tc>
          <w:tcPr>
            <w:tcW w:w="1250" w:type="pct"/>
            <w:tcBorders>
              <w:bottom w:val="single" w:sz="4" w:space="0" w:color="auto"/>
            </w:tcBorders>
            <w:shd w:val="clear" w:color="auto" w:fill="C6D9F1"/>
          </w:tcPr>
          <w:p w14:paraId="78CB3E15" w14:textId="77777777" w:rsidR="00070252" w:rsidRDefault="00070252" w:rsidP="006A5294">
            <w:pPr>
              <w:jc w:val="center"/>
            </w:pPr>
          </w:p>
        </w:tc>
        <w:tc>
          <w:tcPr>
            <w:tcW w:w="1250" w:type="pct"/>
            <w:tcBorders>
              <w:bottom w:val="single" w:sz="4" w:space="0" w:color="auto"/>
            </w:tcBorders>
            <w:shd w:val="clear" w:color="auto" w:fill="C6D9F1"/>
          </w:tcPr>
          <w:p w14:paraId="28199B46" w14:textId="77777777" w:rsidR="00070252" w:rsidRDefault="00070252" w:rsidP="006A5294">
            <w:pPr>
              <w:jc w:val="center"/>
            </w:pPr>
            <w:r>
              <w:t>+</w:t>
            </w:r>
          </w:p>
        </w:tc>
      </w:tr>
      <w:tr w:rsidR="00034644" w14:paraId="385C8E05" w14:textId="77777777" w:rsidTr="006A5294">
        <w:tc>
          <w:tcPr>
            <w:tcW w:w="1250" w:type="pct"/>
            <w:shd w:val="clear" w:color="auto" w:fill="C6D9F1"/>
          </w:tcPr>
          <w:p w14:paraId="70000E04" w14:textId="77777777" w:rsidR="00070252" w:rsidRPr="00CF19D6" w:rsidRDefault="00070252" w:rsidP="006A5294">
            <w:pPr>
              <w:rPr>
                <w:b/>
              </w:rPr>
            </w:pPr>
            <w:r w:rsidRPr="00CF19D6">
              <w:rPr>
                <w:b/>
              </w:rPr>
              <w:t>Celkové prevádzkové výdavky</w:t>
            </w:r>
          </w:p>
        </w:tc>
        <w:tc>
          <w:tcPr>
            <w:tcW w:w="1250" w:type="pct"/>
            <w:shd w:val="clear" w:color="auto" w:fill="C6D9F1"/>
          </w:tcPr>
          <w:p w14:paraId="4D2695E1" w14:textId="77777777" w:rsidR="00070252" w:rsidRDefault="00070252" w:rsidP="006A5294">
            <w:pPr>
              <w:jc w:val="center"/>
            </w:pPr>
          </w:p>
        </w:tc>
        <w:tc>
          <w:tcPr>
            <w:tcW w:w="1250" w:type="pct"/>
            <w:shd w:val="clear" w:color="auto" w:fill="C6D9F1"/>
          </w:tcPr>
          <w:p w14:paraId="5C50BE44" w14:textId="77777777" w:rsidR="00070252" w:rsidRDefault="00070252" w:rsidP="006A5294">
            <w:pPr>
              <w:jc w:val="center"/>
            </w:pPr>
          </w:p>
        </w:tc>
        <w:tc>
          <w:tcPr>
            <w:tcW w:w="1250" w:type="pct"/>
            <w:shd w:val="clear" w:color="auto" w:fill="C6D9F1"/>
          </w:tcPr>
          <w:p w14:paraId="20A01544" w14:textId="77777777" w:rsidR="00070252" w:rsidRDefault="00070252" w:rsidP="006A5294">
            <w:pPr>
              <w:jc w:val="center"/>
            </w:pPr>
          </w:p>
        </w:tc>
      </w:tr>
      <w:tr w:rsidR="00070252" w14:paraId="0F3D9F4C" w14:textId="77777777" w:rsidTr="0056666E">
        <w:tc>
          <w:tcPr>
            <w:tcW w:w="1250" w:type="pct"/>
            <w:shd w:val="clear" w:color="auto" w:fill="auto"/>
          </w:tcPr>
          <w:p w14:paraId="51C1381F" w14:textId="77777777" w:rsidR="00070252" w:rsidRDefault="00070252" w:rsidP="006A5294">
            <w:r>
              <w:lastRenderedPageBreak/>
              <w:t>Materiál</w:t>
            </w:r>
          </w:p>
        </w:tc>
        <w:tc>
          <w:tcPr>
            <w:tcW w:w="1250" w:type="pct"/>
            <w:shd w:val="clear" w:color="auto" w:fill="auto"/>
          </w:tcPr>
          <w:p w14:paraId="7C92E316" w14:textId="77777777" w:rsidR="00070252" w:rsidRDefault="00070252" w:rsidP="006A5294">
            <w:pPr>
              <w:jc w:val="center"/>
            </w:pPr>
            <w:r>
              <w:t>-</w:t>
            </w:r>
          </w:p>
        </w:tc>
        <w:tc>
          <w:tcPr>
            <w:tcW w:w="1250" w:type="pct"/>
            <w:shd w:val="clear" w:color="auto" w:fill="auto"/>
          </w:tcPr>
          <w:p w14:paraId="2A1EBD6D" w14:textId="77777777" w:rsidR="00070252" w:rsidRDefault="00070252" w:rsidP="006A5294">
            <w:pPr>
              <w:jc w:val="center"/>
            </w:pPr>
            <w:r>
              <w:t>-</w:t>
            </w:r>
          </w:p>
        </w:tc>
        <w:tc>
          <w:tcPr>
            <w:tcW w:w="1250" w:type="pct"/>
            <w:shd w:val="clear" w:color="auto" w:fill="auto"/>
          </w:tcPr>
          <w:p w14:paraId="7855D0F1" w14:textId="77777777" w:rsidR="00070252" w:rsidRDefault="00070252" w:rsidP="006A5294">
            <w:pPr>
              <w:jc w:val="center"/>
            </w:pPr>
            <w:r>
              <w:t>-</w:t>
            </w:r>
          </w:p>
        </w:tc>
      </w:tr>
      <w:tr w:rsidR="00070252" w14:paraId="5766CA79" w14:textId="77777777" w:rsidTr="0056666E">
        <w:tc>
          <w:tcPr>
            <w:tcW w:w="1250" w:type="pct"/>
            <w:shd w:val="clear" w:color="auto" w:fill="auto"/>
          </w:tcPr>
          <w:p w14:paraId="4A14CFE5" w14:textId="77777777" w:rsidR="00070252" w:rsidRDefault="00070252" w:rsidP="006A5294">
            <w:r>
              <w:t>Mzdy</w:t>
            </w:r>
          </w:p>
        </w:tc>
        <w:tc>
          <w:tcPr>
            <w:tcW w:w="1250" w:type="pct"/>
            <w:shd w:val="clear" w:color="auto" w:fill="auto"/>
          </w:tcPr>
          <w:p w14:paraId="1B786141" w14:textId="77777777" w:rsidR="00070252" w:rsidRDefault="00070252" w:rsidP="006A5294">
            <w:pPr>
              <w:jc w:val="center"/>
            </w:pPr>
            <w:r>
              <w:t>-</w:t>
            </w:r>
          </w:p>
        </w:tc>
        <w:tc>
          <w:tcPr>
            <w:tcW w:w="1250" w:type="pct"/>
            <w:shd w:val="clear" w:color="auto" w:fill="auto"/>
          </w:tcPr>
          <w:p w14:paraId="7437C504" w14:textId="77777777" w:rsidR="00070252" w:rsidRDefault="00070252" w:rsidP="006A5294">
            <w:pPr>
              <w:jc w:val="center"/>
            </w:pPr>
            <w:r>
              <w:t>-</w:t>
            </w:r>
          </w:p>
        </w:tc>
        <w:tc>
          <w:tcPr>
            <w:tcW w:w="1250" w:type="pct"/>
            <w:shd w:val="clear" w:color="auto" w:fill="auto"/>
          </w:tcPr>
          <w:p w14:paraId="1A8E1275" w14:textId="77777777" w:rsidR="00070252" w:rsidRDefault="00070252" w:rsidP="006A5294">
            <w:pPr>
              <w:jc w:val="center"/>
            </w:pPr>
            <w:r>
              <w:t>-</w:t>
            </w:r>
          </w:p>
        </w:tc>
      </w:tr>
      <w:tr w:rsidR="00070252" w14:paraId="047740C4" w14:textId="77777777" w:rsidTr="0056666E">
        <w:tc>
          <w:tcPr>
            <w:tcW w:w="1250" w:type="pct"/>
            <w:shd w:val="clear" w:color="auto" w:fill="auto"/>
          </w:tcPr>
          <w:p w14:paraId="1D727819" w14:textId="77777777" w:rsidR="00070252" w:rsidRDefault="00070252" w:rsidP="006A5294">
            <w:r>
              <w:t>Elektrická energia</w:t>
            </w:r>
          </w:p>
        </w:tc>
        <w:tc>
          <w:tcPr>
            <w:tcW w:w="1250" w:type="pct"/>
            <w:shd w:val="clear" w:color="auto" w:fill="auto"/>
          </w:tcPr>
          <w:p w14:paraId="4B761F63" w14:textId="77777777" w:rsidR="00070252" w:rsidRDefault="00070252" w:rsidP="006A5294">
            <w:pPr>
              <w:jc w:val="center"/>
            </w:pPr>
            <w:r>
              <w:t>-</w:t>
            </w:r>
          </w:p>
        </w:tc>
        <w:tc>
          <w:tcPr>
            <w:tcW w:w="1250" w:type="pct"/>
            <w:shd w:val="clear" w:color="auto" w:fill="auto"/>
          </w:tcPr>
          <w:p w14:paraId="0D9EFDAC" w14:textId="77777777" w:rsidR="00070252" w:rsidRDefault="00070252" w:rsidP="006A5294">
            <w:pPr>
              <w:jc w:val="center"/>
            </w:pPr>
            <w:r>
              <w:t>-</w:t>
            </w:r>
          </w:p>
        </w:tc>
        <w:tc>
          <w:tcPr>
            <w:tcW w:w="1250" w:type="pct"/>
            <w:shd w:val="clear" w:color="auto" w:fill="auto"/>
          </w:tcPr>
          <w:p w14:paraId="277667C2" w14:textId="77777777" w:rsidR="00070252" w:rsidRDefault="00070252" w:rsidP="006A5294">
            <w:pPr>
              <w:jc w:val="center"/>
            </w:pPr>
            <w:r>
              <w:t>-</w:t>
            </w:r>
          </w:p>
        </w:tc>
      </w:tr>
      <w:tr w:rsidR="00070252" w14:paraId="6DC89C27" w14:textId="77777777" w:rsidTr="0056666E">
        <w:tc>
          <w:tcPr>
            <w:tcW w:w="1250" w:type="pct"/>
            <w:shd w:val="clear" w:color="auto" w:fill="auto"/>
          </w:tcPr>
          <w:p w14:paraId="6DFC5706" w14:textId="77777777" w:rsidR="00070252" w:rsidRDefault="00070252" w:rsidP="006A5294">
            <w:r>
              <w:t>Údržba</w:t>
            </w:r>
          </w:p>
        </w:tc>
        <w:tc>
          <w:tcPr>
            <w:tcW w:w="1250" w:type="pct"/>
            <w:shd w:val="clear" w:color="auto" w:fill="auto"/>
          </w:tcPr>
          <w:p w14:paraId="04A36763" w14:textId="77777777" w:rsidR="00070252" w:rsidRDefault="00070252" w:rsidP="006A5294">
            <w:pPr>
              <w:jc w:val="center"/>
            </w:pPr>
            <w:r>
              <w:t>-</w:t>
            </w:r>
          </w:p>
        </w:tc>
        <w:tc>
          <w:tcPr>
            <w:tcW w:w="1250" w:type="pct"/>
            <w:shd w:val="clear" w:color="auto" w:fill="auto"/>
          </w:tcPr>
          <w:p w14:paraId="0BC1EB27" w14:textId="77777777" w:rsidR="00070252" w:rsidRDefault="00070252" w:rsidP="006A5294">
            <w:pPr>
              <w:jc w:val="center"/>
            </w:pPr>
            <w:r>
              <w:t>-</w:t>
            </w:r>
          </w:p>
        </w:tc>
        <w:tc>
          <w:tcPr>
            <w:tcW w:w="1250" w:type="pct"/>
            <w:shd w:val="clear" w:color="auto" w:fill="auto"/>
          </w:tcPr>
          <w:p w14:paraId="2966F4C3" w14:textId="77777777" w:rsidR="00070252" w:rsidRDefault="00070252" w:rsidP="006A5294">
            <w:pPr>
              <w:jc w:val="center"/>
            </w:pPr>
            <w:r>
              <w:t>-</w:t>
            </w:r>
          </w:p>
        </w:tc>
      </w:tr>
      <w:tr w:rsidR="00070252" w14:paraId="21361707" w14:textId="77777777" w:rsidTr="0056666E">
        <w:tc>
          <w:tcPr>
            <w:tcW w:w="1250" w:type="pct"/>
            <w:shd w:val="clear" w:color="auto" w:fill="auto"/>
          </w:tcPr>
          <w:p w14:paraId="441B70AA" w14:textId="77777777" w:rsidR="00070252" w:rsidRDefault="00070252" w:rsidP="006A5294">
            <w:r>
              <w:t>Administratívne výdavky</w:t>
            </w:r>
          </w:p>
        </w:tc>
        <w:tc>
          <w:tcPr>
            <w:tcW w:w="1250" w:type="pct"/>
            <w:shd w:val="clear" w:color="auto" w:fill="auto"/>
          </w:tcPr>
          <w:p w14:paraId="6BBE0432" w14:textId="77777777" w:rsidR="00070252" w:rsidRDefault="00070252" w:rsidP="006A5294">
            <w:pPr>
              <w:jc w:val="center"/>
            </w:pPr>
            <w:r>
              <w:t>-</w:t>
            </w:r>
          </w:p>
        </w:tc>
        <w:tc>
          <w:tcPr>
            <w:tcW w:w="1250" w:type="pct"/>
            <w:shd w:val="clear" w:color="auto" w:fill="auto"/>
          </w:tcPr>
          <w:p w14:paraId="73B3D537" w14:textId="77777777" w:rsidR="00070252" w:rsidRDefault="00070252" w:rsidP="006A5294">
            <w:pPr>
              <w:jc w:val="center"/>
            </w:pPr>
            <w:r>
              <w:t>-</w:t>
            </w:r>
          </w:p>
        </w:tc>
        <w:tc>
          <w:tcPr>
            <w:tcW w:w="1250" w:type="pct"/>
            <w:shd w:val="clear" w:color="auto" w:fill="auto"/>
          </w:tcPr>
          <w:p w14:paraId="5507A447" w14:textId="77777777" w:rsidR="00070252" w:rsidRDefault="00070252" w:rsidP="006A5294">
            <w:pPr>
              <w:jc w:val="center"/>
            </w:pPr>
            <w:r>
              <w:t>-</w:t>
            </w:r>
          </w:p>
        </w:tc>
      </w:tr>
      <w:tr w:rsidR="00070252" w14:paraId="4C3C113F" w14:textId="77777777" w:rsidTr="0056666E">
        <w:tc>
          <w:tcPr>
            <w:tcW w:w="1250" w:type="pct"/>
            <w:shd w:val="clear" w:color="auto" w:fill="auto"/>
          </w:tcPr>
          <w:p w14:paraId="331E3C37" w14:textId="77777777" w:rsidR="00070252" w:rsidRDefault="00070252" w:rsidP="006A5294">
            <w:r>
              <w:t>Úroky</w:t>
            </w:r>
          </w:p>
        </w:tc>
        <w:tc>
          <w:tcPr>
            <w:tcW w:w="1250" w:type="pct"/>
            <w:shd w:val="clear" w:color="auto" w:fill="auto"/>
          </w:tcPr>
          <w:p w14:paraId="29F8C733" w14:textId="77777777" w:rsidR="00070252" w:rsidRDefault="00070252" w:rsidP="006A5294">
            <w:pPr>
              <w:jc w:val="center"/>
            </w:pPr>
          </w:p>
        </w:tc>
        <w:tc>
          <w:tcPr>
            <w:tcW w:w="1250" w:type="pct"/>
            <w:shd w:val="clear" w:color="auto" w:fill="auto"/>
          </w:tcPr>
          <w:p w14:paraId="47FEB25D" w14:textId="77777777" w:rsidR="00070252" w:rsidRDefault="00070252" w:rsidP="006A5294">
            <w:pPr>
              <w:jc w:val="center"/>
            </w:pPr>
            <w:r>
              <w:t>-</w:t>
            </w:r>
          </w:p>
        </w:tc>
        <w:tc>
          <w:tcPr>
            <w:tcW w:w="1250" w:type="pct"/>
            <w:shd w:val="clear" w:color="auto" w:fill="auto"/>
          </w:tcPr>
          <w:p w14:paraId="110D7487" w14:textId="77777777" w:rsidR="00070252" w:rsidRDefault="00070252" w:rsidP="006A5294">
            <w:pPr>
              <w:jc w:val="center"/>
            </w:pPr>
            <w:r>
              <w:t>-</w:t>
            </w:r>
          </w:p>
        </w:tc>
      </w:tr>
      <w:tr w:rsidR="00070252" w14:paraId="1B2E54BA" w14:textId="77777777" w:rsidTr="0056666E">
        <w:tc>
          <w:tcPr>
            <w:tcW w:w="1250" w:type="pct"/>
            <w:shd w:val="clear" w:color="auto" w:fill="auto"/>
          </w:tcPr>
          <w:p w14:paraId="376E6C30" w14:textId="77777777" w:rsidR="00070252" w:rsidRDefault="00070252" w:rsidP="006A5294">
            <w:r>
              <w:t>Splátky úverov</w:t>
            </w:r>
          </w:p>
        </w:tc>
        <w:tc>
          <w:tcPr>
            <w:tcW w:w="1250" w:type="pct"/>
            <w:shd w:val="clear" w:color="auto" w:fill="auto"/>
          </w:tcPr>
          <w:p w14:paraId="22394029" w14:textId="77777777" w:rsidR="00070252" w:rsidRDefault="00070252" w:rsidP="006A5294">
            <w:pPr>
              <w:jc w:val="center"/>
            </w:pPr>
          </w:p>
        </w:tc>
        <w:tc>
          <w:tcPr>
            <w:tcW w:w="1250" w:type="pct"/>
            <w:shd w:val="clear" w:color="auto" w:fill="auto"/>
          </w:tcPr>
          <w:p w14:paraId="095F2CC1" w14:textId="77777777" w:rsidR="00070252" w:rsidRDefault="00070252" w:rsidP="006A5294">
            <w:pPr>
              <w:jc w:val="center"/>
            </w:pPr>
            <w:r>
              <w:t>-</w:t>
            </w:r>
          </w:p>
        </w:tc>
        <w:tc>
          <w:tcPr>
            <w:tcW w:w="1250" w:type="pct"/>
            <w:shd w:val="clear" w:color="auto" w:fill="auto"/>
          </w:tcPr>
          <w:p w14:paraId="2344A302" w14:textId="77777777" w:rsidR="00070252" w:rsidRDefault="00070252" w:rsidP="006A5294">
            <w:pPr>
              <w:jc w:val="center"/>
            </w:pPr>
            <w:r>
              <w:t>-</w:t>
            </w:r>
          </w:p>
        </w:tc>
      </w:tr>
      <w:tr w:rsidR="00070252" w14:paraId="1E6A395C" w14:textId="77777777" w:rsidTr="0056666E">
        <w:tc>
          <w:tcPr>
            <w:tcW w:w="1250" w:type="pct"/>
            <w:tcBorders>
              <w:bottom w:val="single" w:sz="4" w:space="0" w:color="auto"/>
            </w:tcBorders>
            <w:shd w:val="clear" w:color="auto" w:fill="auto"/>
          </w:tcPr>
          <w:p w14:paraId="5B75249B" w14:textId="77777777" w:rsidR="00070252" w:rsidRDefault="00070252" w:rsidP="006A5294">
            <w:r>
              <w:t>Dane</w:t>
            </w:r>
          </w:p>
        </w:tc>
        <w:tc>
          <w:tcPr>
            <w:tcW w:w="1250" w:type="pct"/>
            <w:tcBorders>
              <w:bottom w:val="single" w:sz="4" w:space="0" w:color="auto"/>
            </w:tcBorders>
            <w:shd w:val="clear" w:color="auto" w:fill="auto"/>
          </w:tcPr>
          <w:p w14:paraId="380A41A0" w14:textId="77777777" w:rsidR="00070252" w:rsidRDefault="00070252" w:rsidP="006A5294">
            <w:pPr>
              <w:jc w:val="center"/>
            </w:pPr>
          </w:p>
        </w:tc>
        <w:tc>
          <w:tcPr>
            <w:tcW w:w="1250" w:type="pct"/>
            <w:tcBorders>
              <w:bottom w:val="single" w:sz="4" w:space="0" w:color="auto"/>
            </w:tcBorders>
            <w:shd w:val="clear" w:color="auto" w:fill="auto"/>
          </w:tcPr>
          <w:p w14:paraId="7C845F81" w14:textId="77777777" w:rsidR="00070252" w:rsidRDefault="00070252" w:rsidP="006A5294">
            <w:pPr>
              <w:jc w:val="center"/>
            </w:pPr>
            <w:r>
              <w:t>-</w:t>
            </w:r>
          </w:p>
        </w:tc>
        <w:tc>
          <w:tcPr>
            <w:tcW w:w="1250" w:type="pct"/>
            <w:tcBorders>
              <w:bottom w:val="single" w:sz="4" w:space="0" w:color="auto"/>
            </w:tcBorders>
            <w:shd w:val="clear" w:color="auto" w:fill="auto"/>
          </w:tcPr>
          <w:p w14:paraId="7D50C388" w14:textId="77777777" w:rsidR="00070252" w:rsidRDefault="00070252" w:rsidP="006A5294">
            <w:pPr>
              <w:jc w:val="center"/>
            </w:pPr>
          </w:p>
        </w:tc>
      </w:tr>
      <w:tr w:rsidR="00034644" w14:paraId="77EC6202" w14:textId="77777777" w:rsidTr="006A5294">
        <w:tc>
          <w:tcPr>
            <w:tcW w:w="1250" w:type="pct"/>
            <w:shd w:val="clear" w:color="auto" w:fill="C6D9F1"/>
          </w:tcPr>
          <w:p w14:paraId="6C27491F" w14:textId="77777777" w:rsidR="00070252" w:rsidRPr="00CF19D6" w:rsidRDefault="00070252" w:rsidP="006A5294">
            <w:pPr>
              <w:rPr>
                <w:b/>
              </w:rPr>
            </w:pPr>
            <w:r w:rsidRPr="00CF19D6">
              <w:rPr>
                <w:b/>
              </w:rPr>
              <w:t>Celkové prevádzkové príjmy</w:t>
            </w:r>
          </w:p>
        </w:tc>
        <w:tc>
          <w:tcPr>
            <w:tcW w:w="1250" w:type="pct"/>
            <w:shd w:val="clear" w:color="auto" w:fill="C6D9F1"/>
          </w:tcPr>
          <w:p w14:paraId="3A2D2E23" w14:textId="77777777" w:rsidR="00070252" w:rsidRPr="00CF19D6" w:rsidRDefault="00070252" w:rsidP="006A5294">
            <w:pPr>
              <w:jc w:val="center"/>
              <w:rPr>
                <w:b/>
              </w:rPr>
            </w:pPr>
          </w:p>
        </w:tc>
        <w:tc>
          <w:tcPr>
            <w:tcW w:w="1250" w:type="pct"/>
            <w:shd w:val="clear" w:color="auto" w:fill="C6D9F1"/>
          </w:tcPr>
          <w:p w14:paraId="724FC290" w14:textId="77777777" w:rsidR="00070252" w:rsidRPr="00CF19D6" w:rsidRDefault="00070252" w:rsidP="006A5294">
            <w:pPr>
              <w:jc w:val="center"/>
              <w:rPr>
                <w:b/>
              </w:rPr>
            </w:pPr>
          </w:p>
        </w:tc>
        <w:tc>
          <w:tcPr>
            <w:tcW w:w="1250" w:type="pct"/>
            <w:shd w:val="clear" w:color="auto" w:fill="C6D9F1"/>
          </w:tcPr>
          <w:p w14:paraId="78E803F2" w14:textId="77777777" w:rsidR="00070252" w:rsidRPr="00CF19D6" w:rsidRDefault="00070252" w:rsidP="006A5294">
            <w:pPr>
              <w:jc w:val="center"/>
              <w:rPr>
                <w:b/>
              </w:rPr>
            </w:pPr>
          </w:p>
        </w:tc>
      </w:tr>
      <w:tr w:rsidR="00070252" w14:paraId="11278AD2" w14:textId="77777777" w:rsidTr="0056666E">
        <w:tc>
          <w:tcPr>
            <w:tcW w:w="1250" w:type="pct"/>
            <w:shd w:val="clear" w:color="auto" w:fill="auto"/>
          </w:tcPr>
          <w:p w14:paraId="4278D3BF" w14:textId="77777777" w:rsidR="00070252" w:rsidRDefault="00070252" w:rsidP="006A5294">
            <w:r>
              <w:t>Príjem X</w:t>
            </w:r>
          </w:p>
        </w:tc>
        <w:tc>
          <w:tcPr>
            <w:tcW w:w="1250" w:type="pct"/>
            <w:shd w:val="clear" w:color="auto" w:fill="auto"/>
          </w:tcPr>
          <w:p w14:paraId="30602B51" w14:textId="77777777" w:rsidR="00070252" w:rsidRDefault="00070252" w:rsidP="006A5294">
            <w:pPr>
              <w:jc w:val="center"/>
            </w:pPr>
            <w:r>
              <w:t>+</w:t>
            </w:r>
          </w:p>
        </w:tc>
        <w:tc>
          <w:tcPr>
            <w:tcW w:w="1250" w:type="pct"/>
            <w:shd w:val="clear" w:color="auto" w:fill="auto"/>
          </w:tcPr>
          <w:p w14:paraId="746A8F99" w14:textId="77777777" w:rsidR="00070252" w:rsidRDefault="00070252" w:rsidP="006A5294">
            <w:pPr>
              <w:jc w:val="center"/>
            </w:pPr>
            <w:r>
              <w:t>+</w:t>
            </w:r>
          </w:p>
        </w:tc>
        <w:tc>
          <w:tcPr>
            <w:tcW w:w="1250" w:type="pct"/>
            <w:shd w:val="clear" w:color="auto" w:fill="auto"/>
          </w:tcPr>
          <w:p w14:paraId="3713E43B" w14:textId="77777777" w:rsidR="00070252" w:rsidRDefault="00070252" w:rsidP="006A5294">
            <w:pPr>
              <w:jc w:val="center"/>
            </w:pPr>
            <w:r>
              <w:t>+</w:t>
            </w:r>
          </w:p>
        </w:tc>
      </w:tr>
      <w:tr w:rsidR="00070252" w14:paraId="0DF515E4" w14:textId="77777777" w:rsidTr="0056666E">
        <w:tc>
          <w:tcPr>
            <w:tcW w:w="1250" w:type="pct"/>
            <w:tcBorders>
              <w:bottom w:val="single" w:sz="4" w:space="0" w:color="1F497D"/>
            </w:tcBorders>
            <w:shd w:val="clear" w:color="auto" w:fill="auto"/>
          </w:tcPr>
          <w:p w14:paraId="35055688" w14:textId="77777777" w:rsidR="00070252" w:rsidRDefault="00070252" w:rsidP="006A5294">
            <w:r>
              <w:t>Príjem Y</w:t>
            </w:r>
          </w:p>
        </w:tc>
        <w:tc>
          <w:tcPr>
            <w:tcW w:w="1250" w:type="pct"/>
            <w:tcBorders>
              <w:bottom w:val="single" w:sz="4" w:space="0" w:color="1F497D"/>
            </w:tcBorders>
            <w:shd w:val="clear" w:color="auto" w:fill="auto"/>
          </w:tcPr>
          <w:p w14:paraId="28D57ABF" w14:textId="77777777" w:rsidR="00070252" w:rsidRDefault="00070252" w:rsidP="006A5294">
            <w:pPr>
              <w:jc w:val="center"/>
            </w:pPr>
            <w:r>
              <w:t>+</w:t>
            </w:r>
          </w:p>
        </w:tc>
        <w:tc>
          <w:tcPr>
            <w:tcW w:w="1250" w:type="pct"/>
            <w:tcBorders>
              <w:bottom w:val="single" w:sz="4" w:space="0" w:color="1F497D"/>
            </w:tcBorders>
            <w:shd w:val="clear" w:color="auto" w:fill="auto"/>
          </w:tcPr>
          <w:p w14:paraId="20D2B4F9" w14:textId="77777777" w:rsidR="00070252" w:rsidRDefault="00070252" w:rsidP="006A5294">
            <w:pPr>
              <w:jc w:val="center"/>
            </w:pPr>
            <w:r>
              <w:t>+</w:t>
            </w:r>
          </w:p>
        </w:tc>
        <w:tc>
          <w:tcPr>
            <w:tcW w:w="1250" w:type="pct"/>
            <w:tcBorders>
              <w:bottom w:val="single" w:sz="4" w:space="0" w:color="1F497D"/>
            </w:tcBorders>
            <w:shd w:val="clear" w:color="auto" w:fill="auto"/>
          </w:tcPr>
          <w:p w14:paraId="4E758827" w14:textId="77777777" w:rsidR="00070252" w:rsidRDefault="00070252" w:rsidP="006A5294">
            <w:pPr>
              <w:jc w:val="center"/>
            </w:pPr>
            <w:r>
              <w:t>+</w:t>
            </w:r>
          </w:p>
        </w:tc>
      </w:tr>
      <w:tr w:rsidR="00034644" w14:paraId="69C500DF" w14:textId="77777777" w:rsidTr="006A5294">
        <w:tc>
          <w:tcPr>
            <w:tcW w:w="1250" w:type="pct"/>
            <w:tcBorders>
              <w:top w:val="single" w:sz="4" w:space="0" w:color="1F497D"/>
              <w:left w:val="single" w:sz="4" w:space="0" w:color="1F497D"/>
              <w:bottom w:val="single" w:sz="4" w:space="0" w:color="1F497D"/>
              <w:right w:val="single" w:sz="4" w:space="0" w:color="1F497D"/>
            </w:tcBorders>
            <w:shd w:val="clear" w:color="auto" w:fill="C6D9F1"/>
          </w:tcPr>
          <w:p w14:paraId="0E557784" w14:textId="77777777" w:rsidR="00070252" w:rsidRPr="00CF19D6" w:rsidRDefault="00070252" w:rsidP="006A5294">
            <w:pPr>
              <w:rPr>
                <w:b/>
              </w:rPr>
            </w:pPr>
            <w:r w:rsidRPr="00CF19D6">
              <w:rPr>
                <w:b/>
              </w:rPr>
              <w:t>Zdroje financovania</w:t>
            </w:r>
          </w:p>
        </w:tc>
        <w:tc>
          <w:tcPr>
            <w:tcW w:w="1250" w:type="pct"/>
            <w:tcBorders>
              <w:top w:val="single" w:sz="4" w:space="0" w:color="1F497D"/>
              <w:left w:val="single" w:sz="4" w:space="0" w:color="1F497D"/>
              <w:bottom w:val="single" w:sz="4" w:space="0" w:color="1F497D"/>
              <w:right w:val="single" w:sz="4" w:space="0" w:color="1F497D"/>
            </w:tcBorders>
            <w:shd w:val="clear" w:color="auto" w:fill="C6D9F1"/>
          </w:tcPr>
          <w:p w14:paraId="7FD6B274" w14:textId="77777777" w:rsidR="00070252" w:rsidRDefault="00070252" w:rsidP="006A5294">
            <w:pPr>
              <w:jc w:val="center"/>
            </w:pPr>
          </w:p>
        </w:tc>
        <w:tc>
          <w:tcPr>
            <w:tcW w:w="1250" w:type="pct"/>
            <w:tcBorders>
              <w:top w:val="single" w:sz="4" w:space="0" w:color="1F497D"/>
              <w:left w:val="single" w:sz="4" w:space="0" w:color="1F497D"/>
              <w:bottom w:val="single" w:sz="4" w:space="0" w:color="1F497D"/>
              <w:right w:val="single" w:sz="4" w:space="0" w:color="1F497D"/>
            </w:tcBorders>
            <w:shd w:val="clear" w:color="auto" w:fill="C6D9F1"/>
          </w:tcPr>
          <w:p w14:paraId="6A89127C" w14:textId="77777777" w:rsidR="00070252" w:rsidRDefault="00070252" w:rsidP="006A5294">
            <w:pPr>
              <w:jc w:val="center"/>
            </w:pPr>
          </w:p>
        </w:tc>
        <w:tc>
          <w:tcPr>
            <w:tcW w:w="1250" w:type="pct"/>
            <w:tcBorders>
              <w:top w:val="single" w:sz="4" w:space="0" w:color="1F497D"/>
              <w:left w:val="single" w:sz="4" w:space="0" w:color="1F497D"/>
              <w:bottom w:val="single" w:sz="4" w:space="0" w:color="1F497D"/>
              <w:right w:val="single" w:sz="4" w:space="0" w:color="1F497D"/>
            </w:tcBorders>
            <w:shd w:val="clear" w:color="auto" w:fill="C6D9F1"/>
          </w:tcPr>
          <w:p w14:paraId="2797131D" w14:textId="77777777" w:rsidR="00070252" w:rsidRDefault="00070252" w:rsidP="006A5294">
            <w:pPr>
              <w:jc w:val="center"/>
            </w:pPr>
          </w:p>
        </w:tc>
      </w:tr>
      <w:tr w:rsidR="00070252" w14:paraId="2C177C7A" w14:textId="77777777" w:rsidTr="0056666E">
        <w:tc>
          <w:tcPr>
            <w:tcW w:w="1250" w:type="pct"/>
            <w:tcBorders>
              <w:top w:val="single" w:sz="4" w:space="0" w:color="1F497D"/>
            </w:tcBorders>
            <w:shd w:val="clear" w:color="auto" w:fill="auto"/>
          </w:tcPr>
          <w:p w14:paraId="45BF53D6" w14:textId="77777777" w:rsidR="00070252" w:rsidRDefault="00070252" w:rsidP="006A5294">
            <w:r>
              <w:t>Príspevok Únie</w:t>
            </w:r>
          </w:p>
        </w:tc>
        <w:tc>
          <w:tcPr>
            <w:tcW w:w="1250" w:type="pct"/>
            <w:tcBorders>
              <w:top w:val="single" w:sz="4" w:space="0" w:color="1F497D"/>
            </w:tcBorders>
            <w:shd w:val="clear" w:color="auto" w:fill="auto"/>
          </w:tcPr>
          <w:p w14:paraId="58001700" w14:textId="77777777" w:rsidR="00070252" w:rsidRDefault="00070252" w:rsidP="006A5294">
            <w:pPr>
              <w:jc w:val="center"/>
            </w:pPr>
          </w:p>
        </w:tc>
        <w:tc>
          <w:tcPr>
            <w:tcW w:w="1250" w:type="pct"/>
            <w:tcBorders>
              <w:top w:val="single" w:sz="4" w:space="0" w:color="1F497D"/>
            </w:tcBorders>
            <w:shd w:val="clear" w:color="auto" w:fill="auto"/>
          </w:tcPr>
          <w:p w14:paraId="167F482C" w14:textId="77777777" w:rsidR="00070252" w:rsidRDefault="00070252" w:rsidP="006A5294">
            <w:pPr>
              <w:jc w:val="center"/>
            </w:pPr>
            <w:r>
              <w:t>+</w:t>
            </w:r>
          </w:p>
        </w:tc>
        <w:tc>
          <w:tcPr>
            <w:tcW w:w="1250" w:type="pct"/>
            <w:tcBorders>
              <w:top w:val="single" w:sz="4" w:space="0" w:color="1F497D"/>
            </w:tcBorders>
            <w:shd w:val="clear" w:color="auto" w:fill="auto"/>
          </w:tcPr>
          <w:p w14:paraId="2C008C6A" w14:textId="77777777" w:rsidR="00070252" w:rsidRDefault="00070252" w:rsidP="006A5294">
            <w:pPr>
              <w:jc w:val="center"/>
            </w:pPr>
          </w:p>
        </w:tc>
      </w:tr>
      <w:tr w:rsidR="00070252" w14:paraId="73FA2233" w14:textId="77777777" w:rsidTr="0056666E">
        <w:tc>
          <w:tcPr>
            <w:tcW w:w="1250" w:type="pct"/>
            <w:shd w:val="clear" w:color="auto" w:fill="auto"/>
          </w:tcPr>
          <w:p w14:paraId="1C0F101E" w14:textId="77777777" w:rsidR="00070252" w:rsidRDefault="00070252" w:rsidP="006A5294">
            <w:r>
              <w:t>Národné verejné zdroje</w:t>
            </w:r>
          </w:p>
        </w:tc>
        <w:tc>
          <w:tcPr>
            <w:tcW w:w="1250" w:type="pct"/>
            <w:shd w:val="clear" w:color="auto" w:fill="auto"/>
          </w:tcPr>
          <w:p w14:paraId="08EA006E" w14:textId="77777777" w:rsidR="00070252" w:rsidRDefault="00070252" w:rsidP="006A5294">
            <w:pPr>
              <w:jc w:val="center"/>
            </w:pPr>
          </w:p>
        </w:tc>
        <w:tc>
          <w:tcPr>
            <w:tcW w:w="1250" w:type="pct"/>
            <w:shd w:val="clear" w:color="auto" w:fill="auto"/>
          </w:tcPr>
          <w:p w14:paraId="141F31EA" w14:textId="77777777" w:rsidR="00070252" w:rsidRDefault="00070252" w:rsidP="006A5294">
            <w:pPr>
              <w:jc w:val="center"/>
            </w:pPr>
            <w:r>
              <w:t>+</w:t>
            </w:r>
          </w:p>
        </w:tc>
        <w:tc>
          <w:tcPr>
            <w:tcW w:w="1250" w:type="pct"/>
            <w:shd w:val="clear" w:color="auto" w:fill="auto"/>
          </w:tcPr>
          <w:p w14:paraId="0BCA8918" w14:textId="77777777" w:rsidR="00070252" w:rsidRDefault="00070252" w:rsidP="006A5294">
            <w:pPr>
              <w:jc w:val="center"/>
            </w:pPr>
            <w:r>
              <w:t>-</w:t>
            </w:r>
          </w:p>
        </w:tc>
      </w:tr>
      <w:tr w:rsidR="00070252" w14:paraId="78743C41" w14:textId="77777777" w:rsidTr="0056666E">
        <w:tc>
          <w:tcPr>
            <w:tcW w:w="1250" w:type="pct"/>
            <w:shd w:val="clear" w:color="auto" w:fill="auto"/>
          </w:tcPr>
          <w:p w14:paraId="5DFEFF7A" w14:textId="77777777" w:rsidR="00070252" w:rsidRDefault="00070252" w:rsidP="006A5294">
            <w:r>
              <w:t>Národné súkromné zdroje</w:t>
            </w:r>
          </w:p>
        </w:tc>
        <w:tc>
          <w:tcPr>
            <w:tcW w:w="1250" w:type="pct"/>
            <w:shd w:val="clear" w:color="auto" w:fill="auto"/>
          </w:tcPr>
          <w:p w14:paraId="1A9BDC64" w14:textId="77777777" w:rsidR="00070252" w:rsidRDefault="00070252" w:rsidP="006A5294">
            <w:pPr>
              <w:jc w:val="center"/>
            </w:pPr>
          </w:p>
        </w:tc>
        <w:tc>
          <w:tcPr>
            <w:tcW w:w="1250" w:type="pct"/>
            <w:shd w:val="clear" w:color="auto" w:fill="auto"/>
          </w:tcPr>
          <w:p w14:paraId="68629F79" w14:textId="77777777" w:rsidR="00070252" w:rsidRDefault="00070252" w:rsidP="006A5294">
            <w:pPr>
              <w:jc w:val="center"/>
            </w:pPr>
            <w:r>
              <w:t>+</w:t>
            </w:r>
          </w:p>
        </w:tc>
        <w:tc>
          <w:tcPr>
            <w:tcW w:w="1250" w:type="pct"/>
            <w:shd w:val="clear" w:color="auto" w:fill="auto"/>
          </w:tcPr>
          <w:p w14:paraId="2A8CD92C" w14:textId="77777777" w:rsidR="00070252" w:rsidRDefault="00070252" w:rsidP="006A5294">
            <w:pPr>
              <w:jc w:val="center"/>
            </w:pPr>
            <w:r>
              <w:t>-</w:t>
            </w:r>
          </w:p>
        </w:tc>
      </w:tr>
      <w:tr w:rsidR="00070252" w14:paraId="1E67F0D1" w14:textId="77777777" w:rsidTr="0056666E">
        <w:tc>
          <w:tcPr>
            <w:tcW w:w="1250" w:type="pct"/>
            <w:shd w:val="clear" w:color="auto" w:fill="auto"/>
          </w:tcPr>
          <w:p w14:paraId="1E389090" w14:textId="77777777" w:rsidR="00070252" w:rsidRDefault="00070252" w:rsidP="006A5294">
            <w:r>
              <w:t>Úvery</w:t>
            </w:r>
          </w:p>
        </w:tc>
        <w:tc>
          <w:tcPr>
            <w:tcW w:w="1250" w:type="pct"/>
            <w:shd w:val="clear" w:color="auto" w:fill="auto"/>
          </w:tcPr>
          <w:p w14:paraId="7B0E9D08" w14:textId="77777777" w:rsidR="00070252" w:rsidRDefault="00070252" w:rsidP="006A5294">
            <w:pPr>
              <w:jc w:val="center"/>
            </w:pPr>
          </w:p>
        </w:tc>
        <w:tc>
          <w:tcPr>
            <w:tcW w:w="1250" w:type="pct"/>
            <w:shd w:val="clear" w:color="auto" w:fill="auto"/>
          </w:tcPr>
          <w:p w14:paraId="7AAB2900" w14:textId="77777777" w:rsidR="00070252" w:rsidRDefault="00070252" w:rsidP="006A5294">
            <w:pPr>
              <w:jc w:val="center"/>
            </w:pPr>
            <w:r>
              <w:t>+</w:t>
            </w:r>
          </w:p>
        </w:tc>
        <w:tc>
          <w:tcPr>
            <w:tcW w:w="1250" w:type="pct"/>
            <w:shd w:val="clear" w:color="auto" w:fill="auto"/>
          </w:tcPr>
          <w:p w14:paraId="1350D0D3" w14:textId="77777777" w:rsidR="00070252" w:rsidRDefault="00070252" w:rsidP="006A5294">
            <w:pPr>
              <w:jc w:val="center"/>
            </w:pPr>
          </w:p>
        </w:tc>
      </w:tr>
      <w:tr w:rsidR="00070252" w14:paraId="4F51C338" w14:textId="77777777" w:rsidTr="0056666E">
        <w:tc>
          <w:tcPr>
            <w:tcW w:w="1250" w:type="pct"/>
            <w:shd w:val="clear" w:color="auto" w:fill="auto"/>
          </w:tcPr>
          <w:p w14:paraId="148E4451" w14:textId="77777777" w:rsidR="00070252" w:rsidRDefault="00070252" w:rsidP="006A5294">
            <w:r>
              <w:t>Iné zdroje (prevádzkové dotácie)</w:t>
            </w:r>
          </w:p>
        </w:tc>
        <w:tc>
          <w:tcPr>
            <w:tcW w:w="1250" w:type="pct"/>
            <w:shd w:val="clear" w:color="auto" w:fill="auto"/>
          </w:tcPr>
          <w:p w14:paraId="30DF885B" w14:textId="77777777" w:rsidR="00070252" w:rsidRDefault="00070252" w:rsidP="006A5294">
            <w:pPr>
              <w:jc w:val="center"/>
            </w:pPr>
          </w:p>
        </w:tc>
        <w:tc>
          <w:tcPr>
            <w:tcW w:w="1250" w:type="pct"/>
            <w:shd w:val="clear" w:color="auto" w:fill="auto"/>
          </w:tcPr>
          <w:p w14:paraId="0A7ED5FE" w14:textId="77777777" w:rsidR="00070252" w:rsidRDefault="00070252" w:rsidP="006A5294">
            <w:pPr>
              <w:jc w:val="center"/>
            </w:pPr>
            <w:r>
              <w:t>+</w:t>
            </w:r>
          </w:p>
        </w:tc>
        <w:tc>
          <w:tcPr>
            <w:tcW w:w="1250" w:type="pct"/>
            <w:shd w:val="clear" w:color="auto" w:fill="auto"/>
          </w:tcPr>
          <w:p w14:paraId="3EE416F6" w14:textId="77777777" w:rsidR="00070252" w:rsidRDefault="00070252" w:rsidP="006A5294">
            <w:pPr>
              <w:jc w:val="center"/>
            </w:pPr>
          </w:p>
        </w:tc>
      </w:tr>
      <w:tr w:rsidR="00070252" w14:paraId="4ECC82BA" w14:textId="77777777" w:rsidTr="0056666E">
        <w:tc>
          <w:tcPr>
            <w:tcW w:w="1250" w:type="pct"/>
            <w:shd w:val="clear" w:color="auto" w:fill="auto"/>
          </w:tcPr>
          <w:p w14:paraId="0EBB0BBF" w14:textId="77777777" w:rsidR="00070252" w:rsidRDefault="00070252" w:rsidP="006A5294"/>
        </w:tc>
        <w:tc>
          <w:tcPr>
            <w:tcW w:w="1250" w:type="pct"/>
            <w:shd w:val="clear" w:color="auto" w:fill="auto"/>
          </w:tcPr>
          <w:p w14:paraId="38BE4E0B" w14:textId="77777777" w:rsidR="00070252" w:rsidRDefault="00070252" w:rsidP="006A5294"/>
        </w:tc>
        <w:tc>
          <w:tcPr>
            <w:tcW w:w="1250" w:type="pct"/>
            <w:shd w:val="clear" w:color="auto" w:fill="auto"/>
          </w:tcPr>
          <w:p w14:paraId="77C4C38D" w14:textId="77777777" w:rsidR="00070252" w:rsidRDefault="00070252" w:rsidP="006A5294"/>
        </w:tc>
        <w:tc>
          <w:tcPr>
            <w:tcW w:w="1250" w:type="pct"/>
            <w:shd w:val="clear" w:color="auto" w:fill="auto"/>
          </w:tcPr>
          <w:p w14:paraId="528EE3F8" w14:textId="77777777" w:rsidR="00070252" w:rsidRDefault="00070252" w:rsidP="006A5294"/>
        </w:tc>
      </w:tr>
    </w:tbl>
    <w:p w14:paraId="16BFE70D" w14:textId="77777777" w:rsidR="00070252" w:rsidRPr="006A5294" w:rsidRDefault="006A5294" w:rsidP="006A5294">
      <w:pPr>
        <w:pStyle w:val="MPCKO3"/>
      </w:pPr>
      <w:bookmarkStart w:id="28" w:name="_Toc527539370"/>
      <w:r>
        <w:t>2</w:t>
      </w:r>
      <w:r w:rsidR="00070252" w:rsidRPr="006A5294">
        <w:t>.1.8 Určenie zdrojov financovania</w:t>
      </w:r>
      <w:bookmarkEnd w:id="28"/>
    </w:p>
    <w:p w14:paraId="5B0F8A27" w14:textId="77777777" w:rsidR="00130E2B" w:rsidRDefault="00130E2B" w:rsidP="00070252">
      <w:pPr>
        <w:jc w:val="both"/>
        <w:rPr>
          <w:highlight w:val="yellow"/>
        </w:rPr>
      </w:pPr>
    </w:p>
    <w:p w14:paraId="7E33EF5A" w14:textId="77777777" w:rsidR="00070252" w:rsidRPr="00B403CD" w:rsidRDefault="00070252" w:rsidP="00070252">
      <w:pPr>
        <w:jc w:val="both"/>
      </w:pPr>
      <w:r w:rsidRPr="00B403CD">
        <w:t>Zdroje financovania a hodnoty za jednotlivé roky sú uvedené v žiadosti o poskytnutie NFP, ktorú žiadateľ predkladá. Do finančnej analýzy projektu je potrebné vložiť tie isté údaje, ako žiadateľ uvedie v žiadosti.</w:t>
      </w:r>
    </w:p>
    <w:p w14:paraId="29725332" w14:textId="77777777" w:rsidR="00070252" w:rsidRPr="00B403CD" w:rsidRDefault="00070252" w:rsidP="00070252">
      <w:pPr>
        <w:jc w:val="both"/>
      </w:pPr>
    </w:p>
    <w:p w14:paraId="21EE769D" w14:textId="77777777" w:rsidR="00070252" w:rsidRPr="00B403CD" w:rsidRDefault="00070252" w:rsidP="00070252">
      <w:pPr>
        <w:jc w:val="both"/>
      </w:pPr>
      <w:r w:rsidRPr="00B403CD">
        <w:t>Spolufinancovanie žiadateľa môže byť pokryté z vlastných zdrojov a prostredníctvom bankového úveru.</w:t>
      </w:r>
    </w:p>
    <w:p w14:paraId="54492985" w14:textId="77777777" w:rsidR="00070252" w:rsidRPr="00B403CD" w:rsidRDefault="00070252" w:rsidP="00070252">
      <w:pPr>
        <w:jc w:val="both"/>
      </w:pPr>
    </w:p>
    <w:p w14:paraId="15CAADE8" w14:textId="77777777" w:rsidR="00070252" w:rsidRDefault="00070252" w:rsidP="00070252">
      <w:pPr>
        <w:jc w:val="both"/>
      </w:pPr>
      <w:r w:rsidRPr="00B403CD">
        <w:t>Po stanovení peňažných tokov projektu je potrebné vykalkulovať výšku nenávratného finančného príspevku pre projekt a vyčísliť intenzitu nenávratného finančného príspevku</w:t>
      </w:r>
      <w:r w:rsidR="008D2E02">
        <w:t xml:space="preserve"> (podiel NFP na oprávnených výdavkoch)</w:t>
      </w:r>
      <w:r w:rsidRPr="00B403CD">
        <w:t xml:space="preserve"> v percentuálnom vyjadrení.</w:t>
      </w:r>
    </w:p>
    <w:p w14:paraId="1B7E67EA" w14:textId="77777777" w:rsidR="00070252" w:rsidRDefault="00070252" w:rsidP="00070252">
      <w:pPr>
        <w:jc w:val="both"/>
      </w:pPr>
    </w:p>
    <w:p w14:paraId="5B652C2F" w14:textId="77777777" w:rsidR="00070252" w:rsidRPr="00B403CD" w:rsidRDefault="00070252" w:rsidP="00070252">
      <w:pPr>
        <w:jc w:val="both"/>
      </w:pPr>
      <w:r w:rsidRPr="00B403CD">
        <w:t>Rozdelenie zdrojov:</w:t>
      </w:r>
    </w:p>
    <w:p w14:paraId="535CFF68" w14:textId="77777777" w:rsidR="00070252" w:rsidRPr="00B403CD" w:rsidRDefault="00070252" w:rsidP="008D34EF">
      <w:pPr>
        <w:pStyle w:val="Odsekzoznamu"/>
        <w:numPr>
          <w:ilvl w:val="0"/>
          <w:numId w:val="20"/>
        </w:numPr>
        <w:jc w:val="both"/>
      </w:pPr>
      <w:r w:rsidRPr="00BC5CF7">
        <w:rPr>
          <w:b/>
        </w:rPr>
        <w:t>Príspevok únie</w:t>
      </w:r>
    </w:p>
    <w:p w14:paraId="31BF2E0C" w14:textId="77777777" w:rsidR="003E2051" w:rsidRDefault="00070252" w:rsidP="00F26B1B">
      <w:pPr>
        <w:pStyle w:val="Odsekzoznamu"/>
        <w:numPr>
          <w:ilvl w:val="0"/>
          <w:numId w:val="33"/>
        </w:numPr>
        <w:spacing w:before="200" w:after="200"/>
        <w:ind w:left="1276" w:hanging="425"/>
      </w:pPr>
      <w:r w:rsidRPr="00B403CD">
        <w:t>Fond súdržnosti,</w:t>
      </w:r>
    </w:p>
    <w:p w14:paraId="0E56401B" w14:textId="77777777" w:rsidR="00070252" w:rsidRPr="00B403CD" w:rsidRDefault="003E2051" w:rsidP="00F26B1B">
      <w:pPr>
        <w:pStyle w:val="Odsekzoznamu"/>
        <w:numPr>
          <w:ilvl w:val="0"/>
          <w:numId w:val="33"/>
        </w:numPr>
        <w:spacing w:before="200" w:after="200"/>
        <w:ind w:left="1276" w:hanging="425"/>
      </w:pPr>
      <w:r>
        <w:t>Kohézny fond,</w:t>
      </w:r>
      <w:r w:rsidR="00070252" w:rsidRPr="00B403CD">
        <w:t xml:space="preserve">  </w:t>
      </w:r>
    </w:p>
    <w:p w14:paraId="1DE5F2B3" w14:textId="77777777" w:rsidR="00070252" w:rsidRPr="00B403CD" w:rsidRDefault="00070252" w:rsidP="00F26B1B">
      <w:pPr>
        <w:pStyle w:val="Odsekzoznamu"/>
        <w:numPr>
          <w:ilvl w:val="0"/>
          <w:numId w:val="33"/>
        </w:numPr>
        <w:spacing w:before="200" w:after="200"/>
        <w:ind w:left="1276" w:hanging="425"/>
      </w:pPr>
      <w:r w:rsidRPr="00B403CD">
        <w:t>Európsky fond regionáln</w:t>
      </w:r>
      <w:r w:rsidR="005767A7">
        <w:t>eho</w:t>
      </w:r>
      <w:r w:rsidRPr="00B403CD">
        <w:t xml:space="preserve"> rozvoj</w:t>
      </w:r>
      <w:r w:rsidR="005767A7">
        <w:t>a</w:t>
      </w:r>
      <w:r w:rsidRPr="00B403CD">
        <w:t xml:space="preserve">,  </w:t>
      </w:r>
    </w:p>
    <w:p w14:paraId="199C7AEC" w14:textId="77777777" w:rsidR="00070252" w:rsidRPr="00B403CD" w:rsidRDefault="00070252" w:rsidP="00F26B1B">
      <w:pPr>
        <w:pStyle w:val="Odsekzoznamu"/>
        <w:numPr>
          <w:ilvl w:val="0"/>
          <w:numId w:val="33"/>
        </w:numPr>
        <w:spacing w:before="200" w:after="200"/>
        <w:ind w:left="1276" w:hanging="425"/>
      </w:pPr>
      <w:r w:rsidRPr="00B403CD">
        <w:t xml:space="preserve">Európsky sociálny fond,  </w:t>
      </w:r>
    </w:p>
    <w:p w14:paraId="23246490" w14:textId="77777777" w:rsidR="00070252" w:rsidRPr="00B403CD" w:rsidRDefault="00070252" w:rsidP="00F26B1B">
      <w:pPr>
        <w:pStyle w:val="Odsekzoznamu"/>
        <w:numPr>
          <w:ilvl w:val="0"/>
          <w:numId w:val="33"/>
        </w:numPr>
        <w:spacing w:before="200" w:after="200"/>
        <w:ind w:left="1276" w:hanging="425"/>
      </w:pPr>
      <w:r w:rsidRPr="00B403CD">
        <w:t xml:space="preserve">Európsky sociálny fond </w:t>
      </w:r>
      <w:r w:rsidR="005767A7">
        <w:t>–</w:t>
      </w:r>
      <w:r w:rsidRPr="00B403CD">
        <w:t xml:space="preserve"> </w:t>
      </w:r>
      <w:r w:rsidR="005767A7">
        <w:t>Iniciatíva pre</w:t>
      </w:r>
      <w:r w:rsidRPr="00B403CD">
        <w:t xml:space="preserve"> zamestnanos</w:t>
      </w:r>
      <w:r w:rsidR="005767A7">
        <w:t>ť</w:t>
      </w:r>
      <w:r w:rsidRPr="00B403CD">
        <w:t xml:space="preserve"> mladých ľudí</w:t>
      </w:r>
    </w:p>
    <w:p w14:paraId="46329DF6" w14:textId="77777777" w:rsidR="00070252" w:rsidRPr="00B403CD" w:rsidRDefault="00070252" w:rsidP="00F26B1B">
      <w:pPr>
        <w:pStyle w:val="Odsekzoznamu"/>
        <w:numPr>
          <w:ilvl w:val="0"/>
          <w:numId w:val="33"/>
        </w:numPr>
        <w:spacing w:before="200" w:after="200"/>
        <w:ind w:left="1276" w:hanging="425"/>
      </w:pPr>
      <w:r w:rsidRPr="00B403CD">
        <w:t xml:space="preserve">Európsky poľnohospodársky fond pre rozvoj vidieka,  </w:t>
      </w:r>
    </w:p>
    <w:p w14:paraId="1EE2C24E" w14:textId="77777777" w:rsidR="00070252" w:rsidRDefault="00070252" w:rsidP="00F26B1B">
      <w:pPr>
        <w:pStyle w:val="Odsekzoznamu"/>
        <w:numPr>
          <w:ilvl w:val="0"/>
          <w:numId w:val="33"/>
        </w:numPr>
        <w:spacing w:before="200" w:after="200"/>
        <w:ind w:left="1276" w:hanging="425"/>
      </w:pPr>
      <w:r w:rsidRPr="00B403CD">
        <w:t>Európsky námorný a rybársky fond;</w:t>
      </w:r>
    </w:p>
    <w:p w14:paraId="7C44FF4D" w14:textId="77777777" w:rsidR="00070252" w:rsidRPr="00BC5CF7" w:rsidRDefault="00070252" w:rsidP="008D34EF">
      <w:pPr>
        <w:pStyle w:val="Odsekzoznamu"/>
        <w:numPr>
          <w:ilvl w:val="0"/>
          <w:numId w:val="20"/>
        </w:numPr>
        <w:jc w:val="both"/>
        <w:rPr>
          <w:b/>
        </w:rPr>
      </w:pPr>
      <w:r w:rsidRPr="00BC5CF7">
        <w:rPr>
          <w:b/>
        </w:rPr>
        <w:t>Národné spolufinancovanie</w:t>
      </w:r>
    </w:p>
    <w:p w14:paraId="7E032C6C" w14:textId="77777777" w:rsidR="00070252" w:rsidRPr="00B403CD" w:rsidRDefault="00070252" w:rsidP="00F26B1B">
      <w:pPr>
        <w:pStyle w:val="Odsekzoznamu"/>
        <w:numPr>
          <w:ilvl w:val="0"/>
          <w:numId w:val="44"/>
        </w:numPr>
        <w:spacing w:before="200" w:after="200"/>
        <w:ind w:left="1276" w:hanging="425"/>
      </w:pPr>
      <w:r w:rsidRPr="00B403CD">
        <w:lastRenderedPageBreak/>
        <w:t xml:space="preserve">národné  verejné  zdroje  (štátny  rozpočet,  </w:t>
      </w:r>
      <w:r w:rsidR="00CF23CF">
        <w:t xml:space="preserve">regionálne zdroje </w:t>
      </w:r>
      <w:r w:rsidRPr="00B403CD">
        <w:t xml:space="preserve">,  </w:t>
      </w:r>
      <w:r w:rsidR="00CF23CF">
        <w:t>miestne zdroje</w:t>
      </w:r>
      <w:r w:rsidRPr="00B403CD">
        <w:t xml:space="preserve">,  </w:t>
      </w:r>
      <w:r w:rsidR="00CF23CF">
        <w:t>vlastné verejné zdroje</w:t>
      </w:r>
      <w:r w:rsidR="009B3141">
        <w:t>);</w:t>
      </w:r>
    </w:p>
    <w:p w14:paraId="5ACC2A63" w14:textId="77777777" w:rsidR="00070252" w:rsidRPr="00B403CD" w:rsidRDefault="00070252" w:rsidP="008D34EF">
      <w:pPr>
        <w:pStyle w:val="Odsekzoznamu"/>
        <w:numPr>
          <w:ilvl w:val="0"/>
          <w:numId w:val="20"/>
        </w:numPr>
        <w:jc w:val="both"/>
      </w:pPr>
      <w:r w:rsidRPr="00BC5CF7">
        <w:rPr>
          <w:b/>
        </w:rPr>
        <w:t>Súkromné zdroje</w:t>
      </w:r>
    </w:p>
    <w:p w14:paraId="6582FB3E" w14:textId="77777777" w:rsidR="00070252" w:rsidRPr="006A5294" w:rsidRDefault="006A5294" w:rsidP="006A5294">
      <w:pPr>
        <w:pStyle w:val="MPCKO3"/>
      </w:pPr>
      <w:bookmarkStart w:id="29" w:name="_Toc527539371"/>
      <w:r>
        <w:t>2</w:t>
      </w:r>
      <w:r w:rsidR="00070252" w:rsidRPr="006A5294">
        <w:t>.1.9 Určenie finančnej udržateľnosti</w:t>
      </w:r>
      <w:bookmarkEnd w:id="29"/>
    </w:p>
    <w:p w14:paraId="6CED6D36" w14:textId="77777777" w:rsidR="00130E2B" w:rsidRDefault="00130E2B" w:rsidP="00070252">
      <w:pPr>
        <w:jc w:val="both"/>
        <w:rPr>
          <w:highlight w:val="yellow"/>
        </w:rPr>
      </w:pPr>
    </w:p>
    <w:p w14:paraId="6B839BD6" w14:textId="40DAF554" w:rsidR="00070252" w:rsidRPr="00B403CD" w:rsidRDefault="00070252" w:rsidP="00070252">
      <w:pPr>
        <w:jc w:val="both"/>
      </w:pPr>
      <w:r w:rsidRPr="00B403CD">
        <w:t>Finančný plán má demonštrovať finančnú udržateľnosť, čo znamená, že projekt nepodstupuje riziko, že peniaze na projekt sa vyčerpajú. Pre realizáciu projektu je základom načasovanie príjmov finančných prostriedkov a realizácie platieb. Žiadateľ má ukázať, akým spôsobom budú zdroje finančných prostriedkov dôsledne rok za rokom pokrývať vyplatené prostriedky. Udržateľnosť nastane, pokiaľ čistý (nediskontovaný) kumulovaný cashflow vykazuje vo</w:t>
      </w:r>
      <w:r w:rsidR="008E5524">
        <w:t> </w:t>
      </w:r>
      <w:r w:rsidRPr="00B403CD">
        <w:t xml:space="preserve">všetkých rokoch kladné hodnoty. </w:t>
      </w:r>
    </w:p>
    <w:p w14:paraId="32FE5E40" w14:textId="77777777" w:rsidR="00070252" w:rsidRPr="00B403CD" w:rsidRDefault="00070252" w:rsidP="00070252">
      <w:pPr>
        <w:jc w:val="both"/>
      </w:pPr>
    </w:p>
    <w:p w14:paraId="63727A51" w14:textId="77777777" w:rsidR="00070252" w:rsidRPr="00B403CD" w:rsidRDefault="00070252" w:rsidP="00070252">
      <w:pPr>
        <w:widowControl w:val="0"/>
        <w:jc w:val="both"/>
      </w:pPr>
      <w:r w:rsidRPr="00B403CD">
        <w:t>Toto sú kľúčové aspekty analýzy finančnej udržateľnosti:</w:t>
      </w:r>
    </w:p>
    <w:p w14:paraId="39CB50B0" w14:textId="77777777" w:rsidR="00070252" w:rsidRPr="00B403CD" w:rsidRDefault="00BC5CF7" w:rsidP="00070252">
      <w:pPr>
        <w:ind w:left="720" w:hanging="720"/>
        <w:jc w:val="both"/>
      </w:pPr>
      <w:r>
        <w:t>a)</w:t>
      </w:r>
      <w:r w:rsidR="00070252" w:rsidRPr="00B403CD">
        <w:tab/>
        <w:t>Finančná udržateľnosť projektu je overená kontrolou, či kumulovaný (nediskontovaný) čistý peňažný tok za každý rok je kladný (alebo nulový), a to počas celého zvažovaného referenčného obdobia.</w:t>
      </w:r>
    </w:p>
    <w:p w14:paraId="47E352EB" w14:textId="77777777" w:rsidR="00070252" w:rsidRPr="00B403CD" w:rsidRDefault="00BC5CF7" w:rsidP="00070252">
      <w:pPr>
        <w:jc w:val="both"/>
      </w:pPr>
      <w:r>
        <w:t>b)</w:t>
      </w:r>
      <w:r w:rsidR="00070252" w:rsidRPr="00B403CD">
        <w:tab/>
        <w:t>Čisté peňažné toky zvažované na tento účel by:</w:t>
      </w:r>
    </w:p>
    <w:p w14:paraId="76F0D92F" w14:textId="77777777" w:rsidR="00070252" w:rsidRPr="00B403CD" w:rsidRDefault="00070252" w:rsidP="00F26B1B">
      <w:pPr>
        <w:pStyle w:val="Odsekzoznamu"/>
        <w:numPr>
          <w:ilvl w:val="1"/>
          <w:numId w:val="45"/>
        </w:numPr>
        <w:spacing w:before="200" w:after="200"/>
        <w:ind w:left="1276" w:hanging="425"/>
      </w:pPr>
      <w:r w:rsidRPr="00B403CD">
        <w:t>mali zohľadňovať investičné náklady, všetky (národné a</w:t>
      </w:r>
      <w:r w:rsidR="0072107E">
        <w:t> Európskej únie</w:t>
      </w:r>
      <w:r w:rsidRPr="00B403CD">
        <w:t>) finančné prostriedky a hotovostné príjmy a prevádzkové a reprodukčné náklady v čase ich platby, splátky finančných záväzkov subjektu, ako aj kapitálové príspevky, úroky a priame dane,</w:t>
      </w:r>
    </w:p>
    <w:p w14:paraId="10C8DBC9" w14:textId="77777777" w:rsidR="00070252" w:rsidRPr="00F26B1B" w:rsidRDefault="00070252" w:rsidP="00F26B1B">
      <w:pPr>
        <w:pStyle w:val="Odsekzoznamu"/>
        <w:numPr>
          <w:ilvl w:val="1"/>
          <w:numId w:val="45"/>
        </w:numPr>
        <w:spacing w:before="200" w:after="200"/>
        <w:ind w:left="1276" w:hanging="425"/>
      </w:pPr>
      <w:r w:rsidRPr="00B403CD">
        <w:t>mali byť bez DPH okrem prípadu, keď ide o nevratnú DPH,</w:t>
      </w:r>
    </w:p>
    <w:p w14:paraId="04A45D4E" w14:textId="77777777" w:rsidR="00070252" w:rsidRPr="00B403CD" w:rsidRDefault="00070252" w:rsidP="00F26B1B">
      <w:pPr>
        <w:pStyle w:val="Odsekzoznamu"/>
        <w:numPr>
          <w:ilvl w:val="1"/>
          <w:numId w:val="45"/>
        </w:numPr>
        <w:spacing w:before="200" w:after="200"/>
        <w:ind w:left="1276" w:hanging="425"/>
      </w:pPr>
      <w:r w:rsidRPr="00B403CD">
        <w:t>nemali zohľadňovať zostatkovú hodnotu okrem prípadov, keď je aktívum skutočne zlikvidované v poslednom zohľadnenom roku analýzy.</w:t>
      </w:r>
    </w:p>
    <w:p w14:paraId="309C1E0D" w14:textId="2B02697D" w:rsidR="00070252" w:rsidRPr="00B403CD" w:rsidRDefault="00BC5CF7" w:rsidP="00070252">
      <w:pPr>
        <w:ind w:left="720" w:hanging="720"/>
        <w:jc w:val="both"/>
      </w:pPr>
      <w:r>
        <w:t>c)</w:t>
      </w:r>
      <w:r w:rsidR="00070252" w:rsidRPr="00B403CD">
        <w:t xml:space="preserve"> </w:t>
      </w:r>
      <w:r w:rsidR="00070252" w:rsidRPr="00B403CD">
        <w:tab/>
        <w:t xml:space="preserve">V prípade operácie, na ktorú sa nevzťahujú požiadavky uvedené v článku 61 </w:t>
      </w:r>
      <w:r w:rsidR="00757777">
        <w:t xml:space="preserve">všeobecného </w:t>
      </w:r>
      <w:r w:rsidR="00070252" w:rsidRPr="00B403CD">
        <w:t>nariadenia , alebo vždy, keď sa v budúcnosti projektujú záporné peňažné toky, musí sa uviesť, ako budú pokryté náklady, s jednoznačným dlhodobým záväzkom prijímateľa/prevádzkovateľa, že poskytne primerané financovanie z iných zdrojov na zabezpečenie udržateľnosti projektu.</w:t>
      </w:r>
    </w:p>
    <w:p w14:paraId="7039B2B5" w14:textId="77777777" w:rsidR="00070252" w:rsidRPr="00B4488F" w:rsidRDefault="00BC5CF7" w:rsidP="00070252">
      <w:pPr>
        <w:ind w:left="720" w:hanging="720"/>
        <w:jc w:val="both"/>
      </w:pPr>
      <w:r>
        <w:t>d)</w:t>
      </w:r>
      <w:r w:rsidR="00070252" w:rsidRPr="00B403CD">
        <w:tab/>
        <w:t>Ak projekty spadajú do už existujúcej infraštruktúry, napríklad projekty na zvýšenie kapacity, musí sa overiť celková finančná udržateľnosť prevádzkovateľa systému v rámci „scenára s projektom“ (väčšmi než kapacita daného jedného rozšíreného segmentu) a musí sa vypracovať analýza udržateľnosti na úrovni prevádzkovateľa systému a výsledky sa musia zohľadniť pri posúdení rizík.</w:t>
      </w:r>
    </w:p>
    <w:p w14:paraId="7089CFB9" w14:textId="77777777" w:rsidR="00070252" w:rsidRDefault="006A5294" w:rsidP="00F94F1D">
      <w:pPr>
        <w:pStyle w:val="MPCKO3"/>
        <w:ind w:left="728" w:hanging="728"/>
      </w:pPr>
      <w:bookmarkStart w:id="30" w:name="_Toc527539372"/>
      <w:r>
        <w:t>2</w:t>
      </w:r>
      <w:r w:rsidR="00070252" w:rsidRPr="006A5294">
        <w:t>.1.10 Výpočet finančného vnútorného výnosového percenta (FIRR) a čistej finančnej súčasnej hodnoty (FNPV)</w:t>
      </w:r>
      <w:bookmarkEnd w:id="30"/>
    </w:p>
    <w:p w14:paraId="71F2E3B7" w14:textId="77777777" w:rsidR="00F94F1D" w:rsidRDefault="00F94F1D" w:rsidP="00070252">
      <w:pPr>
        <w:autoSpaceDE w:val="0"/>
        <w:autoSpaceDN w:val="0"/>
        <w:adjustRightInd w:val="0"/>
        <w:jc w:val="both"/>
        <w:rPr>
          <w:color w:val="000000"/>
        </w:rPr>
      </w:pPr>
    </w:p>
    <w:p w14:paraId="0E16D8E5" w14:textId="1695AF50" w:rsidR="00070252" w:rsidRPr="00B4488F" w:rsidRDefault="00070252" w:rsidP="00070252">
      <w:pPr>
        <w:autoSpaceDE w:val="0"/>
        <w:autoSpaceDN w:val="0"/>
        <w:adjustRightInd w:val="0"/>
        <w:jc w:val="both"/>
        <w:rPr>
          <w:color w:val="000000"/>
        </w:rPr>
      </w:pPr>
      <w:r w:rsidRPr="00B4488F">
        <w:rPr>
          <w:color w:val="000000"/>
        </w:rPr>
        <w:t>Čistá súčasná finančná hodnota (FNPV) je výsledná suma, ktorá vznikne odčítaním očakávaných investičných, prevádzkových a reprodukčných nákladov (diskontovaných) od</w:t>
      </w:r>
      <w:r w:rsidR="008E5524">
        <w:rPr>
          <w:color w:val="000000"/>
        </w:rPr>
        <w:t> </w:t>
      </w:r>
      <w:r w:rsidRPr="00B4488F">
        <w:rPr>
          <w:color w:val="000000"/>
        </w:rPr>
        <w:t>diskontovanej hodnoty očakávaných príjmov.</w:t>
      </w:r>
    </w:p>
    <w:p w14:paraId="1D8B94F2" w14:textId="77777777" w:rsidR="00070252" w:rsidRDefault="00070252" w:rsidP="00070252">
      <w:pPr>
        <w:jc w:val="both"/>
      </w:pPr>
      <w:r w:rsidRPr="00B4488F">
        <w:rPr>
          <w:color w:val="000000"/>
        </w:rPr>
        <w:t>Finančná miera návratnosti (FRR) je diskontná sadzba, ktorou sa produkuje nulová FNPV</w:t>
      </w:r>
      <w:r>
        <w:t xml:space="preserve">. </w:t>
      </w:r>
    </w:p>
    <w:p w14:paraId="0EDDD3E5" w14:textId="77777777" w:rsidR="00070252" w:rsidRDefault="00070252" w:rsidP="00070252">
      <w:pPr>
        <w:jc w:val="both"/>
      </w:pPr>
    </w:p>
    <w:p w14:paraId="6F16B2B5" w14:textId="77777777" w:rsidR="00070252" w:rsidRPr="00CA0180" w:rsidRDefault="00070252" w:rsidP="008D34EF">
      <w:pPr>
        <w:numPr>
          <w:ilvl w:val="0"/>
          <w:numId w:val="11"/>
        </w:numPr>
        <w:jc w:val="both"/>
        <w:rPr>
          <w:b/>
        </w:rPr>
      </w:pPr>
      <w:r w:rsidRPr="00CA0180">
        <w:rPr>
          <w:b/>
        </w:rPr>
        <w:t>Finančná čistá súčasná hodnota (FNPV)</w:t>
      </w:r>
    </w:p>
    <w:p w14:paraId="54D2C4A3" w14:textId="77777777" w:rsidR="00070252" w:rsidRDefault="00070252" w:rsidP="00070252">
      <w:pPr>
        <w:jc w:val="both"/>
      </w:pPr>
    </w:p>
    <w:p w14:paraId="34CE76DC" w14:textId="77777777" w:rsidR="00070252" w:rsidRDefault="00070252" w:rsidP="00070252">
      <w:pPr>
        <w:jc w:val="both"/>
      </w:pPr>
      <w:r>
        <w:rPr>
          <w:noProof/>
        </w:rPr>
        <w:lastRenderedPageBreak/>
        <w:drawing>
          <wp:inline distT="0" distB="0" distL="0" distR="0" wp14:anchorId="786F871D" wp14:editId="699F4B02">
            <wp:extent cx="4333875" cy="619125"/>
            <wp:effectExtent l="0" t="0" r="9525" b="9525"/>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33875" cy="619125"/>
                    </a:xfrm>
                    <a:prstGeom prst="rect">
                      <a:avLst/>
                    </a:prstGeom>
                    <a:noFill/>
                    <a:ln>
                      <a:noFill/>
                    </a:ln>
                  </pic:spPr>
                </pic:pic>
              </a:graphicData>
            </a:graphic>
          </wp:inline>
        </w:drawing>
      </w:r>
    </w:p>
    <w:p w14:paraId="6FB2A0FF" w14:textId="77777777" w:rsidR="00070252" w:rsidRDefault="00070252" w:rsidP="00070252">
      <w:pPr>
        <w:jc w:val="both"/>
      </w:pPr>
    </w:p>
    <w:p w14:paraId="32D756FD" w14:textId="77777777" w:rsidR="00070252" w:rsidRDefault="00070252" w:rsidP="00070252">
      <w:pPr>
        <w:jc w:val="both"/>
      </w:pPr>
    </w:p>
    <w:p w14:paraId="0A310799" w14:textId="77777777" w:rsidR="00070252" w:rsidRPr="00B403CD" w:rsidRDefault="00070252" w:rsidP="00070252">
      <w:pPr>
        <w:pStyle w:val="Default"/>
        <w:rPr>
          <w:sz w:val="22"/>
          <w:szCs w:val="22"/>
        </w:rPr>
      </w:pPr>
      <w:r w:rsidRPr="00B403CD">
        <w:rPr>
          <w:sz w:val="22"/>
          <w:szCs w:val="22"/>
        </w:rPr>
        <w:t>S</w:t>
      </w:r>
      <w:r w:rsidRPr="00B403CD">
        <w:rPr>
          <w:sz w:val="14"/>
          <w:szCs w:val="14"/>
        </w:rPr>
        <w:t>t</w:t>
      </w:r>
      <w:r w:rsidRPr="00B403CD">
        <w:rPr>
          <w:sz w:val="22"/>
          <w:szCs w:val="22"/>
        </w:rPr>
        <w:t xml:space="preserve">….. bilancia cashflow v čase t ( rozdiel očakávaných príjmov a investičných a prevádzkových výdavkov) </w:t>
      </w:r>
    </w:p>
    <w:p w14:paraId="15FD2A56" w14:textId="77777777" w:rsidR="00070252" w:rsidRPr="00B403CD" w:rsidRDefault="00070252" w:rsidP="00070252">
      <w:pPr>
        <w:pStyle w:val="Default"/>
        <w:rPr>
          <w:sz w:val="22"/>
          <w:szCs w:val="22"/>
        </w:rPr>
      </w:pPr>
      <w:r w:rsidRPr="00B403CD">
        <w:rPr>
          <w:sz w:val="22"/>
          <w:szCs w:val="22"/>
        </w:rPr>
        <w:t>a</w:t>
      </w:r>
      <w:r w:rsidRPr="00B403CD">
        <w:rPr>
          <w:sz w:val="14"/>
          <w:szCs w:val="14"/>
        </w:rPr>
        <w:t>t</w:t>
      </w:r>
      <w:r w:rsidRPr="00B403CD">
        <w:rPr>
          <w:sz w:val="22"/>
          <w:szCs w:val="22"/>
        </w:rPr>
        <w:t>…. finančný diskontný faktor zvolený pre diskontovanie v čase (tj. a</w:t>
      </w:r>
      <w:r w:rsidRPr="00B403CD">
        <w:rPr>
          <w:sz w:val="14"/>
          <w:szCs w:val="14"/>
        </w:rPr>
        <w:t>t</w:t>
      </w:r>
      <w:r w:rsidRPr="00B403CD">
        <w:rPr>
          <w:sz w:val="22"/>
          <w:szCs w:val="22"/>
        </w:rPr>
        <w:t>= 1 / (1 + i)</w:t>
      </w:r>
      <w:r w:rsidRPr="00B403CD">
        <w:rPr>
          <w:sz w:val="14"/>
          <w:szCs w:val="14"/>
        </w:rPr>
        <w:t>t</w:t>
      </w:r>
      <w:r w:rsidRPr="00B403CD">
        <w:rPr>
          <w:sz w:val="22"/>
          <w:szCs w:val="22"/>
        </w:rPr>
        <w:t xml:space="preserve">) </w:t>
      </w:r>
    </w:p>
    <w:p w14:paraId="2C4DF019" w14:textId="77777777" w:rsidR="00070252" w:rsidRPr="00B403CD" w:rsidRDefault="00070252" w:rsidP="00070252">
      <w:pPr>
        <w:pStyle w:val="Default"/>
        <w:rPr>
          <w:sz w:val="22"/>
          <w:szCs w:val="22"/>
        </w:rPr>
      </w:pPr>
      <w:r w:rsidRPr="00B403CD">
        <w:rPr>
          <w:sz w:val="22"/>
          <w:szCs w:val="22"/>
        </w:rPr>
        <w:t xml:space="preserve">i ……. referenčná diskontná sadzba </w:t>
      </w:r>
    </w:p>
    <w:p w14:paraId="4500B42A" w14:textId="77777777" w:rsidR="00070252" w:rsidRPr="00B403CD" w:rsidRDefault="00070252" w:rsidP="00070252">
      <w:pPr>
        <w:pStyle w:val="Default"/>
        <w:rPr>
          <w:sz w:val="22"/>
          <w:szCs w:val="22"/>
        </w:rPr>
      </w:pPr>
      <w:r w:rsidRPr="00B403CD">
        <w:rPr>
          <w:sz w:val="22"/>
          <w:szCs w:val="22"/>
        </w:rPr>
        <w:t xml:space="preserve">n …... poslední rok referenčného obdobia </w:t>
      </w:r>
    </w:p>
    <w:p w14:paraId="470C9B3B" w14:textId="77777777" w:rsidR="00070252" w:rsidRPr="00B403CD" w:rsidRDefault="00070252" w:rsidP="00070252">
      <w:pPr>
        <w:pStyle w:val="Default"/>
        <w:rPr>
          <w:sz w:val="22"/>
          <w:szCs w:val="22"/>
        </w:rPr>
      </w:pPr>
      <w:r w:rsidRPr="00B403CD">
        <w:rPr>
          <w:sz w:val="22"/>
          <w:szCs w:val="22"/>
        </w:rPr>
        <w:t>t ……. časový horizont referenčného obdobia</w:t>
      </w:r>
    </w:p>
    <w:p w14:paraId="49ABF675" w14:textId="77777777" w:rsidR="00070252" w:rsidRPr="00B403CD" w:rsidRDefault="00070252" w:rsidP="00070252">
      <w:pPr>
        <w:pStyle w:val="Default"/>
        <w:rPr>
          <w:sz w:val="22"/>
          <w:szCs w:val="22"/>
        </w:rPr>
      </w:pPr>
    </w:p>
    <w:p w14:paraId="651AC00B" w14:textId="77777777" w:rsidR="00070252" w:rsidRPr="00B403CD" w:rsidRDefault="00070252" w:rsidP="00070252">
      <w:pPr>
        <w:pStyle w:val="Default"/>
        <w:rPr>
          <w:rFonts w:ascii="Times New Roman" w:hAnsi="Times New Roman" w:cs="Times New Roman"/>
          <w:color w:val="auto"/>
          <w:lang w:eastAsia="en-GB"/>
        </w:rPr>
      </w:pPr>
      <w:r w:rsidRPr="00B403CD">
        <w:rPr>
          <w:rFonts w:ascii="Times New Roman" w:hAnsi="Times New Roman" w:cs="Times New Roman"/>
          <w:color w:val="auto"/>
          <w:lang w:eastAsia="en-GB"/>
        </w:rPr>
        <w:t xml:space="preserve">Finančná čistá súčasná hodnota nám ukazuje aké množstvo peňazí zarobil projekt v reálnej hodnote. </w:t>
      </w:r>
    </w:p>
    <w:p w14:paraId="4E464228" w14:textId="77777777" w:rsidR="00070252" w:rsidRPr="00B403CD" w:rsidRDefault="00070252" w:rsidP="00070252">
      <w:pPr>
        <w:pStyle w:val="Default"/>
        <w:rPr>
          <w:rFonts w:ascii="Times New Roman" w:hAnsi="Times New Roman" w:cs="Times New Roman"/>
          <w:color w:val="auto"/>
          <w:lang w:eastAsia="en-GB"/>
        </w:rPr>
      </w:pPr>
      <w:r w:rsidRPr="00B403CD">
        <w:rPr>
          <w:rFonts w:ascii="Times New Roman" w:hAnsi="Times New Roman" w:cs="Times New Roman"/>
          <w:color w:val="auto"/>
          <w:lang w:eastAsia="en-GB"/>
        </w:rPr>
        <w:t>Ak je čistá súčasná hodnota pozitívna</w:t>
      </w:r>
      <w:r w:rsidR="00D15736">
        <w:rPr>
          <w:rFonts w:ascii="Times New Roman" w:hAnsi="Times New Roman" w:cs="Times New Roman"/>
          <w:color w:val="auto"/>
          <w:lang w:eastAsia="en-GB"/>
        </w:rPr>
        <w:t xml:space="preserve"> (väčšia ako 0)</w:t>
      </w:r>
      <w:r w:rsidRPr="00B403CD">
        <w:rPr>
          <w:rFonts w:ascii="Times New Roman" w:hAnsi="Times New Roman" w:cs="Times New Roman"/>
          <w:color w:val="auto"/>
          <w:lang w:eastAsia="en-GB"/>
        </w:rPr>
        <w:t xml:space="preserve"> po použití diskontnej sadzby potom je projekt ziskový</w:t>
      </w:r>
    </w:p>
    <w:p w14:paraId="7864E267" w14:textId="77777777" w:rsidR="00070252" w:rsidRPr="00B403CD" w:rsidRDefault="00070252" w:rsidP="00070252">
      <w:pPr>
        <w:pStyle w:val="Default"/>
        <w:rPr>
          <w:sz w:val="22"/>
          <w:szCs w:val="22"/>
        </w:rPr>
      </w:pPr>
    </w:p>
    <w:p w14:paraId="514E7C82" w14:textId="77777777" w:rsidR="00070252" w:rsidRPr="00B403CD" w:rsidRDefault="00070252" w:rsidP="008D34EF">
      <w:pPr>
        <w:pStyle w:val="Default"/>
        <w:numPr>
          <w:ilvl w:val="0"/>
          <w:numId w:val="11"/>
        </w:numPr>
        <w:rPr>
          <w:rFonts w:ascii="Times New Roman" w:hAnsi="Times New Roman" w:cs="Times New Roman"/>
          <w:b/>
          <w:color w:val="auto"/>
          <w:lang w:eastAsia="en-GB"/>
        </w:rPr>
      </w:pPr>
      <w:r w:rsidRPr="00B403CD">
        <w:rPr>
          <w:rFonts w:ascii="Times New Roman" w:hAnsi="Times New Roman" w:cs="Times New Roman"/>
          <w:b/>
          <w:color w:val="auto"/>
          <w:lang w:eastAsia="en-GB"/>
        </w:rPr>
        <w:t xml:space="preserve">Finančná miera návratnosti </w:t>
      </w:r>
    </w:p>
    <w:p w14:paraId="4B0B6111" w14:textId="77777777" w:rsidR="00070252" w:rsidRPr="00B403CD" w:rsidRDefault="00070252" w:rsidP="00070252">
      <w:pPr>
        <w:pStyle w:val="Default"/>
        <w:rPr>
          <w:rFonts w:ascii="Times New Roman" w:hAnsi="Times New Roman" w:cs="Times New Roman"/>
          <w:b/>
          <w:color w:val="auto"/>
          <w:lang w:eastAsia="en-GB"/>
        </w:rPr>
      </w:pPr>
    </w:p>
    <w:p w14:paraId="0E979ADA" w14:textId="77777777" w:rsidR="00070252" w:rsidRPr="00B403CD" w:rsidRDefault="00070252" w:rsidP="00070252">
      <w:pPr>
        <w:pStyle w:val="Default"/>
        <w:rPr>
          <w:rFonts w:ascii="Times New Roman" w:hAnsi="Times New Roman" w:cs="Times New Roman"/>
          <w:b/>
          <w:color w:val="auto"/>
          <w:lang w:eastAsia="en-GB"/>
        </w:rPr>
      </w:pPr>
      <w:r w:rsidRPr="00B403CD">
        <w:rPr>
          <w:sz w:val="32"/>
          <w:szCs w:val="32"/>
        </w:rPr>
        <w:t xml:space="preserve">Σ </w:t>
      </w:r>
      <w:r w:rsidRPr="00B403CD">
        <w:rPr>
          <w:i/>
          <w:iCs/>
          <w:sz w:val="32"/>
          <w:szCs w:val="32"/>
        </w:rPr>
        <w:t>[S</w:t>
      </w:r>
      <w:r w:rsidRPr="00B403CD">
        <w:rPr>
          <w:i/>
          <w:iCs/>
          <w:sz w:val="21"/>
          <w:szCs w:val="21"/>
        </w:rPr>
        <w:t>t</w:t>
      </w:r>
      <w:r w:rsidRPr="00B403CD">
        <w:rPr>
          <w:i/>
          <w:iCs/>
          <w:sz w:val="32"/>
          <w:szCs w:val="32"/>
        </w:rPr>
        <w:t>/ (1+ FRR)</w:t>
      </w:r>
      <w:r w:rsidRPr="00B403CD">
        <w:rPr>
          <w:i/>
          <w:iCs/>
          <w:sz w:val="21"/>
          <w:szCs w:val="21"/>
        </w:rPr>
        <w:t xml:space="preserve">t </w:t>
      </w:r>
      <w:r w:rsidRPr="00B403CD">
        <w:rPr>
          <w:i/>
          <w:iCs/>
          <w:sz w:val="32"/>
          <w:szCs w:val="32"/>
        </w:rPr>
        <w:t>] = 0</w:t>
      </w:r>
    </w:p>
    <w:p w14:paraId="691C5038" w14:textId="77777777" w:rsidR="00070252" w:rsidRPr="00B403CD" w:rsidRDefault="00070252" w:rsidP="00070252">
      <w:pPr>
        <w:pStyle w:val="Default"/>
        <w:rPr>
          <w:rFonts w:ascii="Times New Roman" w:hAnsi="Times New Roman" w:cs="Times New Roman"/>
          <w:b/>
          <w:color w:val="auto"/>
          <w:lang w:eastAsia="en-GB"/>
        </w:rPr>
      </w:pPr>
    </w:p>
    <w:p w14:paraId="7E3E68EE" w14:textId="07734DCF" w:rsidR="00070252" w:rsidRPr="00B403CD" w:rsidRDefault="00070252" w:rsidP="00070252">
      <w:pPr>
        <w:pStyle w:val="Default"/>
        <w:jc w:val="both"/>
        <w:rPr>
          <w:rFonts w:ascii="Times New Roman" w:hAnsi="Times New Roman" w:cs="Times New Roman"/>
          <w:color w:val="auto"/>
          <w:lang w:eastAsia="en-GB"/>
        </w:rPr>
      </w:pPr>
      <w:r w:rsidRPr="00B403CD">
        <w:rPr>
          <w:rFonts w:ascii="Times New Roman" w:hAnsi="Times New Roman" w:cs="Times New Roman"/>
          <w:color w:val="auto"/>
          <w:lang w:eastAsia="en-GB"/>
        </w:rPr>
        <w:t>Finančná miera návratnosti nám ukazuje koľko % investičných nákladov zarobil projekt v</w:t>
      </w:r>
      <w:r w:rsidR="008E5524">
        <w:rPr>
          <w:rFonts w:ascii="Times New Roman" w:hAnsi="Times New Roman" w:cs="Times New Roman"/>
          <w:color w:val="auto"/>
          <w:lang w:eastAsia="en-GB"/>
        </w:rPr>
        <w:t> </w:t>
      </w:r>
      <w:r w:rsidRPr="00B403CD">
        <w:rPr>
          <w:rFonts w:ascii="Times New Roman" w:hAnsi="Times New Roman" w:cs="Times New Roman"/>
          <w:color w:val="auto"/>
          <w:lang w:eastAsia="en-GB"/>
        </w:rPr>
        <w:t xml:space="preserve">nominálnej hodnote. </w:t>
      </w:r>
    </w:p>
    <w:p w14:paraId="3B4C6494" w14:textId="77777777" w:rsidR="00070252" w:rsidRPr="00B403CD" w:rsidRDefault="00070252" w:rsidP="00070252">
      <w:pPr>
        <w:pStyle w:val="Default"/>
        <w:jc w:val="both"/>
        <w:rPr>
          <w:rFonts w:ascii="Times New Roman" w:hAnsi="Times New Roman" w:cs="Times New Roman"/>
          <w:color w:val="auto"/>
          <w:lang w:eastAsia="en-GB"/>
        </w:rPr>
      </w:pPr>
      <w:r w:rsidRPr="00B403CD">
        <w:rPr>
          <w:rFonts w:ascii="Times New Roman" w:hAnsi="Times New Roman" w:cs="Times New Roman"/>
          <w:color w:val="auto"/>
          <w:lang w:eastAsia="en-GB"/>
        </w:rPr>
        <w:t>Finančná miera návratnosti (FRR) – diskontná sadzba nám ukazuje koľko % investičných nákladov zarobil projekt v reálnej hodnote, to znamená, že projekt je ziskový iba ak FRR &gt; diskontná sadzba.</w:t>
      </w:r>
    </w:p>
    <w:p w14:paraId="7CBB4DD1" w14:textId="77777777" w:rsidR="00070252" w:rsidRPr="00B403CD" w:rsidRDefault="00070252" w:rsidP="00070252">
      <w:pPr>
        <w:pStyle w:val="Default"/>
        <w:rPr>
          <w:rFonts w:ascii="Times New Roman" w:hAnsi="Times New Roman" w:cs="Times New Roman"/>
          <w:b/>
          <w:color w:val="auto"/>
          <w:lang w:eastAsia="en-GB"/>
        </w:rPr>
      </w:pPr>
    </w:p>
    <w:p w14:paraId="38A532C7" w14:textId="77777777" w:rsidR="00070252" w:rsidRPr="00B403CD" w:rsidRDefault="00070252" w:rsidP="00070252">
      <w:pPr>
        <w:autoSpaceDE w:val="0"/>
        <w:autoSpaceDN w:val="0"/>
        <w:adjustRightInd w:val="0"/>
        <w:jc w:val="both"/>
        <w:rPr>
          <w:color w:val="000000"/>
        </w:rPr>
      </w:pPr>
      <w:r w:rsidRPr="00B403CD">
        <w:rPr>
          <w:b/>
        </w:rPr>
        <w:t>Finančná ziskovosť investície</w:t>
      </w:r>
      <w:r w:rsidRPr="00B403CD">
        <w:t xml:space="preserve"> sa posúdi prostredníctvom odhadu čistej súčasnej finančnej hodnoty investície a finančnej miery návratnosti investície [</w:t>
      </w:r>
      <w:r w:rsidRPr="00B403CD">
        <w:rPr>
          <w:b/>
          <w:color w:val="000000"/>
        </w:rPr>
        <w:t>FNPV(C) a FRR(C)</w:t>
      </w:r>
      <w:r w:rsidRPr="00B403CD">
        <w:t>].</w:t>
      </w:r>
      <w:r w:rsidRPr="00B403CD">
        <w:rPr>
          <w:color w:val="000000"/>
        </w:rPr>
        <w:t xml:space="preserve"> Pomocou týchto ukazovateľov sa porovnávajú investičné náklady s čistými príjmami a meria sa, do akej miery možno prostredníctvom čistých príjmov projektu splatiť investície bez ohľadu na zdroje financovania. V niektorých prípadoch (v súvislosti so štátnou pomocou a súkromnými prevádzkovateľmi) sa požaduje výpočet FRR(Kp). Úrokové platby sa nezahŕňajú do výpočtu FNPV(C).</w:t>
      </w:r>
    </w:p>
    <w:p w14:paraId="3499CCD8" w14:textId="77777777" w:rsidR="00070252" w:rsidRPr="00B403CD" w:rsidRDefault="00070252" w:rsidP="00070252">
      <w:pPr>
        <w:autoSpaceDE w:val="0"/>
        <w:autoSpaceDN w:val="0"/>
        <w:adjustRightInd w:val="0"/>
        <w:jc w:val="both"/>
        <w:rPr>
          <w:b/>
          <w:color w:val="000000"/>
        </w:rPr>
      </w:pPr>
      <w:r w:rsidRPr="00B403CD">
        <w:rPr>
          <w:b/>
          <w:color w:val="000000"/>
        </w:rPr>
        <w:t>Na projekt možno požadovať príspevok z fondov za týchto podmienok:</w:t>
      </w:r>
    </w:p>
    <w:p w14:paraId="0B543810" w14:textId="77777777" w:rsidR="00070252" w:rsidRPr="00B403CD" w:rsidRDefault="00070252" w:rsidP="00070252">
      <w:pPr>
        <w:autoSpaceDE w:val="0"/>
        <w:autoSpaceDN w:val="0"/>
        <w:adjustRightInd w:val="0"/>
        <w:jc w:val="both"/>
        <w:rPr>
          <w:color w:val="000000"/>
        </w:rPr>
      </w:pPr>
      <w:r w:rsidRPr="00B403CD">
        <w:rPr>
          <w:color w:val="000000"/>
        </w:rPr>
        <w:t xml:space="preserve">FNPV(C) pred príspevkom EÚ by mala byť záporná a FRR(C) by mala byť nižšia než diskontná sadzba použitá na analýzu (s výnimkou niektorých projektov, na ktorú sa vzťahujú pravidlá štátnej pomoci, pre ktoré toto nemusí byť relevantné). </w:t>
      </w:r>
    </w:p>
    <w:p w14:paraId="38F77D21" w14:textId="77777777" w:rsidR="00070252" w:rsidRPr="00B403CD" w:rsidRDefault="00070252" w:rsidP="00070252">
      <w:pPr>
        <w:autoSpaceDE w:val="0"/>
        <w:autoSpaceDN w:val="0"/>
        <w:adjustRightInd w:val="0"/>
        <w:jc w:val="both"/>
      </w:pPr>
      <w:r w:rsidRPr="00B403CD">
        <w:rPr>
          <w:color w:val="000000"/>
        </w:rPr>
        <w:t xml:space="preserve">Ak veľký projekt vykazuje </w:t>
      </w:r>
      <w:r w:rsidRPr="00B403CD">
        <w:rPr>
          <w:b/>
          <w:color w:val="000000"/>
        </w:rPr>
        <w:t>vysokú finančnú ziskovosť</w:t>
      </w:r>
      <w:r w:rsidRPr="00B403CD">
        <w:rPr>
          <w:color w:val="000000"/>
        </w:rPr>
        <w:t xml:space="preserve"> (t. j. FRR(C) je podstatne vyššia ako finančná diskontná sadzba), bude sa spravidla považovať za postačujúce, aby investor realizoval projekt bez príspevku Únie. </w:t>
      </w:r>
      <w:r w:rsidRPr="00B403CD">
        <w:t xml:space="preserve">Príspevok Únie možno odôvodniť iba vtedy, ak sa preukáže, že investícia nie je schopná sama získať financovanie z bánk vzhľadom na to, že riziká pre investora vyplývajúce z realizácie projektu, napr. </w:t>
      </w:r>
      <w:r w:rsidRPr="00B403CD">
        <w:rPr>
          <w:b/>
        </w:rPr>
        <w:t>vysoko inovačného</w:t>
      </w:r>
      <w:r w:rsidRPr="00B403CD">
        <w:t xml:space="preserve"> projektu, by mohli byť príliš vysoké na to, aby uskutočnil investíciu bez </w:t>
      </w:r>
      <w:r w:rsidR="00FE02BC">
        <w:t>grantu EÚ</w:t>
      </w:r>
      <w:r w:rsidRPr="00B403CD">
        <w:t xml:space="preserve">. </w:t>
      </w:r>
    </w:p>
    <w:p w14:paraId="09882120" w14:textId="77777777" w:rsidR="00070252" w:rsidRPr="00B403CD" w:rsidRDefault="00070252" w:rsidP="00070252">
      <w:pPr>
        <w:pStyle w:val="Default"/>
        <w:rPr>
          <w:rFonts w:ascii="Times New Roman" w:hAnsi="Times New Roman" w:cs="Times New Roman"/>
          <w:b/>
          <w:color w:val="auto"/>
          <w:lang w:eastAsia="en-GB"/>
        </w:rPr>
      </w:pPr>
    </w:p>
    <w:p w14:paraId="466B7CB3" w14:textId="77777777" w:rsidR="00070252" w:rsidRPr="00B4488F" w:rsidRDefault="00070252" w:rsidP="00070252">
      <w:pPr>
        <w:autoSpaceDE w:val="0"/>
        <w:autoSpaceDN w:val="0"/>
        <w:adjustRightInd w:val="0"/>
        <w:jc w:val="both"/>
        <w:rPr>
          <w:color w:val="000000"/>
        </w:rPr>
      </w:pPr>
      <w:r w:rsidRPr="00B403CD">
        <w:rPr>
          <w:b/>
        </w:rPr>
        <w:t>Finančná ziskovosť národného kapitálu</w:t>
      </w:r>
      <w:r w:rsidRPr="00B403CD">
        <w:t xml:space="preserve"> sa posúdi prostredníctvom odhadu čistej súčasnej finančnej hodnoty kapitálu a finančnej miery návratnosti kapitálu [</w:t>
      </w:r>
      <w:r w:rsidRPr="00B403CD">
        <w:rPr>
          <w:b/>
          <w:color w:val="000000"/>
        </w:rPr>
        <w:t>FNPV(K) a FRR(K)</w:t>
      </w:r>
      <w:r w:rsidRPr="00B403CD">
        <w:t>].</w:t>
      </w:r>
      <w:r w:rsidRPr="00B403CD">
        <w:rPr>
          <w:color w:val="000000"/>
        </w:rPr>
        <w:t xml:space="preserve"> Pomocou týchto ukazovateľov sa meria, do akej miery možno z čistých príjmov projektu </w:t>
      </w:r>
      <w:r w:rsidRPr="00B403CD">
        <w:rPr>
          <w:color w:val="000000"/>
        </w:rPr>
        <w:lastRenderedPageBreak/>
        <w:t>splatiť finančné prostriedky poskytnuté z národných prostriedkov (súkromných aj verejných zdrojov).</w:t>
      </w:r>
    </w:p>
    <w:p w14:paraId="249BC216" w14:textId="77777777" w:rsidR="00070252" w:rsidRPr="00B4488F" w:rsidRDefault="00070252" w:rsidP="00070252">
      <w:pPr>
        <w:autoSpaceDE w:val="0"/>
        <w:autoSpaceDN w:val="0"/>
        <w:adjustRightInd w:val="0"/>
        <w:rPr>
          <w:color w:val="000000"/>
        </w:rPr>
      </w:pPr>
    </w:p>
    <w:p w14:paraId="06717E6B" w14:textId="77777777" w:rsidR="00070252" w:rsidRPr="00B403CD" w:rsidRDefault="00070252" w:rsidP="00070252">
      <w:pPr>
        <w:autoSpaceDE w:val="0"/>
        <w:autoSpaceDN w:val="0"/>
        <w:adjustRightInd w:val="0"/>
        <w:rPr>
          <w:color w:val="000000"/>
        </w:rPr>
      </w:pPr>
      <w:r w:rsidRPr="00B403CD">
        <w:rPr>
          <w:color w:val="000000"/>
        </w:rPr>
        <w:t xml:space="preserve">Výpočet FNPV(K) a FRR(K) si vyžaduje, aby: </w:t>
      </w:r>
    </w:p>
    <w:p w14:paraId="4B0B79BB" w14:textId="6D7CA516" w:rsidR="00070252" w:rsidRPr="00B403CD" w:rsidRDefault="00070252" w:rsidP="00BC5CF7">
      <w:pPr>
        <w:pStyle w:val="Bullet0"/>
      </w:pPr>
      <w:r w:rsidRPr="00B403CD">
        <w:t>finančné zdroje – bez podpory EÚ – investované do projektu boli považované za</w:t>
      </w:r>
      <w:r w:rsidR="008E5524">
        <w:t> </w:t>
      </w:r>
      <w:r w:rsidRPr="00B403CD">
        <w:t>záporné peňažné toky bez ohľadu na investičné náklady,</w:t>
      </w:r>
    </w:p>
    <w:p w14:paraId="1249D0E1" w14:textId="77777777" w:rsidR="00070252" w:rsidRPr="00B403CD" w:rsidRDefault="00070252" w:rsidP="00070252">
      <w:pPr>
        <w:pStyle w:val="Bullet0"/>
      </w:pPr>
      <w:r w:rsidRPr="00B403CD">
        <w:t>kapitálové príspevky boli zohľadnené v čase, keď sú skutočne vyplatené na projekt alebo uhradené (v prípade úverov),</w:t>
      </w:r>
    </w:p>
    <w:p w14:paraId="34DF0854" w14:textId="77777777" w:rsidR="00070252" w:rsidRPr="00B403CD" w:rsidRDefault="00070252" w:rsidP="00070252">
      <w:pPr>
        <w:pStyle w:val="Bullet0"/>
      </w:pPr>
      <w:r w:rsidRPr="00B403CD">
        <w:t>úrokové platby boli uvedené v tabuľke na analýzu návratnosti kapitálu [FNPV(K)],</w:t>
      </w:r>
    </w:p>
    <w:p w14:paraId="6B4F4805" w14:textId="77777777" w:rsidR="00070252" w:rsidRPr="00B403CD" w:rsidRDefault="00070252" w:rsidP="00070252">
      <w:pPr>
        <w:pStyle w:val="Bullet0"/>
      </w:pPr>
      <w:r w:rsidRPr="00B403CD">
        <w:t>prevádzkové dotácie neboli uvedené v tabuľke na analýzu návratnosti kapitálu [FNPV(K)].</w:t>
      </w:r>
    </w:p>
    <w:p w14:paraId="5B8AC8EC" w14:textId="77777777" w:rsidR="00070252" w:rsidRPr="00B403CD" w:rsidRDefault="00070252" w:rsidP="00070252">
      <w:pPr>
        <w:autoSpaceDE w:val="0"/>
        <w:autoSpaceDN w:val="0"/>
        <w:adjustRightInd w:val="0"/>
        <w:rPr>
          <w:b/>
          <w:color w:val="000000"/>
        </w:rPr>
      </w:pPr>
    </w:p>
    <w:p w14:paraId="764AEF28" w14:textId="77777777" w:rsidR="00070252" w:rsidRPr="00B403CD" w:rsidRDefault="00070252" w:rsidP="00070252">
      <w:pPr>
        <w:autoSpaceDE w:val="0"/>
        <w:autoSpaceDN w:val="0"/>
        <w:adjustRightInd w:val="0"/>
        <w:jc w:val="both"/>
        <w:rPr>
          <w:b/>
          <w:color w:val="000000"/>
        </w:rPr>
      </w:pPr>
      <w:r w:rsidRPr="00B403CD">
        <w:rPr>
          <w:b/>
          <w:color w:val="000000"/>
        </w:rPr>
        <w:t>Na projekt možno požadovať príspevok z fondov za týchto podmienok:</w:t>
      </w:r>
    </w:p>
    <w:p w14:paraId="33C5C12D" w14:textId="77777777" w:rsidR="00070252" w:rsidRPr="00B403CD" w:rsidRDefault="00070252" w:rsidP="00070252">
      <w:pPr>
        <w:autoSpaceDE w:val="0"/>
        <w:autoSpaceDN w:val="0"/>
        <w:adjustRightInd w:val="0"/>
        <w:jc w:val="both"/>
        <w:rPr>
          <w:color w:val="000000"/>
        </w:rPr>
      </w:pPr>
      <w:r w:rsidRPr="00B403CD">
        <w:t>FNPV(K) s pomocou Únie by mala byť záporná alebo rovná nule, FRR(K) by mala byť nižšia alebo rovná diskontnej sadzbe, inak treba poskytnúť primerané zdôvodnenie.</w:t>
      </w:r>
    </w:p>
    <w:p w14:paraId="4490A7B3" w14:textId="77777777" w:rsidR="00070252" w:rsidRPr="00B4488F" w:rsidRDefault="00070252" w:rsidP="00070252">
      <w:pPr>
        <w:autoSpaceDE w:val="0"/>
        <w:autoSpaceDN w:val="0"/>
        <w:adjustRightInd w:val="0"/>
        <w:jc w:val="both"/>
      </w:pPr>
      <w:r w:rsidRPr="00B403CD">
        <w:t>V relevantných prípadoch by sa mala vypočítať aj návratnosť kapitálu [FRR(Kp)] navrhovateľa projektu. Pomocou tejto návratnosti sa porovnávajú čisté príjmy z investície s prostriedkami, ktoré poskytol navrhovateľ: t. j. investičné náklady mínus nenávratné granty od EÚ a/alebo národných/regionálnych orgánov. Táto činnosť môže byť obzvlášť užitočná v kontexte štátnej pomoci, aby sa overilo, či intenzita pomoci (pomoci EÚ a národnej pomoci) zabezpečuje najvýhodnejší pomer medzi kvalitou a cenou s cieľom obmedziť verejnú</w:t>
      </w:r>
      <w:r w:rsidR="00FE02BC">
        <w:t xml:space="preserve"> </w:t>
      </w:r>
      <w:r w:rsidRPr="00B403CD">
        <w:t xml:space="preserve">finančnú podporu na to, čo je potrebné, aby bol projekt ekonomicky alebo finančne životaschopný. Ak sa v rámci projektu očakáva výrazná kladná návratnosť (t. j. podstatne vyššia ako národné referenčné hodnoty týkajúce sa očakávanej ziskovosti v danom odvetví), dokazuje to, že prijatý </w:t>
      </w:r>
      <w:r w:rsidR="00FE02BC">
        <w:t>nenávratný finančný príspevok (NFP)</w:t>
      </w:r>
      <w:r w:rsidRPr="00B403CD">
        <w:t xml:space="preserve"> by priniesol prijímateľovi nadmerné zisky, a preto príspevok Únie možno nie je odôvodnený.</w:t>
      </w:r>
    </w:p>
    <w:p w14:paraId="7C7E5B62" w14:textId="77777777" w:rsidR="00070252" w:rsidRDefault="006A5294" w:rsidP="006A5294">
      <w:pPr>
        <w:pStyle w:val="MPCKO2"/>
      </w:pPr>
      <w:bookmarkStart w:id="31" w:name="_Toc406160861"/>
      <w:bookmarkStart w:id="32" w:name="_Toc406160951"/>
      <w:bookmarkStart w:id="33" w:name="_Toc527539373"/>
      <w:r>
        <w:t>2</w:t>
      </w:r>
      <w:r w:rsidR="00070252">
        <w:t>.2 Analýza nákladov a prínosov projektu</w:t>
      </w:r>
      <w:bookmarkEnd w:id="31"/>
      <w:bookmarkEnd w:id="32"/>
      <w:r w:rsidR="007822D7">
        <w:t xml:space="preserve"> v zmysle prílohy</w:t>
      </w:r>
      <w:r w:rsidR="00F129E4">
        <w:t xml:space="preserve"> III</w:t>
      </w:r>
      <w:r w:rsidR="007822D7">
        <w:t xml:space="preserve"> k vykonávac</w:t>
      </w:r>
      <w:r w:rsidR="00F129E4">
        <w:t>i</w:t>
      </w:r>
      <w:r w:rsidR="007822D7">
        <w:t>emu nariadeniu Komisie</w:t>
      </w:r>
      <w:bookmarkEnd w:id="33"/>
    </w:p>
    <w:p w14:paraId="1684CB3F" w14:textId="77777777" w:rsidR="00070252" w:rsidRDefault="00070252" w:rsidP="00070252"/>
    <w:p w14:paraId="7F75E11C" w14:textId="61D6213F" w:rsidR="007822D7" w:rsidRPr="00B4488F" w:rsidRDefault="007822D7" w:rsidP="007822D7">
      <w:pPr>
        <w:autoSpaceDE w:val="0"/>
        <w:autoSpaceDN w:val="0"/>
        <w:adjustRightInd w:val="0"/>
        <w:rPr>
          <w:color w:val="000000"/>
        </w:rPr>
      </w:pPr>
      <w:r w:rsidRPr="00B4488F">
        <w:rPr>
          <w:color w:val="000000"/>
        </w:rPr>
        <w:t xml:space="preserve">Ako sa stanovuje v článku 101 ods. 1 písm. e) </w:t>
      </w:r>
      <w:r w:rsidR="00757777">
        <w:rPr>
          <w:color w:val="000000"/>
        </w:rPr>
        <w:t xml:space="preserve">všeobecného </w:t>
      </w:r>
      <w:r w:rsidRPr="00B4488F">
        <w:rPr>
          <w:color w:val="000000"/>
        </w:rPr>
        <w:t xml:space="preserve">nariadenia, súčasťou CBA musí byť ekonomická analýza. </w:t>
      </w:r>
    </w:p>
    <w:p w14:paraId="6849FC56" w14:textId="77777777" w:rsidR="007822D7" w:rsidRDefault="007822D7" w:rsidP="007822D7">
      <w:r w:rsidRPr="00B4488F">
        <w:rPr>
          <w:b/>
        </w:rPr>
        <w:t>Ekonomická analýza</w:t>
      </w:r>
      <w:r w:rsidRPr="00B4488F">
        <w:t xml:space="preserve"> je analýza, ktorá sa vypracúva pomocou ekonomických hodnôt, ktoré odrážajú sociálne náklady príležitosti týkajúce sa tovaru a služieb.</w:t>
      </w:r>
    </w:p>
    <w:p w14:paraId="7962512C" w14:textId="77777777" w:rsidR="007822D7" w:rsidRDefault="007822D7" w:rsidP="00070252"/>
    <w:p w14:paraId="4BD0EE55" w14:textId="77777777" w:rsidR="004E27DF" w:rsidRPr="00B4488F" w:rsidRDefault="004E27DF" w:rsidP="004E27DF">
      <w:pPr>
        <w:autoSpaceDE w:val="0"/>
        <w:autoSpaceDN w:val="0"/>
        <w:adjustRightInd w:val="0"/>
        <w:rPr>
          <w:b/>
          <w:color w:val="000000"/>
        </w:rPr>
      </w:pPr>
      <w:r w:rsidRPr="00B4488F">
        <w:rPr>
          <w:b/>
          <w:color w:val="000000"/>
        </w:rPr>
        <w:t>CBA veľkého projektu musí obsahovať nasledujúce prvky:</w:t>
      </w:r>
    </w:p>
    <w:p w14:paraId="29541BB5" w14:textId="77777777" w:rsidR="004E27DF" w:rsidRPr="00B4488F" w:rsidRDefault="00BC5CF7" w:rsidP="004E27DF">
      <w:pPr>
        <w:pStyle w:val="Point0"/>
      </w:pPr>
      <w:r>
        <w:t>a)</w:t>
      </w:r>
      <w:r w:rsidR="004E27DF" w:rsidRPr="00B4488F">
        <w:tab/>
        <w:t>prezentácia kontextu;</w:t>
      </w:r>
    </w:p>
    <w:p w14:paraId="1AB7A6A7" w14:textId="77777777" w:rsidR="004E27DF" w:rsidRPr="00B4488F" w:rsidRDefault="00BC5CF7" w:rsidP="004E27DF">
      <w:pPr>
        <w:pStyle w:val="Point0"/>
      </w:pPr>
      <w:r>
        <w:t>b)</w:t>
      </w:r>
      <w:r w:rsidR="004E27DF" w:rsidRPr="00B4488F">
        <w:tab/>
        <w:t>vymedzenie cieľov</w:t>
      </w:r>
      <w:r w:rsidR="009839CF">
        <w:t xml:space="preserve"> projektu</w:t>
      </w:r>
      <w:r w:rsidR="004E27DF" w:rsidRPr="00B4488F">
        <w:t>;</w:t>
      </w:r>
    </w:p>
    <w:p w14:paraId="12811B7A" w14:textId="77777777" w:rsidR="004E27DF" w:rsidRDefault="00BC5CF7" w:rsidP="004E27DF">
      <w:r>
        <w:t>c)</w:t>
      </w:r>
      <w:r w:rsidR="004E27DF" w:rsidRPr="00B4488F">
        <w:tab/>
      </w:r>
      <w:r w:rsidR="008D34EF">
        <w:t xml:space="preserve">   </w:t>
      </w:r>
      <w:r w:rsidR="004E27DF" w:rsidRPr="00B4488F">
        <w:t>identifikácia projektu</w:t>
      </w:r>
    </w:p>
    <w:p w14:paraId="7E07E3BE" w14:textId="77777777" w:rsidR="004E27DF" w:rsidRPr="00B4488F" w:rsidRDefault="00BC5CF7" w:rsidP="004E27DF">
      <w:pPr>
        <w:pStyle w:val="Point0"/>
      </w:pPr>
      <w:r>
        <w:t>d)</w:t>
      </w:r>
      <w:r w:rsidR="004E27DF" w:rsidRPr="00B4488F">
        <w:tab/>
        <w:t>výsledky štúdií uskutočniteľnosti s analýzou dopytu a možností;</w:t>
      </w:r>
    </w:p>
    <w:p w14:paraId="0FB8FAB8" w14:textId="77777777" w:rsidR="004E27DF" w:rsidRPr="00B4488F" w:rsidRDefault="00BC5CF7" w:rsidP="004E27DF">
      <w:pPr>
        <w:pStyle w:val="Point0"/>
      </w:pPr>
      <w:r>
        <w:t>e)</w:t>
      </w:r>
      <w:r w:rsidR="004E27DF" w:rsidRPr="00B4488F">
        <w:tab/>
        <w:t>finančná analýza;</w:t>
      </w:r>
    </w:p>
    <w:p w14:paraId="467720B6" w14:textId="77777777" w:rsidR="004E27DF" w:rsidRPr="00B4488F" w:rsidRDefault="00BC5CF7" w:rsidP="004E27DF">
      <w:pPr>
        <w:pStyle w:val="Point0"/>
      </w:pPr>
      <w:r>
        <w:t>f)</w:t>
      </w:r>
      <w:r w:rsidR="004E27DF" w:rsidRPr="00B4488F">
        <w:tab/>
        <w:t>ekonomická analýza;</w:t>
      </w:r>
    </w:p>
    <w:p w14:paraId="632EC4F9" w14:textId="77777777" w:rsidR="004E27DF" w:rsidRPr="00B4488F" w:rsidRDefault="00BC5CF7" w:rsidP="004E27DF">
      <w:pPr>
        <w:pStyle w:val="Point0"/>
      </w:pPr>
      <w:r>
        <w:t>g)</w:t>
      </w:r>
      <w:r w:rsidR="004E27DF" w:rsidRPr="00B4488F">
        <w:tab/>
        <w:t>posúdenie rizika.</w:t>
      </w:r>
    </w:p>
    <w:p w14:paraId="14478304" w14:textId="77777777" w:rsidR="004E27DF" w:rsidRPr="000500EF" w:rsidRDefault="008D34EF" w:rsidP="006D5CD7">
      <w:pPr>
        <w:pStyle w:val="Odsekzoznamu"/>
        <w:spacing w:before="200" w:after="200"/>
        <w:ind w:left="850" w:hanging="425"/>
        <w:rPr>
          <w:b/>
        </w:rPr>
      </w:pPr>
      <w:r w:rsidRPr="000500EF">
        <w:rPr>
          <w:b/>
        </w:rPr>
        <w:t xml:space="preserve">a) </w:t>
      </w:r>
      <w:r w:rsidR="004E27DF" w:rsidRPr="000500EF">
        <w:rPr>
          <w:b/>
        </w:rPr>
        <w:t>Prezentácia kontextu</w:t>
      </w:r>
    </w:p>
    <w:p w14:paraId="1679DBEA" w14:textId="77777777" w:rsidR="006D5CD7" w:rsidRDefault="006D5CD7" w:rsidP="00B403CD">
      <w:pPr>
        <w:autoSpaceDE w:val="0"/>
        <w:autoSpaceDN w:val="0"/>
        <w:adjustRightInd w:val="0"/>
        <w:jc w:val="both"/>
        <w:rPr>
          <w:color w:val="000000"/>
        </w:rPr>
      </w:pPr>
    </w:p>
    <w:p w14:paraId="5BF660F8" w14:textId="77777777" w:rsidR="004E27DF" w:rsidRPr="00B4488F" w:rsidRDefault="004E27DF" w:rsidP="00B403CD">
      <w:pPr>
        <w:autoSpaceDE w:val="0"/>
        <w:autoSpaceDN w:val="0"/>
        <w:adjustRightInd w:val="0"/>
        <w:jc w:val="both"/>
        <w:rPr>
          <w:color w:val="000000"/>
        </w:rPr>
      </w:pPr>
      <w:r w:rsidRPr="00B4488F">
        <w:rPr>
          <w:color w:val="000000"/>
        </w:rPr>
        <w:t>Posúdenie kontextu si vyžaduje, aby sa vymedzil: geografický rozsah a oblasť vplyvu, koneční prijímatelia</w:t>
      </w:r>
      <w:r w:rsidRPr="00B4488F">
        <w:rPr>
          <w:rStyle w:val="Odkaznapoznmkupodiarou"/>
          <w:color w:val="000000"/>
        </w:rPr>
        <w:footnoteReference w:id="3"/>
      </w:r>
      <w:r w:rsidRPr="00B4488F">
        <w:rPr>
          <w:color w:val="000000"/>
        </w:rPr>
        <w:t xml:space="preserve"> a všetky zainteresované strany, ktoré majú úlohu v projekte a/alebo sú ním ovplyvnené. Kľúčové prvky, ktoré treba opísať, sa týkajú:</w:t>
      </w:r>
    </w:p>
    <w:p w14:paraId="15F2F671" w14:textId="6EC64939" w:rsidR="004E27DF" w:rsidRPr="00B4488F" w:rsidRDefault="004E27DF" w:rsidP="00BA4607">
      <w:pPr>
        <w:pStyle w:val="Tiret1"/>
        <w:numPr>
          <w:ilvl w:val="0"/>
          <w:numId w:val="46"/>
        </w:numPr>
      </w:pPr>
      <w:r w:rsidRPr="00B4488F">
        <w:t>sociálno-ekonomických podmienok krajiny/regiónu, ktoré sú relevantné pre</w:t>
      </w:r>
      <w:r w:rsidR="008E5524">
        <w:t> </w:t>
      </w:r>
      <w:r w:rsidRPr="00B4488F">
        <w:t>projekt;</w:t>
      </w:r>
    </w:p>
    <w:p w14:paraId="24E5198E" w14:textId="77777777" w:rsidR="004E27DF" w:rsidRPr="00B4488F" w:rsidRDefault="004E27DF" w:rsidP="00BA4607">
      <w:pPr>
        <w:pStyle w:val="Tiret1"/>
        <w:numPr>
          <w:ilvl w:val="0"/>
          <w:numId w:val="46"/>
        </w:numPr>
      </w:pPr>
      <w:r w:rsidRPr="00B4488F">
        <w:t>politických a inštitucionálnych aspektov vrátane exist</w:t>
      </w:r>
      <w:r>
        <w:t>ujúcich hospodárskych politík a </w:t>
      </w:r>
      <w:r w:rsidRPr="00B4488F">
        <w:t>plánov rozvoja a ich politických cieľov;</w:t>
      </w:r>
    </w:p>
    <w:p w14:paraId="04122186" w14:textId="77777777" w:rsidR="004E27DF" w:rsidRPr="00B4488F" w:rsidRDefault="004E27DF" w:rsidP="00BA4607">
      <w:pPr>
        <w:pStyle w:val="Tiret1"/>
        <w:numPr>
          <w:ilvl w:val="0"/>
          <w:numId w:val="46"/>
        </w:numPr>
      </w:pPr>
      <w:r w:rsidRPr="00B4488F">
        <w:t>súčasnej vybavenosti infraštruktúrou a poskytovania služieb;</w:t>
      </w:r>
    </w:p>
    <w:p w14:paraId="469CC95A" w14:textId="77777777" w:rsidR="004E27DF" w:rsidRDefault="004E27DF" w:rsidP="00BA4607">
      <w:pPr>
        <w:pStyle w:val="Tiret1"/>
        <w:numPr>
          <w:ilvl w:val="0"/>
          <w:numId w:val="46"/>
        </w:numPr>
      </w:pPr>
      <w:r w:rsidRPr="00B4488F">
        <w:t>vnímania a očakávania obyvateľstva vo vzťahu k službám, ktoré sa majú poskytovať.</w:t>
      </w:r>
    </w:p>
    <w:p w14:paraId="07E559F7" w14:textId="77777777" w:rsidR="004E27DF" w:rsidRPr="000500EF" w:rsidRDefault="008D34EF" w:rsidP="000500EF">
      <w:pPr>
        <w:pStyle w:val="Odsekzoznamu"/>
        <w:spacing w:before="200" w:after="200"/>
        <w:ind w:left="850" w:hanging="425"/>
        <w:rPr>
          <w:b/>
        </w:rPr>
      </w:pPr>
      <w:r w:rsidRPr="000500EF">
        <w:rPr>
          <w:b/>
        </w:rPr>
        <w:t xml:space="preserve">b) </w:t>
      </w:r>
      <w:r w:rsidR="004E27DF" w:rsidRPr="000500EF">
        <w:rPr>
          <w:b/>
        </w:rPr>
        <w:t>Vymedzenie cieľov projektu</w:t>
      </w:r>
    </w:p>
    <w:p w14:paraId="04B90B29" w14:textId="77777777" w:rsidR="004E27DF" w:rsidRPr="00B4488F" w:rsidRDefault="004E27DF" w:rsidP="00B403CD">
      <w:pPr>
        <w:jc w:val="both"/>
        <w:rPr>
          <w:color w:val="000000"/>
        </w:rPr>
      </w:pPr>
      <w:r w:rsidRPr="00B4488F">
        <w:rPr>
          <w:color w:val="000000"/>
        </w:rPr>
        <w:t>Stanovia sa jasné ciele projektu s cieľom overiť, či investícia r</w:t>
      </w:r>
      <w:r>
        <w:rPr>
          <w:color w:val="000000"/>
        </w:rPr>
        <w:t>eaguje na existujúcu potrebu, a </w:t>
      </w:r>
      <w:r w:rsidRPr="00B4488F">
        <w:rPr>
          <w:color w:val="000000"/>
        </w:rPr>
        <w:t>posúdiť výsledky a vplyv projektu. Pokiaľ je to možné, ciele by sa mali kvantifikovať prostredníctvom ukazovateľov s východiskovými a cieľovými hodnotami (zámermi).</w:t>
      </w:r>
    </w:p>
    <w:p w14:paraId="49EDE0BC" w14:textId="77777777" w:rsidR="004E27DF" w:rsidRPr="00B4488F" w:rsidRDefault="004E27DF" w:rsidP="00B403CD">
      <w:pPr>
        <w:jc w:val="both"/>
        <w:rPr>
          <w:color w:val="000000"/>
        </w:rPr>
      </w:pPr>
      <w:r w:rsidRPr="00B4488F">
        <w:rPr>
          <w:color w:val="000000"/>
        </w:rPr>
        <w:t>Ak je to možné a vhodné, na určenie prínosov projektu by sa malo použiť vymedzenie cieľov, aby sa posúdil prínos projektu k dobrým životným podmienkam a prínos pri dosahovaní konkrétnych cieľov prioritných osí operačného(-ých) programu(-ov).</w:t>
      </w:r>
    </w:p>
    <w:p w14:paraId="45D37905" w14:textId="77777777" w:rsidR="004E27DF" w:rsidRPr="006D5CD7" w:rsidRDefault="004E27DF" w:rsidP="00070252">
      <w:pPr>
        <w:jc w:val="both"/>
        <w:rPr>
          <w:b/>
          <w:color w:val="000000"/>
        </w:rPr>
      </w:pPr>
    </w:p>
    <w:p w14:paraId="5CD67DCC" w14:textId="77777777" w:rsidR="004E27DF" w:rsidRPr="006D5CD7" w:rsidRDefault="004E27DF" w:rsidP="006D5CD7">
      <w:pPr>
        <w:pStyle w:val="Odsekzoznamu"/>
        <w:numPr>
          <w:ilvl w:val="0"/>
          <w:numId w:val="19"/>
        </w:numPr>
        <w:autoSpaceDE w:val="0"/>
        <w:autoSpaceDN w:val="0"/>
        <w:adjustRightInd w:val="0"/>
        <w:rPr>
          <w:b/>
          <w:color w:val="000000"/>
        </w:rPr>
      </w:pPr>
      <w:r w:rsidRPr="006D5CD7">
        <w:rPr>
          <w:b/>
          <w:color w:val="000000"/>
        </w:rPr>
        <w:t>Identifikácia projektu</w:t>
      </w:r>
    </w:p>
    <w:p w14:paraId="2BA4D1CE" w14:textId="77777777" w:rsidR="006D5CD7" w:rsidRPr="006D5CD7" w:rsidRDefault="006D5CD7" w:rsidP="006D5CD7">
      <w:pPr>
        <w:autoSpaceDE w:val="0"/>
        <w:autoSpaceDN w:val="0"/>
        <w:adjustRightInd w:val="0"/>
        <w:rPr>
          <w:b/>
          <w:color w:val="000000"/>
        </w:rPr>
      </w:pPr>
    </w:p>
    <w:p w14:paraId="6D118561" w14:textId="47F3F9A8" w:rsidR="004E27DF" w:rsidRPr="00B403CD" w:rsidRDefault="004E27DF" w:rsidP="004E27DF">
      <w:pPr>
        <w:autoSpaceDE w:val="0"/>
        <w:autoSpaceDN w:val="0"/>
        <w:adjustRightInd w:val="0"/>
        <w:rPr>
          <w:color w:val="000000"/>
        </w:rPr>
      </w:pPr>
      <w:r w:rsidRPr="00B403CD">
        <w:rPr>
          <w:color w:val="000000"/>
        </w:rPr>
        <w:t xml:space="preserve">Veľký projekt sa určí so zreteľom na definíciu veľkého projektu uvedenú v článku 100 </w:t>
      </w:r>
      <w:r w:rsidR="00757777">
        <w:rPr>
          <w:color w:val="000000"/>
        </w:rPr>
        <w:t xml:space="preserve">všeobecného </w:t>
      </w:r>
      <w:r w:rsidRPr="00B403CD">
        <w:rPr>
          <w:color w:val="000000"/>
        </w:rPr>
        <w:t>nariadenia , ako aj na tieto zásady:</w:t>
      </w:r>
    </w:p>
    <w:p w14:paraId="5436C742" w14:textId="77777777" w:rsidR="004E27DF" w:rsidRPr="000500EF" w:rsidRDefault="004E27DF" w:rsidP="000500EF">
      <w:pPr>
        <w:pStyle w:val="Tiret1"/>
        <w:numPr>
          <w:ilvl w:val="0"/>
          <w:numId w:val="47"/>
        </w:numPr>
      </w:pPr>
      <w:r w:rsidRPr="00B403CD">
        <w:t>Projekt musí byť jasne určený ako sebestačný predmet analýzy.</w:t>
      </w:r>
    </w:p>
    <w:p w14:paraId="548713E7" w14:textId="75BD75E0" w:rsidR="004E27DF" w:rsidRPr="00B403CD" w:rsidRDefault="004E27DF" w:rsidP="000500EF">
      <w:pPr>
        <w:pStyle w:val="Tiret1"/>
        <w:numPr>
          <w:ilvl w:val="0"/>
          <w:numId w:val="47"/>
        </w:numPr>
      </w:pPr>
      <w:r w:rsidRPr="00B403CD">
        <w:t>Zohľadniť treba oblasť vplyvu, konečn</w:t>
      </w:r>
      <w:r w:rsidR="002839B2">
        <w:t>ých</w:t>
      </w:r>
      <w:r w:rsidRPr="00B403CD">
        <w:t xml:space="preserve"> prijímate</w:t>
      </w:r>
      <w:r w:rsidR="002839B2">
        <w:t>ľov</w:t>
      </w:r>
      <w:r w:rsidRPr="00B403CD">
        <w:t xml:space="preserve"> a príslušné zainteresované strany, ktorých dobré životné podmienky sa započítavajú do</w:t>
      </w:r>
      <w:r w:rsidR="008E5524">
        <w:t> </w:t>
      </w:r>
      <w:r w:rsidRPr="00B403CD">
        <w:t>súhrnu čistých prínosov.</w:t>
      </w:r>
    </w:p>
    <w:p w14:paraId="5D137875" w14:textId="005FF609" w:rsidR="004E27DF" w:rsidRPr="00B403CD" w:rsidRDefault="004E27DF" w:rsidP="000500EF">
      <w:pPr>
        <w:pStyle w:val="Tiret1"/>
        <w:numPr>
          <w:ilvl w:val="0"/>
          <w:numId w:val="47"/>
        </w:numPr>
      </w:pPr>
      <w:r w:rsidRPr="00B403CD">
        <w:t>Technické časti, administratívne alebo finančné fázy, ktoré ako také nemožno považovať za prevádzkové, treba analyzovať v rámci CBA spoločne s</w:t>
      </w:r>
      <w:r w:rsidR="008E5524">
        <w:t> </w:t>
      </w:r>
      <w:r w:rsidRPr="00B403CD">
        <w:t>ostatnými fázami, ktoré zahŕňajú veľký projekt.</w:t>
      </w:r>
    </w:p>
    <w:p w14:paraId="4F00FDCA" w14:textId="77777777" w:rsidR="004E27DF" w:rsidRPr="00B403CD" w:rsidRDefault="004E27DF" w:rsidP="000500EF">
      <w:pPr>
        <w:pStyle w:val="Odsekzoznamu"/>
        <w:numPr>
          <w:ilvl w:val="0"/>
          <w:numId w:val="19"/>
        </w:numPr>
        <w:autoSpaceDE w:val="0"/>
        <w:autoSpaceDN w:val="0"/>
        <w:adjustRightInd w:val="0"/>
        <w:rPr>
          <w:b/>
          <w:color w:val="000000"/>
        </w:rPr>
      </w:pPr>
      <w:r w:rsidRPr="00B403CD">
        <w:rPr>
          <w:b/>
          <w:color w:val="000000"/>
        </w:rPr>
        <w:t>Uskutočniteľnosť projektu s analýzou dopytu a možností</w:t>
      </w:r>
    </w:p>
    <w:p w14:paraId="74150DB0" w14:textId="77777777" w:rsidR="004E27DF" w:rsidRPr="00B4488F" w:rsidRDefault="004E27DF" w:rsidP="004E27DF">
      <w:pPr>
        <w:autoSpaceDE w:val="0"/>
        <w:autoSpaceDN w:val="0"/>
        <w:adjustRightInd w:val="0"/>
      </w:pPr>
      <w:r w:rsidRPr="00B403CD">
        <w:t>Pri analýze nákladov a prínosov sa musia brať do úvahy štúdie uskutočniteľnosti, ktoré za normálnych okolností pokrývajú tieto aspekty: analýza dopytu; analýza možností; dostupná technológia; výrobný plán (vrátane miery využívania infraštruktúry); požiadavky na personál; rozsah projektu, umiestnenie, fyzické vstupy, načasovanie a realizácia, fázy rozšírenia a finančné plánovanie; environmentálne aspekty, aspekty zmierňovania zmeny klímy (emisie skleníkových plynov), efektívne využívanie zdrojov a odolnosť voči vplyvom zmeny klímy a prírodným katastrofám (v prípade potreby).</w:t>
      </w:r>
    </w:p>
    <w:p w14:paraId="66BB1AF0" w14:textId="77777777" w:rsidR="004E27DF" w:rsidRPr="00B4488F" w:rsidRDefault="004E27DF" w:rsidP="004E27DF">
      <w:pPr>
        <w:autoSpaceDE w:val="0"/>
        <w:autoSpaceDN w:val="0"/>
        <w:adjustRightInd w:val="0"/>
      </w:pPr>
      <w:r w:rsidRPr="00B4488F">
        <w:t>Treba vziať do úvahy tieto skutočnosti:</w:t>
      </w:r>
    </w:p>
    <w:p w14:paraId="330548B9" w14:textId="77777777" w:rsidR="004E27DF" w:rsidRPr="00B4488F" w:rsidRDefault="004E27DF" w:rsidP="00F26B1B">
      <w:pPr>
        <w:pStyle w:val="Point0"/>
        <w:numPr>
          <w:ilvl w:val="0"/>
          <w:numId w:val="30"/>
        </w:numPr>
      </w:pPr>
      <w:r w:rsidRPr="00B4488F">
        <w:rPr>
          <w:b/>
        </w:rPr>
        <w:t>Analýzou uskutočniteľnosti</w:t>
      </w:r>
      <w:r w:rsidRPr="00B4488F">
        <w:t xml:space="preserve"> sa identifikujú potenciálne obmedzenia a súvisiace riešenia s ohľadom na technické, ekonomické, regulačné, inštitucionálne, </w:t>
      </w:r>
      <w:r w:rsidRPr="00B4488F">
        <w:lastRenderedPageBreak/>
        <w:t>environmentálne aspekty a aspekty zmierňovania zmeny klímy a adaptácie na ňu. Projekt je uskutočniteľný vtedy, keď jeho návrh zodpovedá technickým, právnym, finančným a iným obmedzeniam týkajúcim sa krajiny, regiónu alebo špecifickej lokality. Uskutočniteľných môže b</w:t>
      </w:r>
      <w:r w:rsidR="009B3141">
        <w:t>yť niekoľko možností projektov.</w:t>
      </w:r>
      <w:r w:rsidR="000500EF">
        <w:t xml:space="preserve"> </w:t>
      </w:r>
      <w:r w:rsidRPr="00B4488F">
        <w:t>V rámci CBA sa musí predložiť zhrnutie výsledkov štúdie uskutočniteľnosti. CBA musí byť konzistentná s informáciami uvedenými</w:t>
      </w:r>
      <w:r>
        <w:t xml:space="preserve"> v štúdiách uskutočniteľnosti a </w:t>
      </w:r>
      <w:r w:rsidRPr="00B4488F">
        <w:t>musí s nimi byť v súlade.</w:t>
      </w:r>
    </w:p>
    <w:p w14:paraId="6CC3AB62" w14:textId="7C6E5ADB" w:rsidR="004E27DF" w:rsidRPr="00B4488F" w:rsidRDefault="004E27DF" w:rsidP="00F26B1B">
      <w:pPr>
        <w:pStyle w:val="Point0"/>
        <w:numPr>
          <w:ilvl w:val="0"/>
          <w:numId w:val="30"/>
        </w:numPr>
      </w:pPr>
      <w:r w:rsidRPr="00B4488F">
        <w:rPr>
          <w:b/>
        </w:rPr>
        <w:t>Analýzou dopytu</w:t>
      </w:r>
      <w:r w:rsidRPr="00B4488F">
        <w:t xml:space="preserve"> sa identifikuje a kvantifikuje sociálna potreba investície a berie sa v</w:t>
      </w:r>
      <w:r w:rsidR="008E5524">
        <w:t> </w:t>
      </w:r>
      <w:r w:rsidRPr="00B4488F">
        <w:t>nej do úvahy minimálne:</w:t>
      </w:r>
    </w:p>
    <w:p w14:paraId="2992C810" w14:textId="77777777" w:rsidR="004E27DF" w:rsidRPr="00B4488F" w:rsidRDefault="004E27DF" w:rsidP="001D19CF">
      <w:pPr>
        <w:pStyle w:val="Tiret1"/>
        <w:numPr>
          <w:ilvl w:val="2"/>
          <w:numId w:val="41"/>
        </w:numPr>
      </w:pPr>
      <w:r w:rsidRPr="00B4488F">
        <w:t>súčasný dopyt pomocou modelov a skutočných údajov,</w:t>
      </w:r>
    </w:p>
    <w:p w14:paraId="7F11D238" w14:textId="77777777" w:rsidR="004E27DF" w:rsidRPr="00B4488F" w:rsidRDefault="004E27DF" w:rsidP="001D19CF">
      <w:pPr>
        <w:pStyle w:val="Tiret1"/>
        <w:numPr>
          <w:ilvl w:val="2"/>
          <w:numId w:val="41"/>
        </w:numPr>
      </w:pPr>
      <w:r w:rsidRPr="00B4488F">
        <w:t>prognóza dopytu, od makroekonomických a sektorových prognóz a odhadov elasticity dopytu až po príslušné ceny, príjem a ostatné kľúčové faktory,</w:t>
      </w:r>
    </w:p>
    <w:p w14:paraId="69BAA853" w14:textId="77777777" w:rsidR="004E27DF" w:rsidRPr="00B4488F" w:rsidRDefault="004E27DF" w:rsidP="001D19CF">
      <w:pPr>
        <w:pStyle w:val="Tiret1"/>
        <w:numPr>
          <w:ilvl w:val="2"/>
          <w:numId w:val="41"/>
        </w:numPr>
      </w:pPr>
      <w:r w:rsidRPr="00B4488F">
        <w:t>aspekty na strane ponuky vrátane analýzy existujúcej ponuky a očakávaného vývoja (infraštruktúry),</w:t>
      </w:r>
    </w:p>
    <w:p w14:paraId="38D86D44" w14:textId="77777777" w:rsidR="004E27DF" w:rsidRPr="001D19CF" w:rsidRDefault="004E27DF" w:rsidP="001D19CF">
      <w:pPr>
        <w:pStyle w:val="Tiret1"/>
        <w:numPr>
          <w:ilvl w:val="2"/>
          <w:numId w:val="41"/>
        </w:numPr>
      </w:pPr>
      <w:r w:rsidRPr="00B4488F">
        <w:t>sieťový účinok (ak existuje).</w:t>
      </w:r>
    </w:p>
    <w:p w14:paraId="61E49FDE" w14:textId="77777777" w:rsidR="004E27DF" w:rsidRPr="00B4488F" w:rsidRDefault="004E27DF" w:rsidP="000500EF">
      <w:pPr>
        <w:pStyle w:val="Point0"/>
        <w:numPr>
          <w:ilvl w:val="0"/>
          <w:numId w:val="30"/>
        </w:numPr>
      </w:pPr>
      <w:r w:rsidRPr="00B4488F">
        <w:rPr>
          <w:b/>
        </w:rPr>
        <w:t>Analýza možností</w:t>
      </w:r>
      <w:r w:rsidRPr="00B4488F">
        <w:t xml:space="preserve"> sa vykonáva s cieľom posúdiť a porovnať rôzne alternatívne možnosti, ktoré sú vo všeobecnosti uskutočniteľn</w:t>
      </w:r>
      <w:r>
        <w:t>é na uspokojenie existujúceho a </w:t>
      </w:r>
      <w:r w:rsidRPr="00B4488F">
        <w:t>budúceho dopytu po projekte a na výber najlepšieho riešenia. Možnosti by sa mali porovnať na základe rôznych kritérií, ako sú napríklad technické, inštitucionálne, ekonomické, environmentálne aspekty a aspekty týkajúce sa zmeny klímy.</w:t>
      </w:r>
    </w:p>
    <w:p w14:paraId="1AD60382" w14:textId="30A08E7A" w:rsidR="004E27DF" w:rsidRPr="00B4488F" w:rsidRDefault="004E27DF" w:rsidP="004E27DF">
      <w:pPr>
        <w:pStyle w:val="Text1"/>
      </w:pPr>
      <w:r w:rsidRPr="00B4488F">
        <w:t>Analýza možností by sa mala vypracovať v dvoch krokoch; prvý krok sa zameriava na základné strategické možnosti (t. j. typ infraštru</w:t>
      </w:r>
      <w:r>
        <w:t>ktúry a umiestnenie projektu) a </w:t>
      </w:r>
      <w:r w:rsidRPr="00B4488F">
        <w:t>druhý krok na konkrétne riešenia na technologickej úrovni. Ak sa projekt realizuje v rámci verejno-súkromného partnerstva, tento druhý krok analýzy by sa mal zamerať na rozsah špecifikácie výstupov, ktoré môžu alebo nemusia byť zahrnuté do</w:t>
      </w:r>
      <w:r w:rsidR="008E5524">
        <w:t> </w:t>
      </w:r>
      <w:r w:rsidRPr="00B4488F">
        <w:t>špecifikácie výstupov projektu verejno-súkromného partnerstva. Prvý krok je</w:t>
      </w:r>
      <w:r w:rsidRPr="004E27DF">
        <w:t xml:space="preserve"> </w:t>
      </w:r>
      <w:r w:rsidRPr="00B4488F">
        <w:t>zvyčajne založený na (prevažne kvalitatívnych) viackritériových analýzach, zatiaľ čo v druhom kroku sa bežne používajú najmä kvantitatívne metódy.</w:t>
      </w:r>
    </w:p>
    <w:p w14:paraId="1F514F5F" w14:textId="77777777" w:rsidR="004E27DF" w:rsidRPr="00B4488F" w:rsidRDefault="004E27DF" w:rsidP="00D31AE1">
      <w:pPr>
        <w:keepNext/>
        <w:autoSpaceDE w:val="0"/>
        <w:autoSpaceDN w:val="0"/>
        <w:adjustRightInd w:val="0"/>
        <w:ind w:firstLine="708"/>
        <w:rPr>
          <w:color w:val="000000"/>
        </w:rPr>
      </w:pPr>
      <w:r w:rsidRPr="00B4488F">
        <w:rPr>
          <w:color w:val="000000"/>
        </w:rPr>
        <w:t>Kľúčové aspekty na výber najlepšej možnosti:</w:t>
      </w:r>
    </w:p>
    <w:p w14:paraId="0D5EAB62" w14:textId="77777777" w:rsidR="004E27DF" w:rsidRPr="00B4488F" w:rsidRDefault="004E27DF" w:rsidP="00CD74FC">
      <w:pPr>
        <w:pStyle w:val="Tiret1"/>
        <w:numPr>
          <w:ilvl w:val="0"/>
          <w:numId w:val="55"/>
        </w:numPr>
      </w:pPr>
      <w:r w:rsidRPr="00B4488F">
        <w:t>na riadne odôvodnenie hľadaného riešenia sa predloží dôkaz, že vybraná možnosť je optimálnou alternatívou spomedzi rôznych možností zvažovaných počas štúdie technickej uskutočniteľnosti,</w:t>
      </w:r>
    </w:p>
    <w:p w14:paraId="03E1871A" w14:textId="77777777" w:rsidR="004E27DF" w:rsidRPr="00B4488F" w:rsidRDefault="004E27DF" w:rsidP="00CD74FC">
      <w:pPr>
        <w:pStyle w:val="Tiret1"/>
        <w:numPr>
          <w:ilvl w:val="0"/>
          <w:numId w:val="55"/>
        </w:numPr>
      </w:pPr>
      <w:r w:rsidRPr="00B4488F">
        <w:t>ak rôzne alternatívy majú rovnaký jedinečný cieľ a rovnaké alebo veľmi podobné externality, odporúča sa založiť výber na najmenej nákladnom riešení na jednotku výstupu so zreteľom na dlhodobé prevádzkové náklady a náklady na údržbu spojené s danou možnosťou,</w:t>
      </w:r>
    </w:p>
    <w:p w14:paraId="7E08A245" w14:textId="1A86BD68" w:rsidR="004E27DF" w:rsidRDefault="004E27DF" w:rsidP="00CD74FC">
      <w:pPr>
        <w:pStyle w:val="Tiret1"/>
        <w:numPr>
          <w:ilvl w:val="0"/>
          <w:numId w:val="55"/>
        </w:numPr>
      </w:pPr>
      <w:r w:rsidRPr="00B4488F">
        <w:t>ak sú v prípade rôznych možností výstupy a externality rozdielne (za</w:t>
      </w:r>
      <w:r w:rsidR="008E5524">
        <w:t> </w:t>
      </w:r>
      <w:r w:rsidRPr="00B4488F">
        <w:t xml:space="preserve">predpokladu, že všetky majú rovnaký cieľ), </w:t>
      </w:r>
      <w:r w:rsidR="005577A9">
        <w:t>RO/SO</w:t>
      </w:r>
      <w:r w:rsidRPr="00B4488F">
        <w:t xml:space="preserve"> sa vyzýva, aby na výber najlepšej možnosti vypracoval pre všetky hlavné možnosti zjednodušenú CBA a určil, ktorá možnosť je výhodnejšia zo sociálno-ekonomického hľadiska, a výber by sa mal zakladať na ekonomických parametroch projektu vrátane jeho čistej súčasnej ekonomickej hodnoty (ENPV). Zjednodušená CBA sa vypracuje na základe približných odhadov kľúčových finančných a ekonomických údajov vrátane </w:t>
      </w:r>
      <w:r w:rsidRPr="00B4488F">
        <w:lastRenderedPageBreak/>
        <w:t>dopytu, investičných nákladov a prevádzkových náklado</w:t>
      </w:r>
      <w:r>
        <w:t>v, príjmov, priamych prínosov a </w:t>
      </w:r>
      <w:r w:rsidRPr="00B4488F">
        <w:t xml:space="preserve">externalít, ak je to relevantné. </w:t>
      </w:r>
    </w:p>
    <w:p w14:paraId="2C462941" w14:textId="77777777" w:rsidR="004E27DF" w:rsidRDefault="004E27DF" w:rsidP="00070252">
      <w:pPr>
        <w:jc w:val="both"/>
      </w:pPr>
    </w:p>
    <w:p w14:paraId="1AA96394" w14:textId="323C4FF7" w:rsidR="00070252" w:rsidRDefault="00070252" w:rsidP="00070252">
      <w:pPr>
        <w:jc w:val="both"/>
      </w:pPr>
      <w:r>
        <w:t>CBA je základným nástrojom na odhadovanie hospodárskych prínosov projektov. Spravidla by sa mali hodnotiť všetky dosahy: finančný, hospodársky, sociálny, environmentálny, atď. Cieľom CBA je určiť a peňažne vyčísliť všetky možné dosahy (t.</w:t>
      </w:r>
      <w:r w:rsidR="001175BA">
        <w:t xml:space="preserve"> </w:t>
      </w:r>
      <w:r>
        <w:t xml:space="preserve">j. pripísať peňažnú hodnotu všetkým dosahom) s cieľom stanoviť výdavky a príjmy projektu; potom sa výsledky zhromaždia (čisté zisky) a vypracujú sa závery o tom, či je projekt vhodný a či sa ho oplatí realizovať. Výdavky a príjmy by sa mali postupne hodnotiť posúdením rozdielu medzi scenárom projektu a alternatívnym scenárom bez projektu. </w:t>
      </w:r>
    </w:p>
    <w:p w14:paraId="6F5DEABF" w14:textId="77777777" w:rsidR="00070252" w:rsidRDefault="00070252" w:rsidP="00070252">
      <w:pPr>
        <w:jc w:val="both"/>
      </w:pPr>
    </w:p>
    <w:p w14:paraId="01039442" w14:textId="77777777" w:rsidR="00070252" w:rsidRDefault="00070252" w:rsidP="00070252">
      <w:pPr>
        <w:jc w:val="both"/>
      </w:pPr>
      <w:r>
        <w:t xml:space="preserve">Pri odhade potenciálnych dosahov projektu musia analytici vždy riešiť problém neistoty. Túto skutočnosť je nutné dôkladne zohľadniť a zaoberať sa ňou v CBA. Hodnotenie rizík je základom komplexnej analýzy, keďže umožňuje navrhovateľovi projektu lepšie porozumieť tomu, ako sa odhadované dosahy môžu zmeniť, ak by sa niektoré kľúčové premenné projektu nakoniec líšili od očakávaných premenných. Dôkladná analýza rizík je základom spoľahlivej stratégie riadenia rizík, ktorá následne spätne pôsobí na návrh projektu. </w:t>
      </w:r>
    </w:p>
    <w:p w14:paraId="015B46A0" w14:textId="77777777" w:rsidR="00070252" w:rsidRDefault="00070252" w:rsidP="00070252">
      <w:pPr>
        <w:jc w:val="both"/>
      </w:pPr>
    </w:p>
    <w:p w14:paraId="25B126C5" w14:textId="77777777" w:rsidR="004E27DF" w:rsidRDefault="00070252" w:rsidP="00B403CD">
      <w:pPr>
        <w:jc w:val="both"/>
      </w:pPr>
      <w:r>
        <w:t xml:space="preserve">Odôvodnenie podporujúce ekonomické hodnotenie je také, že vstupy projektu by sa mali hodnotiť vo vzťahu k alternatívnym nákladom vstupov a výstupy vo vzťahu k ochote spotrebiteľov platiť. Je potrebné uviesť, že alternatívne náklady nutne nezodpovedajú sledovaným finančných nákladom; podobne, sledované trhové ceny nie vždy správne odhaľujú ochotu platiť, ktorá môže byť narušená alebo môže dokonca chýbať. Ekonomická analýza sa vykonáva z hľadiska spoločnosti. </w:t>
      </w:r>
    </w:p>
    <w:p w14:paraId="18290CD9" w14:textId="77777777" w:rsidR="00070252" w:rsidRDefault="006A5294" w:rsidP="006A5294">
      <w:pPr>
        <w:pStyle w:val="MPCKO3"/>
      </w:pPr>
      <w:bookmarkStart w:id="34" w:name="_Toc527539374"/>
      <w:r>
        <w:t>2.2.1</w:t>
      </w:r>
      <w:r w:rsidR="00070252">
        <w:t xml:space="preserve"> </w:t>
      </w:r>
      <w:r w:rsidR="002B0CD6">
        <w:t>Kľúčové kroky ekonomickej analýzy</w:t>
      </w:r>
      <w:bookmarkEnd w:id="34"/>
    </w:p>
    <w:p w14:paraId="79DEB1A4" w14:textId="77777777" w:rsidR="006A5294" w:rsidRDefault="006A5294" w:rsidP="00070252">
      <w:pPr>
        <w:jc w:val="both"/>
      </w:pPr>
    </w:p>
    <w:p w14:paraId="6F51C9BD" w14:textId="7A695E69" w:rsidR="002B0CD6" w:rsidRPr="00B4488F" w:rsidRDefault="002B0CD6" w:rsidP="00B403CD">
      <w:pPr>
        <w:autoSpaceDE w:val="0"/>
        <w:autoSpaceDN w:val="0"/>
        <w:adjustRightInd w:val="0"/>
        <w:jc w:val="both"/>
        <w:rPr>
          <w:color w:val="000000"/>
        </w:rPr>
      </w:pPr>
      <w:r w:rsidRPr="00B4488F">
        <w:rPr>
          <w:color w:val="000000"/>
        </w:rPr>
        <w:t xml:space="preserve">Ekonomická analýza by sa mala vypracovať v </w:t>
      </w:r>
      <w:r w:rsidRPr="00B4488F">
        <w:rPr>
          <w:b/>
          <w:color w:val="000000"/>
        </w:rPr>
        <w:t>stálych účtovných</w:t>
      </w:r>
      <w:r w:rsidRPr="00B4488F">
        <w:rPr>
          <w:color w:val="000000"/>
        </w:rPr>
        <w:t xml:space="preserve"> </w:t>
      </w:r>
      <w:r w:rsidRPr="00B4488F">
        <w:rPr>
          <w:b/>
          <w:color w:val="000000"/>
        </w:rPr>
        <w:t xml:space="preserve">(tieňových) cenách </w:t>
      </w:r>
      <w:r w:rsidRPr="00B4488F">
        <w:rPr>
          <w:color w:val="000000"/>
        </w:rPr>
        <w:t>a</w:t>
      </w:r>
      <w:r w:rsidR="008E5524">
        <w:rPr>
          <w:color w:val="000000"/>
        </w:rPr>
        <w:t> </w:t>
      </w:r>
      <w:r w:rsidRPr="00B4488F">
        <w:rPr>
          <w:color w:val="000000"/>
        </w:rPr>
        <w:t>pri</w:t>
      </w:r>
      <w:r w:rsidR="008E5524">
        <w:rPr>
          <w:color w:val="000000"/>
        </w:rPr>
        <w:t> </w:t>
      </w:r>
      <w:r w:rsidRPr="00B4488F">
        <w:rPr>
          <w:color w:val="000000"/>
        </w:rPr>
        <w:t>jej vypracovaní sa vychádza z finančnej analýzy peňažných tokov.</w:t>
      </w:r>
    </w:p>
    <w:p w14:paraId="2FB54222" w14:textId="77777777" w:rsidR="002B0CD6" w:rsidRDefault="002B0CD6" w:rsidP="00B403CD">
      <w:pPr>
        <w:autoSpaceDE w:val="0"/>
        <w:autoSpaceDN w:val="0"/>
        <w:adjustRightInd w:val="0"/>
        <w:jc w:val="both"/>
        <w:rPr>
          <w:color w:val="000000"/>
        </w:rPr>
      </w:pPr>
      <w:r w:rsidRPr="00B4488F">
        <w:rPr>
          <w:color w:val="000000"/>
        </w:rPr>
        <w:t>Ekonomická analýza obsahuje tieto kroky:</w:t>
      </w:r>
      <w:r w:rsidR="00D7033C">
        <w:rPr>
          <w:color w:val="000000"/>
        </w:rPr>
        <w:t xml:space="preserve"> </w:t>
      </w:r>
    </w:p>
    <w:p w14:paraId="57B6F089" w14:textId="77777777" w:rsidR="00D7033C" w:rsidRPr="00B4488F" w:rsidRDefault="00D7033C" w:rsidP="00B403CD">
      <w:pPr>
        <w:autoSpaceDE w:val="0"/>
        <w:autoSpaceDN w:val="0"/>
        <w:adjustRightInd w:val="0"/>
        <w:jc w:val="both"/>
      </w:pPr>
    </w:p>
    <w:p w14:paraId="20369DF9" w14:textId="77777777" w:rsidR="002B0CD6" w:rsidRPr="00B4488F" w:rsidRDefault="00BC5CF7" w:rsidP="00B403CD">
      <w:pPr>
        <w:ind w:left="720" w:hanging="720"/>
        <w:jc w:val="both"/>
      </w:pPr>
      <w:r>
        <w:t xml:space="preserve">a) </w:t>
      </w:r>
      <w:r w:rsidR="002B0CD6" w:rsidRPr="00B4488F">
        <w:tab/>
        <w:t>Fiškálne korekcie na vylúčenie nepriamych daní (napr. DPH, spotrebných daní), dotácií a čistých transferových platieb poskytnutých verejným subjektom (napr. platieb z národných systémov zdravotnej starostli</w:t>
      </w:r>
      <w:r w:rsidR="002B0CD6">
        <w:t>vosti) z ekonomickej analýzy. V </w:t>
      </w:r>
      <w:r w:rsidR="002B0CD6" w:rsidRPr="00B4488F">
        <w:t>prípade, že sú nepriame dane/dotácie určené na korekciu externalít, tieto sa zahŕňajú do ekonomickej analýzy, ak sa usudzuje, že primerane odzrkadľujú sociálnu hraničnú hodnotu súvisiacich externalít, a za predpokladu, že nedochádza k dvojitému započítavaniu s inými ekonomickými nákladmi a prínosmi.</w:t>
      </w:r>
    </w:p>
    <w:p w14:paraId="6A572A01" w14:textId="77777777" w:rsidR="002B0CD6" w:rsidRPr="00B4488F" w:rsidRDefault="00BC5CF7" w:rsidP="00B403CD">
      <w:pPr>
        <w:ind w:left="720" w:hanging="720"/>
        <w:jc w:val="both"/>
      </w:pPr>
      <w:r>
        <w:t>b)</w:t>
      </w:r>
      <w:r w:rsidR="002B0CD6" w:rsidRPr="00B4488F">
        <w:tab/>
        <w:t>Konverzia trhových cien na účtovné (tieňové) ceny pomocou finančných konverzných faktorov na finančné ceny, aby sa korigovala deformácia trhu. Ak konverzné faktory nie sú k dispozícii od národného úradu pre plánovanie a ak nedošlo k výraznej deformácii trhu, na zjednodušenie možno stanoviť konverzný faktor na hodnotu jedna (KF = 1). Konverzné faktory môžu byť vyššie (alebo nižšie) ako 1, ak sú účtovné ceny vyššie (alebo nižšie) ako trhové ceny.</w:t>
      </w:r>
    </w:p>
    <w:p w14:paraId="2CF34C52" w14:textId="77777777" w:rsidR="002B0CD6" w:rsidRPr="00B4488F" w:rsidRDefault="00BC5CF7" w:rsidP="00B403CD">
      <w:pPr>
        <w:ind w:left="720" w:hanging="720"/>
        <w:jc w:val="both"/>
      </w:pPr>
      <w:r>
        <w:t>c)</w:t>
      </w:r>
      <w:r w:rsidR="002B0CD6" w:rsidRPr="00B4488F">
        <w:tab/>
        <w:t>Peňažné vyjadrenie netrhových vplyvov (korekcie externalít): externality sa odhadnú a ohodnotia podľa potreby pomocou metódy vyjadrených alebo prejavených preferencií (napr. hedonické oceňovanie) alebo iných metód.</w:t>
      </w:r>
    </w:p>
    <w:p w14:paraId="0CC3A51B" w14:textId="77777777" w:rsidR="002B0CD6" w:rsidRPr="00B403CD" w:rsidRDefault="002B0CD6" w:rsidP="00B403CD">
      <w:pPr>
        <w:autoSpaceDE w:val="0"/>
        <w:autoSpaceDN w:val="0"/>
        <w:adjustRightInd w:val="0"/>
        <w:ind w:left="720"/>
        <w:jc w:val="both"/>
        <w:rPr>
          <w:color w:val="000000"/>
        </w:rPr>
      </w:pPr>
      <w:r w:rsidRPr="00B403CD">
        <w:rPr>
          <w:color w:val="000000"/>
        </w:rPr>
        <w:lastRenderedPageBreak/>
        <w:t xml:space="preserve">V ekonomickej analýze sa zohľadňujú </w:t>
      </w:r>
      <w:r w:rsidRPr="00B403CD">
        <w:rPr>
          <w:b/>
          <w:color w:val="000000"/>
        </w:rPr>
        <w:t>iba priame účinky</w:t>
      </w:r>
      <w:r w:rsidRPr="00B403CD">
        <w:rPr>
          <w:color w:val="000000"/>
        </w:rPr>
        <w:t>, aby sa predišlo dvojitému započítavaniu, pričom vo všeobecnosti tieňové ceny a peňažné vyjadrenie externalít predstavujú nepriame účinky.</w:t>
      </w:r>
    </w:p>
    <w:p w14:paraId="48A1C2F1" w14:textId="77777777" w:rsidR="002B0CD6" w:rsidRPr="00B403CD" w:rsidRDefault="002B0CD6" w:rsidP="00B403CD">
      <w:pPr>
        <w:autoSpaceDE w:val="0"/>
        <w:autoSpaceDN w:val="0"/>
        <w:adjustRightInd w:val="0"/>
        <w:ind w:left="720"/>
        <w:jc w:val="both"/>
        <w:rPr>
          <w:bCs/>
          <w:color w:val="000000"/>
        </w:rPr>
      </w:pPr>
      <w:r w:rsidRPr="00B403CD">
        <w:rPr>
          <w:b/>
        </w:rPr>
        <w:t>Finančné príjmy</w:t>
      </w:r>
      <w:r w:rsidRPr="00B403CD">
        <w:t xml:space="preserve"> vo forme používateľských poplatkov sú vylúčené z ekonomickej analýzy a nahrádzajú sa odhadom priamych účinkov na používateľov, či už prostredníctvom „ochoty platiť“ alebo účtovných cien</w:t>
      </w:r>
      <w:r w:rsidRPr="00B403CD">
        <w:rPr>
          <w:color w:val="000000"/>
        </w:rPr>
        <w:t xml:space="preserve">. </w:t>
      </w:r>
      <w:r w:rsidRPr="00B403CD">
        <w:t>Používateľské poplatky, a to najmä v odvetviach, ktoré nie sú vystavené hospodárskej súťaži na trhu, v regulovaných odvetviach alebo odvetviach výrazne ovplyvňovaných politickými hľadiskami, by sa nemali používať ako náhrada za „ochotu platiť“ zo strany používateľa.</w:t>
      </w:r>
    </w:p>
    <w:p w14:paraId="00C071FE" w14:textId="77777777" w:rsidR="002B0CD6" w:rsidRPr="00B403CD" w:rsidRDefault="00BC5CF7" w:rsidP="00B403CD">
      <w:pPr>
        <w:ind w:left="720" w:hanging="720"/>
        <w:jc w:val="both"/>
      </w:pPr>
      <w:r>
        <w:t>d)</w:t>
      </w:r>
      <w:r w:rsidR="002B0CD6" w:rsidRPr="00B403CD">
        <w:tab/>
        <w:t xml:space="preserve">Diskontovanie odhadovaných nákladov a prínosov: keď sa odhadne tok ekonomických nákladov a prínosov, mala by sa uplatniť štandardná diskontovaná metodika peňažného toku pomocou sociálnej diskontnej sadzby (SDR). Hodnota pre sociálnu diskontnú sadzbu je pre Slovenskú republiku </w:t>
      </w:r>
      <w:r w:rsidR="002B0CD6" w:rsidRPr="00B403CD">
        <w:rPr>
          <w:b/>
        </w:rPr>
        <w:t>5,0</w:t>
      </w:r>
      <w:r w:rsidR="002B0CD6" w:rsidRPr="00B403CD">
        <w:t xml:space="preserve"> %. Sociálna diskontná sadzby ako referenčná hodnota sa musí dôsledne uplatňovať vo všetkých projektoch</w:t>
      </w:r>
    </w:p>
    <w:p w14:paraId="71E1D9F6" w14:textId="77777777" w:rsidR="002B0CD6" w:rsidRPr="00B403CD" w:rsidRDefault="002B0CD6" w:rsidP="00B403CD">
      <w:pPr>
        <w:autoSpaceDE w:val="0"/>
        <w:autoSpaceDN w:val="0"/>
        <w:adjustRightInd w:val="0"/>
        <w:ind w:left="714"/>
        <w:jc w:val="both"/>
        <w:rPr>
          <w:bCs/>
          <w:color w:val="000000"/>
        </w:rPr>
      </w:pPr>
      <w:r w:rsidRPr="00B403CD">
        <w:rPr>
          <w:color w:val="000000"/>
        </w:rPr>
        <w:t>Členské štáty môžu pre sociálnu diskontnú sadzbu stanoviť inú referenčnú hodnotu za podmienky, že:</w:t>
      </w:r>
    </w:p>
    <w:p w14:paraId="0073B785" w14:textId="77777777" w:rsidR="002B0CD6" w:rsidRPr="00B4488F" w:rsidRDefault="002B0CD6" w:rsidP="00F26B1B">
      <w:pPr>
        <w:pStyle w:val="Tiret0"/>
        <w:numPr>
          <w:ilvl w:val="0"/>
          <w:numId w:val="32"/>
        </w:numPr>
      </w:pPr>
      <w:r w:rsidRPr="00B403CD">
        <w:t>odôvodnia tieto referenčné hodnoty na základe prognózy rastu</w:t>
      </w:r>
      <w:r>
        <w:t xml:space="preserve"> hospodárstva a </w:t>
      </w:r>
      <w:r w:rsidRPr="00B4488F">
        <w:t>iných parametrov určujúcich SDR v rámci prístupu SRTP a</w:t>
      </w:r>
    </w:p>
    <w:p w14:paraId="72541FC9" w14:textId="3E040B27" w:rsidR="00070252" w:rsidRPr="009B3141" w:rsidRDefault="002B0CD6" w:rsidP="00F26B1B">
      <w:pPr>
        <w:pStyle w:val="Tiret0"/>
        <w:numPr>
          <w:ilvl w:val="0"/>
          <w:numId w:val="32"/>
        </w:numPr>
        <w:rPr>
          <w:bCs/>
          <w:szCs w:val="24"/>
        </w:rPr>
      </w:pPr>
      <w:r w:rsidRPr="00B4488F">
        <w:t>zabezpečia jej jednotné uplatňovanie na všetky podobné projekty v rovnakej krajine, v</w:t>
      </w:r>
      <w:r w:rsidR="008E5524">
        <w:t> </w:t>
      </w:r>
      <w:r w:rsidRPr="00B4488F">
        <w:t>rovnakom regióne alebo odvetví.</w:t>
      </w:r>
      <w:r w:rsidR="009B3141">
        <w:t xml:space="preserve"> </w:t>
      </w:r>
      <w:r w:rsidRPr="00B4488F">
        <w:t>Informácie o odlišnej referenčnej hodnote sa dajú k</w:t>
      </w:r>
      <w:r w:rsidR="008E5524">
        <w:t> </w:t>
      </w:r>
      <w:r w:rsidRPr="00B4488F">
        <w:t>dispozícii prijímateľom a Komisii na začiatku operačného programu.</w:t>
      </w:r>
    </w:p>
    <w:p w14:paraId="20546440" w14:textId="77777777" w:rsidR="00070252" w:rsidRPr="00B403CD" w:rsidRDefault="006A5294" w:rsidP="006A5294">
      <w:pPr>
        <w:pStyle w:val="MPCKO3"/>
      </w:pPr>
      <w:bookmarkStart w:id="35" w:name="_Toc527539375"/>
      <w:r w:rsidRPr="00B403CD">
        <w:t>2</w:t>
      </w:r>
      <w:r w:rsidR="00EA19B3" w:rsidRPr="00B403CD">
        <w:t>.2.2</w:t>
      </w:r>
      <w:r w:rsidR="00070252" w:rsidRPr="00B403CD">
        <w:t xml:space="preserve"> Ukazovatele ekonomickej výkonnosti:</w:t>
      </w:r>
      <w:bookmarkEnd w:id="35"/>
    </w:p>
    <w:p w14:paraId="60969E6D" w14:textId="77777777" w:rsidR="00130E2B" w:rsidRPr="00B403CD" w:rsidRDefault="00130E2B" w:rsidP="00070252">
      <w:pPr>
        <w:jc w:val="both"/>
      </w:pPr>
    </w:p>
    <w:p w14:paraId="0D4897C3" w14:textId="77777777" w:rsidR="00070252" w:rsidRPr="00B403CD" w:rsidRDefault="00070252" w:rsidP="00070252">
      <w:pPr>
        <w:jc w:val="both"/>
      </w:pPr>
      <w:r w:rsidRPr="00B403CD">
        <w:t>Základnými ukazovateľmi používanými pre vyhodnotenie výsledkov analýzy nákladov a prínosov a posúdenie prínosu projektu sú:</w:t>
      </w:r>
    </w:p>
    <w:p w14:paraId="34F2D75A" w14:textId="77777777" w:rsidR="00280026" w:rsidRPr="00B403CD" w:rsidRDefault="00280026" w:rsidP="00070252">
      <w:pPr>
        <w:jc w:val="both"/>
      </w:pPr>
    </w:p>
    <w:p w14:paraId="633C646C" w14:textId="77777777" w:rsidR="00280026" w:rsidRPr="00B403CD" w:rsidRDefault="00280026" w:rsidP="008D34EF">
      <w:pPr>
        <w:pStyle w:val="Point0"/>
        <w:numPr>
          <w:ilvl w:val="1"/>
          <w:numId w:val="21"/>
        </w:numPr>
      </w:pPr>
      <w:r w:rsidRPr="00B403CD">
        <w:rPr>
          <w:b/>
        </w:rPr>
        <w:t>Čistá súčasná ekonomická hodnota</w:t>
      </w:r>
      <w:r w:rsidRPr="00B403CD">
        <w:t xml:space="preserve"> (ENPV) je hlavným referenčným ukazovateľom pre hodnotenie projektov. Je vymedzená ako rozdiel medzi diskontovanými celkovými sociálnymi prínosmi a nákladmi.</w:t>
      </w:r>
    </w:p>
    <w:p w14:paraId="1EE55D13" w14:textId="77777777" w:rsidR="00280026" w:rsidRPr="00B403CD" w:rsidRDefault="00280026" w:rsidP="00D7033C">
      <w:pPr>
        <w:pStyle w:val="Point0"/>
        <w:ind w:left="0" w:firstLine="0"/>
      </w:pPr>
      <w:r w:rsidRPr="00B403CD">
        <w:t>Aby bol projekt prijateľný z ekonomického hľadiska, čistá súčasná ekonomická hodnota by mala byť kladná (</w:t>
      </w:r>
      <w:r w:rsidRPr="00B403CD">
        <w:rPr>
          <w:b/>
        </w:rPr>
        <w:t>ENPV &gt; 0</w:t>
      </w:r>
      <w:r w:rsidRPr="00B403CD">
        <w:t>), čím sa preukáže, že spoločnosť daného regiónu alebo krajiny má z projektu prínos, keďže prínosy projektu prevyšujú jeho náklady, a preto by sa mal tento projekt zrealizovať.</w:t>
      </w:r>
    </w:p>
    <w:p w14:paraId="60307393" w14:textId="77777777" w:rsidR="00280026" w:rsidRPr="00B403CD" w:rsidRDefault="00280026" w:rsidP="008D34EF">
      <w:pPr>
        <w:pStyle w:val="Point0"/>
        <w:numPr>
          <w:ilvl w:val="1"/>
          <w:numId w:val="21"/>
        </w:numPr>
      </w:pPr>
      <w:r w:rsidRPr="00B403CD">
        <w:rPr>
          <w:b/>
        </w:rPr>
        <w:t>Ekonomická miera návratnosti</w:t>
      </w:r>
      <w:r w:rsidRPr="00B403CD">
        <w:t xml:space="preserve"> (ERR) je vnútorná miera návratnosti vypočítaná pomocou ekonomických hodnôt a vyjadrujúca sociálno-ekonomickú ziskovosť projektu.</w:t>
      </w:r>
    </w:p>
    <w:p w14:paraId="3DCEA7CB" w14:textId="77777777" w:rsidR="00280026" w:rsidRPr="006A626D" w:rsidRDefault="00280026" w:rsidP="00070252">
      <w:pPr>
        <w:jc w:val="both"/>
        <w:rPr>
          <w:highlight w:val="yellow"/>
        </w:rPr>
      </w:pPr>
    </w:p>
    <w:p w14:paraId="3C07E4F9" w14:textId="77777777" w:rsidR="00070252" w:rsidRDefault="00070252" w:rsidP="00F02B94">
      <w:pPr>
        <w:suppressAutoHyphens/>
        <w:jc w:val="both"/>
      </w:pPr>
      <w:r w:rsidRPr="00B403CD">
        <w:rPr>
          <w:b/>
        </w:rPr>
        <w:t>Ekonomická čistá súčasná hodnota</w:t>
      </w:r>
      <w:r w:rsidRPr="00B403CD">
        <w:t xml:space="preserve"> (ENPV) - mala by byť vyššia ako nula, aby bol projekt vhodný z ekonomického hľadiska. </w:t>
      </w:r>
    </w:p>
    <w:p w14:paraId="15E7F036" w14:textId="77777777" w:rsidR="00F02B94" w:rsidRPr="00B403CD" w:rsidRDefault="00F02B94" w:rsidP="00F02B94">
      <w:pPr>
        <w:suppressAutoHyphens/>
        <w:ind w:left="720"/>
        <w:jc w:val="both"/>
      </w:pPr>
    </w:p>
    <w:p w14:paraId="7DF71397" w14:textId="77777777" w:rsidR="00070252" w:rsidRDefault="00070252" w:rsidP="00F02B94">
      <w:pPr>
        <w:suppressAutoHyphens/>
        <w:jc w:val="both"/>
      </w:pPr>
      <w:r w:rsidRPr="00B403CD">
        <w:rPr>
          <w:b/>
        </w:rPr>
        <w:t>Ekonomická miera návratnosti</w:t>
      </w:r>
      <w:r w:rsidRPr="00B403CD">
        <w:t xml:space="preserve"> (ERR) - mala by byť vyššia ako sociálna diskontná sadzba. </w:t>
      </w:r>
    </w:p>
    <w:p w14:paraId="0AB78F1B" w14:textId="77777777" w:rsidR="00F02B94" w:rsidRPr="00B403CD" w:rsidRDefault="00F02B94" w:rsidP="00F02B94">
      <w:pPr>
        <w:suppressAutoHyphens/>
        <w:ind w:left="720"/>
        <w:jc w:val="both"/>
      </w:pPr>
    </w:p>
    <w:p w14:paraId="3EF9AD0A" w14:textId="77777777" w:rsidR="00070252" w:rsidRPr="00B403CD" w:rsidRDefault="00070252" w:rsidP="00F02B94">
      <w:pPr>
        <w:suppressAutoHyphens/>
        <w:jc w:val="both"/>
      </w:pPr>
      <w:r w:rsidRPr="00B403CD">
        <w:rPr>
          <w:b/>
        </w:rPr>
        <w:t>Pomer výnosy/náklady</w:t>
      </w:r>
      <w:r w:rsidRPr="00B403CD">
        <w:t xml:space="preserve"> (B/C) – mal by byť vyšší ako jedna. Tento indikátor by mal v prípade projektov, kde je záujem spoločnosti použiť verejné zdroje na jeho financovanie, </w:t>
      </w:r>
      <w:r w:rsidRPr="00B403CD">
        <w:lastRenderedPageBreak/>
        <w:t>hodnotu väčšiu ako jedna, čo sa dá ek</w:t>
      </w:r>
      <w:r w:rsidR="00280026" w:rsidRPr="00B403CD">
        <w:t>onomický interpretovať, že každé do projektu vložené euro prinesie výnos väčší ako jedno euro</w:t>
      </w:r>
      <w:r w:rsidRPr="00B403CD">
        <w:t xml:space="preserve">. </w:t>
      </w:r>
    </w:p>
    <w:p w14:paraId="0B70353F" w14:textId="77777777" w:rsidR="00070252" w:rsidRPr="00B403CD" w:rsidRDefault="00070252" w:rsidP="00070252">
      <w:pPr>
        <w:jc w:val="both"/>
      </w:pPr>
    </w:p>
    <w:p w14:paraId="6AB778D7" w14:textId="77777777" w:rsidR="00070252" w:rsidRPr="00B403CD" w:rsidRDefault="00070252" w:rsidP="00070252">
      <w:pPr>
        <w:jc w:val="both"/>
      </w:pPr>
      <w:r w:rsidRPr="00B403CD">
        <w:t xml:space="preserve">ERR a pomer B/C poskytujú zaujímavé informácie, pretože sú nezávislé od veľkosti projektu. Tieto ukazovatele však môžu mať určité výpočtové nedostatky. ENPV je spoľahlivejšia a mala by sa používať ako hlavný referenčný ukazovateľ hodnotenia projektu. </w:t>
      </w:r>
    </w:p>
    <w:p w14:paraId="1BA3D0D6" w14:textId="77777777" w:rsidR="00070252" w:rsidRPr="00B403CD" w:rsidRDefault="00070252" w:rsidP="00070252">
      <w:pPr>
        <w:jc w:val="both"/>
      </w:pPr>
    </w:p>
    <w:p w14:paraId="768F5776" w14:textId="77777777" w:rsidR="00070252" w:rsidRPr="006A626D" w:rsidRDefault="00070252" w:rsidP="00070252">
      <w:pPr>
        <w:jc w:val="both"/>
        <w:rPr>
          <w:highlight w:val="yellow"/>
        </w:rPr>
      </w:pPr>
      <w:r w:rsidRPr="00B403CD">
        <w:t xml:space="preserve">Nie všetky sociálno-ekonomické vplyvy sa dajú vždy vyčísliť a zhodnotiť. Je to preto, že  okrem odhadu ukazovateľov výkonnosti by sa mala zohľadniť aj úvaha o nepeňažných  nákladoch a výnosoch, najmä vo vzťahu k týmto otázkam: (čistý) dosah na  zamestnanosť, ochrana životného prostredia, sociálna rovnosť a rovnaké </w:t>
      </w:r>
      <w:r w:rsidRPr="009337EA">
        <w:t xml:space="preserve">príležitosti. </w:t>
      </w:r>
    </w:p>
    <w:p w14:paraId="741B5322" w14:textId="77777777" w:rsidR="00070252" w:rsidRPr="006A626D" w:rsidRDefault="00070252" w:rsidP="00070252">
      <w:pPr>
        <w:jc w:val="both"/>
        <w:rPr>
          <w:highlight w:val="yellow"/>
        </w:rPr>
      </w:pPr>
    </w:p>
    <w:p w14:paraId="57513690" w14:textId="77777777" w:rsidR="00070252" w:rsidRDefault="00070252" w:rsidP="00070252">
      <w:pPr>
        <w:jc w:val="both"/>
      </w:pPr>
      <w:r w:rsidRPr="00B403CD">
        <w:t>Interpretácia výsledkov kriteriálnych ukazovateľov:</w:t>
      </w:r>
    </w:p>
    <w:p w14:paraId="61A70BDA" w14:textId="77777777" w:rsidR="009B3141" w:rsidRPr="00B403CD" w:rsidRDefault="009B3141" w:rsidP="00070252">
      <w:pPr>
        <w:jc w:val="both"/>
      </w:pPr>
    </w:p>
    <w:p w14:paraId="607E865B" w14:textId="77777777" w:rsidR="00070252" w:rsidRPr="00B403CD" w:rsidRDefault="00070252" w:rsidP="007C2172">
      <w:pPr>
        <w:pStyle w:val="Odsekzoznamu"/>
        <w:numPr>
          <w:ilvl w:val="0"/>
          <w:numId w:val="2"/>
        </w:numPr>
        <w:suppressAutoHyphens/>
        <w:jc w:val="both"/>
      </w:pPr>
      <w:r w:rsidRPr="00B403CD">
        <w:t xml:space="preserve">Ak je výsledná hodnota ENPV vyššia ako „0“ projekt je vhodný z ekonomického hľadiska.  </w:t>
      </w:r>
    </w:p>
    <w:p w14:paraId="70F53AEE" w14:textId="77777777" w:rsidR="00070252" w:rsidRPr="00B403CD" w:rsidRDefault="00070252" w:rsidP="007C2172">
      <w:pPr>
        <w:numPr>
          <w:ilvl w:val="0"/>
          <w:numId w:val="2"/>
        </w:numPr>
        <w:suppressAutoHyphens/>
        <w:jc w:val="both"/>
      </w:pPr>
      <w:r w:rsidRPr="00B403CD">
        <w:t xml:space="preserve">Ak je výsledná hodnota ENPV nižšia ako „0“ projekt je nie vhodný z ekonomického hľadiska.  </w:t>
      </w:r>
    </w:p>
    <w:p w14:paraId="0AE2AF8E" w14:textId="77777777" w:rsidR="00070252" w:rsidRPr="00B403CD" w:rsidRDefault="00070252" w:rsidP="007C2172">
      <w:pPr>
        <w:numPr>
          <w:ilvl w:val="0"/>
          <w:numId w:val="2"/>
        </w:numPr>
        <w:suppressAutoHyphens/>
        <w:jc w:val="both"/>
      </w:pPr>
      <w:r w:rsidRPr="00B403CD">
        <w:t xml:space="preserve">Ekonomická miera návratnosti by mala byť vyššia ako sociálna diskontná sadzba.  </w:t>
      </w:r>
    </w:p>
    <w:p w14:paraId="35758E10" w14:textId="77777777" w:rsidR="00070252" w:rsidRPr="00B403CD" w:rsidRDefault="00070252" w:rsidP="007C2172">
      <w:pPr>
        <w:numPr>
          <w:ilvl w:val="0"/>
          <w:numId w:val="2"/>
        </w:numPr>
        <w:suppressAutoHyphens/>
        <w:jc w:val="both"/>
      </w:pPr>
      <w:r w:rsidRPr="00B403CD">
        <w:t xml:space="preserve">Pomer B/C by mal byť vyšší ako 1.  </w:t>
      </w:r>
    </w:p>
    <w:p w14:paraId="79D7CD7B" w14:textId="77777777" w:rsidR="00070252" w:rsidRPr="00B403CD" w:rsidRDefault="00070252" w:rsidP="007C2172">
      <w:pPr>
        <w:numPr>
          <w:ilvl w:val="0"/>
          <w:numId w:val="2"/>
        </w:numPr>
        <w:suppressAutoHyphens/>
        <w:jc w:val="both"/>
      </w:pPr>
      <w:r w:rsidRPr="00B403CD">
        <w:t>Ak ERR je menší ako sociálna diskontná sadzba, jedná sa o neprijateľný projekt. RO môže rozhodnúť o financovaní takéhoto projektu len v prípade, že prínosy projektu, ktoré nemohli byť monetarizované s veľmi vysokou pravdepodobnosťou prevyšujú záporné hodnoty ENPV (vo všeobecnosti však schválenie takéhoto projektu nie je odporúčané).</w:t>
      </w:r>
    </w:p>
    <w:p w14:paraId="66F2E76F" w14:textId="77777777" w:rsidR="00070252" w:rsidRPr="00B403CD" w:rsidRDefault="00070252" w:rsidP="007C2172">
      <w:pPr>
        <w:numPr>
          <w:ilvl w:val="0"/>
          <w:numId w:val="2"/>
        </w:numPr>
        <w:suppressAutoHyphens/>
        <w:jc w:val="both"/>
      </w:pPr>
      <w:r w:rsidRPr="00B403CD">
        <w:t>Ak ERR je väčšie ako sociálna diskontná sadzba, jedná sa o prijateľný projekt.</w:t>
      </w:r>
    </w:p>
    <w:p w14:paraId="0FA581FE" w14:textId="77777777" w:rsidR="00070252" w:rsidRPr="00B403CD" w:rsidRDefault="00070252" w:rsidP="007C2172">
      <w:pPr>
        <w:numPr>
          <w:ilvl w:val="0"/>
          <w:numId w:val="2"/>
        </w:numPr>
        <w:suppressAutoHyphens/>
        <w:jc w:val="both"/>
      </w:pPr>
      <w:r w:rsidRPr="00B403CD">
        <w:t>ENPV je hlavný referenčný ukazovateľ hodnotenia projektu.</w:t>
      </w:r>
    </w:p>
    <w:p w14:paraId="5B7899A1" w14:textId="77777777" w:rsidR="00070252" w:rsidRPr="00B403CD" w:rsidRDefault="006A5294" w:rsidP="006A5294">
      <w:pPr>
        <w:pStyle w:val="MPCKO3"/>
      </w:pPr>
      <w:bookmarkStart w:id="36" w:name="_Toc527539376"/>
      <w:r w:rsidRPr="00B403CD">
        <w:t>2</w:t>
      </w:r>
      <w:r w:rsidR="00EA19B3" w:rsidRPr="00B403CD">
        <w:t>.2.3</w:t>
      </w:r>
      <w:r w:rsidR="00070252" w:rsidRPr="00B403CD">
        <w:t xml:space="preserve"> Analýza citlivosti a rizík</w:t>
      </w:r>
      <w:bookmarkEnd w:id="36"/>
    </w:p>
    <w:p w14:paraId="3CAAA3B5" w14:textId="77777777" w:rsidR="00130E2B" w:rsidRPr="00B403CD" w:rsidRDefault="00130E2B" w:rsidP="00070252">
      <w:pPr>
        <w:jc w:val="both"/>
        <w:rPr>
          <w:b/>
        </w:rPr>
      </w:pPr>
    </w:p>
    <w:p w14:paraId="79573802" w14:textId="3C2C9A28" w:rsidR="00367029" w:rsidRPr="00B403CD" w:rsidRDefault="00367029" w:rsidP="00367029">
      <w:pPr>
        <w:autoSpaceDE w:val="0"/>
        <w:autoSpaceDN w:val="0"/>
        <w:adjustRightInd w:val="0"/>
        <w:jc w:val="both"/>
      </w:pPr>
      <w:r w:rsidRPr="00B403CD">
        <w:rPr>
          <w:color w:val="000000"/>
        </w:rPr>
        <w:t xml:space="preserve">Ako je uvedené v článku 101 ods. 1 písm. e) </w:t>
      </w:r>
      <w:r w:rsidR="00757777">
        <w:rPr>
          <w:color w:val="000000"/>
        </w:rPr>
        <w:t xml:space="preserve">všeobecného </w:t>
      </w:r>
      <w:r w:rsidRPr="00B403CD">
        <w:rPr>
          <w:color w:val="000000"/>
        </w:rPr>
        <w:t>nariadenia , súčasťou CBA musí byť posúdenie rizika. Je to potrebné na odstránenie neistoty, ktorá je vždy súčasťou investičných projektov. Posúdenie rizika umožňuje, aby navrhovateľ projektu lepšie pochopil, ako sa pravdepodobne zmenia odhadované vplyvy, ak sa niektoré kľúčové premenné ukážu byť odlišné, ako sa očakávalo. Dôkladná analýza rizík predstavuje základ pre riadnu stratégiu riadenia rizika, ktorá sa následne premietne do návrhu projektu.</w:t>
      </w:r>
      <w:r w:rsidRPr="00B403CD">
        <w:t xml:space="preserve"> Osobitná pozornosť by sa mala venovať aspektom týkajúcim sa zmeny klímy a životného prostredia.</w:t>
      </w:r>
    </w:p>
    <w:p w14:paraId="220C9C17" w14:textId="77777777" w:rsidR="00367029" w:rsidRDefault="00367029" w:rsidP="00367029">
      <w:pPr>
        <w:autoSpaceDE w:val="0"/>
        <w:autoSpaceDN w:val="0"/>
        <w:adjustRightInd w:val="0"/>
        <w:jc w:val="both"/>
        <w:rPr>
          <w:color w:val="000000"/>
        </w:rPr>
      </w:pPr>
      <w:r w:rsidRPr="00B403CD">
        <w:rPr>
          <w:color w:val="000000"/>
        </w:rPr>
        <w:t>Posúdenie rizika musí zahŕňať dva kroky:</w:t>
      </w:r>
    </w:p>
    <w:p w14:paraId="58CCDF78" w14:textId="77777777" w:rsidR="007C2172" w:rsidRPr="00B403CD" w:rsidRDefault="007C2172" w:rsidP="00367029">
      <w:pPr>
        <w:autoSpaceDE w:val="0"/>
        <w:autoSpaceDN w:val="0"/>
        <w:adjustRightInd w:val="0"/>
        <w:jc w:val="both"/>
        <w:rPr>
          <w:bCs/>
          <w:color w:val="000000"/>
        </w:rPr>
      </w:pPr>
    </w:p>
    <w:p w14:paraId="46A5D283" w14:textId="77777777" w:rsidR="00367029" w:rsidRPr="00120DC0" w:rsidRDefault="00367029" w:rsidP="00F26B1B">
      <w:pPr>
        <w:pStyle w:val="Odsekzoznamu"/>
        <w:numPr>
          <w:ilvl w:val="0"/>
          <w:numId w:val="22"/>
        </w:numPr>
        <w:autoSpaceDE w:val="0"/>
        <w:autoSpaceDN w:val="0"/>
        <w:adjustRightInd w:val="0"/>
        <w:rPr>
          <w:bCs/>
          <w:color w:val="000000"/>
        </w:rPr>
      </w:pPr>
      <w:r w:rsidRPr="007C2172">
        <w:rPr>
          <w:color w:val="000000"/>
        </w:rPr>
        <w:t xml:space="preserve">V </w:t>
      </w:r>
      <w:r w:rsidRPr="007C2172">
        <w:rPr>
          <w:b/>
          <w:color w:val="000000"/>
        </w:rPr>
        <w:t>analýze citlivosti</w:t>
      </w:r>
      <w:r w:rsidRPr="007C2172">
        <w:rPr>
          <w:color w:val="000000"/>
        </w:rPr>
        <w:t>, ktorou sa určujú „kritické“ premenné alebo parametre modelu (t. j. tie, ktorých pozitívne alebo negatívne odchýlky majú najväčší vplyv na ukazovatele výkonnosti daného projektu), sa musia zohľadniť tieto aspekty:</w:t>
      </w:r>
      <w:r w:rsidR="00120DC0">
        <w:rPr>
          <w:color w:val="000000"/>
        </w:rPr>
        <w:t xml:space="preserve">  </w:t>
      </w:r>
    </w:p>
    <w:p w14:paraId="6289D636" w14:textId="77777777" w:rsidR="00367029" w:rsidRPr="00B403CD" w:rsidRDefault="00367029" w:rsidP="0056666E">
      <w:pPr>
        <w:pStyle w:val="Odsekzoznamu"/>
        <w:numPr>
          <w:ilvl w:val="0"/>
          <w:numId w:val="39"/>
        </w:numPr>
        <w:spacing w:before="200" w:after="200"/>
        <w:ind w:left="1276" w:hanging="425"/>
        <w:jc w:val="both"/>
      </w:pPr>
      <w:r w:rsidRPr="00B403CD">
        <w:t>Kritické premenné sú tie, pri ktorých odchýlka 1 % spôsobí odchýlku viac ako 1 % hodnoty NPV.</w:t>
      </w:r>
    </w:p>
    <w:p w14:paraId="5CEBC1AA" w14:textId="77777777" w:rsidR="00367029" w:rsidRPr="00B403CD" w:rsidRDefault="00367029" w:rsidP="0056666E">
      <w:pPr>
        <w:pStyle w:val="Odsekzoznamu"/>
        <w:numPr>
          <w:ilvl w:val="0"/>
          <w:numId w:val="39"/>
        </w:numPr>
        <w:spacing w:before="200" w:after="200"/>
        <w:ind w:left="1276" w:hanging="425"/>
        <w:jc w:val="both"/>
      </w:pPr>
      <w:r w:rsidRPr="00B403CD">
        <w:t>Pri tejto analýze sa zmení vždy jeden prvok naraz a určí sa účinok tejto zmeny na NPV.</w:t>
      </w:r>
    </w:p>
    <w:p w14:paraId="5B716DC0" w14:textId="77777777" w:rsidR="00367029" w:rsidRPr="00B403CD" w:rsidRDefault="00367029" w:rsidP="0056666E">
      <w:pPr>
        <w:pStyle w:val="Odsekzoznamu"/>
        <w:numPr>
          <w:ilvl w:val="0"/>
          <w:numId w:val="39"/>
        </w:numPr>
        <w:spacing w:before="200" w:after="200"/>
        <w:ind w:left="1276" w:hanging="425"/>
        <w:jc w:val="both"/>
      </w:pPr>
      <w:r w:rsidRPr="00120DC0">
        <w:t>Meniace sa hodnoty</w:t>
      </w:r>
      <w:r w:rsidRPr="00B403CD">
        <w:t xml:space="preserve"> sú vymedzené ako percentuálna zmena kritickej premennej potrebná na to, aby sa NPV rovnala nule.</w:t>
      </w:r>
    </w:p>
    <w:p w14:paraId="298C342C" w14:textId="1622B2D8" w:rsidR="00367029" w:rsidRPr="00B403CD" w:rsidRDefault="00367029" w:rsidP="0056666E">
      <w:pPr>
        <w:pStyle w:val="Odsekzoznamu"/>
        <w:numPr>
          <w:ilvl w:val="0"/>
          <w:numId w:val="39"/>
        </w:numPr>
        <w:spacing w:before="200" w:after="200"/>
        <w:ind w:left="1276" w:hanging="425"/>
        <w:jc w:val="both"/>
      </w:pPr>
      <w:r w:rsidRPr="00120DC0">
        <w:t>Analýza scenárov</w:t>
      </w:r>
      <w:r w:rsidRPr="00B403CD">
        <w:t xml:space="preserve"> umožňuje preštudovať kombinovaný vplyv určených súborov kritických hodnôt a najmä kombináciu optimistických a pesimistických hodnôt </w:t>
      </w:r>
      <w:r w:rsidRPr="00B403CD">
        <w:lastRenderedPageBreak/>
        <w:t>skupiny premenných pri vytváraní rôznych scenárov, ktoré môžu fungovať na</w:t>
      </w:r>
      <w:r w:rsidR="008E5524">
        <w:t> </w:t>
      </w:r>
      <w:r w:rsidRPr="00B403CD">
        <w:t>základe určitých hypotéz.</w:t>
      </w:r>
    </w:p>
    <w:p w14:paraId="02BA3229" w14:textId="77777777" w:rsidR="00367029" w:rsidRDefault="00367029" w:rsidP="00F26B1B">
      <w:pPr>
        <w:pStyle w:val="Odsekzoznamu"/>
        <w:numPr>
          <w:ilvl w:val="0"/>
          <w:numId w:val="22"/>
        </w:numPr>
      </w:pPr>
      <w:r w:rsidRPr="00B403CD">
        <w:t xml:space="preserve"> </w:t>
      </w:r>
      <w:r w:rsidRPr="007C2172">
        <w:rPr>
          <w:b/>
        </w:rPr>
        <w:t>Kvalitatívna analýza rizika</w:t>
      </w:r>
      <w:r w:rsidRPr="00B403CD">
        <w:t xml:space="preserve"> vrátane predchádzania rizikám ich zmierňovania, ktorá musí obsahovať tieto prvky:</w:t>
      </w:r>
    </w:p>
    <w:p w14:paraId="3C230EE2" w14:textId="77777777" w:rsidR="00367029" w:rsidRPr="00B403CD" w:rsidRDefault="00367029" w:rsidP="00F26B1B">
      <w:pPr>
        <w:pStyle w:val="Odsekzoznamu"/>
        <w:numPr>
          <w:ilvl w:val="0"/>
          <w:numId w:val="40"/>
        </w:numPr>
        <w:spacing w:before="200" w:after="200"/>
      </w:pPr>
      <w:r w:rsidRPr="00B403CD">
        <w:t>zoznam rizík, ktorým je projekt vystavený,</w:t>
      </w:r>
    </w:p>
    <w:p w14:paraId="27FED297" w14:textId="77777777" w:rsidR="00367029" w:rsidRPr="00B403CD" w:rsidRDefault="00367029" w:rsidP="00F26B1B">
      <w:pPr>
        <w:pStyle w:val="Odsekzoznamu"/>
        <w:numPr>
          <w:ilvl w:val="0"/>
          <w:numId w:val="40"/>
        </w:numPr>
        <w:spacing w:before="200" w:after="200"/>
      </w:pPr>
      <w:r w:rsidRPr="00B403CD">
        <w:t>matica rizík znázorňujúca pre každé zistené riziko:</w:t>
      </w:r>
    </w:p>
    <w:p w14:paraId="75E1B734" w14:textId="77777777" w:rsidR="00367029" w:rsidRPr="00B403CD" w:rsidRDefault="00367029" w:rsidP="005D0666">
      <w:pPr>
        <w:pStyle w:val="Tiret1"/>
        <w:numPr>
          <w:ilvl w:val="0"/>
          <w:numId w:val="51"/>
        </w:numPr>
      </w:pPr>
      <w:r w:rsidRPr="00B403CD">
        <w:t xml:space="preserve">možné príčiny zlyhania, </w:t>
      </w:r>
    </w:p>
    <w:p w14:paraId="6F3E499D" w14:textId="77777777" w:rsidR="00367029" w:rsidRPr="00B403CD" w:rsidRDefault="00367029" w:rsidP="005D0666">
      <w:pPr>
        <w:pStyle w:val="Tiret1"/>
        <w:numPr>
          <w:ilvl w:val="0"/>
          <w:numId w:val="51"/>
        </w:numPr>
      </w:pPr>
      <w:r w:rsidRPr="00B403CD">
        <w:t xml:space="preserve">väzbu na analýzu citlivosti v prípade potreby, </w:t>
      </w:r>
    </w:p>
    <w:p w14:paraId="439AF276" w14:textId="77777777" w:rsidR="00367029" w:rsidRPr="00B403CD" w:rsidRDefault="00367029" w:rsidP="005D0666">
      <w:pPr>
        <w:pStyle w:val="Tiret1"/>
        <w:numPr>
          <w:ilvl w:val="0"/>
          <w:numId w:val="51"/>
        </w:numPr>
      </w:pPr>
      <w:r w:rsidRPr="00B403CD">
        <w:t xml:space="preserve">negatívne účinky na projekt, </w:t>
      </w:r>
    </w:p>
    <w:p w14:paraId="2A547E66" w14:textId="77777777" w:rsidR="00367029" w:rsidRPr="00B403CD" w:rsidRDefault="00367029" w:rsidP="005D0666">
      <w:pPr>
        <w:pStyle w:val="Tiret1"/>
        <w:numPr>
          <w:ilvl w:val="0"/>
          <w:numId w:val="51"/>
        </w:numPr>
      </w:pPr>
      <w:r w:rsidRPr="00B403CD">
        <w:t xml:space="preserve">klasifikovanú (napr. veľmi nepravdepodobne, nepravdepodobne, rovnako pravdepodobne ako nepravdepodobne, pravdepodobne, veľmi pravdepodobne) úroveň pravdepodobnosti výskytu a závažnosti vplyvu, </w:t>
      </w:r>
    </w:p>
    <w:p w14:paraId="0681C741" w14:textId="77777777" w:rsidR="00367029" w:rsidRPr="00B403CD" w:rsidRDefault="00367029" w:rsidP="005D0666">
      <w:pPr>
        <w:pStyle w:val="Tiret1"/>
        <w:numPr>
          <w:ilvl w:val="0"/>
          <w:numId w:val="51"/>
        </w:numPr>
      </w:pPr>
      <w:r w:rsidRPr="00B403CD">
        <w:t>úroveň rizika (t. j. kombinácia pravdepodobnosti a vplyvu),</w:t>
      </w:r>
    </w:p>
    <w:p w14:paraId="3BC5C4EE" w14:textId="77777777" w:rsidR="00367029" w:rsidRPr="00B403CD" w:rsidRDefault="00367029" w:rsidP="00F26B1B">
      <w:pPr>
        <w:pStyle w:val="Odsekzoznamu"/>
        <w:numPr>
          <w:ilvl w:val="0"/>
          <w:numId w:val="40"/>
        </w:numPr>
        <w:spacing w:before="200" w:after="200"/>
      </w:pPr>
      <w:r w:rsidRPr="00B403CD">
        <w:t>identifikácia preventívnych a zmierňujúcich opatrení vrátane subjektu zodpovedného za predchádzanie hlavným rizikám a za ich zmierňovanie, štandardných postupov, ak je to vhodné, a so zreteľom na osvedčené postupy, keď je to možné, ktoré sa majú použiť na zníženie rizika expozície, ak sa to považuje za potrebné,</w:t>
      </w:r>
    </w:p>
    <w:p w14:paraId="2D20C0C5" w14:textId="77777777" w:rsidR="00367029" w:rsidRPr="00B403CD" w:rsidRDefault="00367029" w:rsidP="00F26B1B">
      <w:pPr>
        <w:pStyle w:val="Odsekzoznamu"/>
        <w:numPr>
          <w:ilvl w:val="0"/>
          <w:numId w:val="40"/>
        </w:numPr>
        <w:spacing w:before="200" w:after="200"/>
      </w:pPr>
      <w:r w:rsidRPr="00B403CD">
        <w:t>výklad matice rizík vrátane posúdenia zostatkových rizík po uplatnení preventívnych a zmierňujúcich opatrení.</w:t>
      </w:r>
    </w:p>
    <w:p w14:paraId="5C900507" w14:textId="77777777" w:rsidR="00367029" w:rsidRDefault="00367029" w:rsidP="00367029">
      <w:pPr>
        <w:autoSpaceDE w:val="0"/>
        <w:autoSpaceDN w:val="0"/>
        <w:adjustRightInd w:val="0"/>
      </w:pPr>
      <w:r w:rsidRPr="00B403CD">
        <w:t>Okrem toho posúdenie rizika môže zahŕňať v prípade potreby (v závislosti od veľkosti projektu, dostupnosti údajov) – a malo by zahŕňať v prípade, že expozícia voči zostatkovému riziku je stále výrazná – pravdepodobnostnú analýzu rizika, ktorá obsahuje tieto kroky:</w:t>
      </w:r>
    </w:p>
    <w:p w14:paraId="1C1DD7FA" w14:textId="77777777" w:rsidR="007C2172" w:rsidRPr="00B403CD" w:rsidRDefault="007C2172" w:rsidP="00367029">
      <w:pPr>
        <w:autoSpaceDE w:val="0"/>
        <w:autoSpaceDN w:val="0"/>
        <w:adjustRightInd w:val="0"/>
        <w:rPr>
          <w:color w:val="000000"/>
        </w:rPr>
      </w:pPr>
    </w:p>
    <w:p w14:paraId="3FF36404" w14:textId="77777777" w:rsidR="00367029" w:rsidRPr="00120DC0" w:rsidRDefault="00367029" w:rsidP="00F26B1B">
      <w:pPr>
        <w:pStyle w:val="Odsekzoznamu"/>
        <w:numPr>
          <w:ilvl w:val="0"/>
          <w:numId w:val="22"/>
        </w:numPr>
        <w:autoSpaceDE w:val="0"/>
        <w:autoSpaceDN w:val="0"/>
        <w:adjustRightInd w:val="0"/>
        <w:rPr>
          <w:color w:val="000000"/>
        </w:rPr>
      </w:pPr>
      <w:r w:rsidRPr="00120DC0">
        <w:rPr>
          <w:color w:val="000000"/>
        </w:rPr>
        <w:t>Rozdelenie pravdepodobnosti pre kritické premenné</w:t>
      </w:r>
      <w:r w:rsidRPr="007C2172">
        <w:rPr>
          <w:color w:val="000000"/>
        </w:rPr>
        <w:t xml:space="preserve"> s informáciou o pravdepodobnosti výskytu určitej percentuálnej zmeny kritických premenných. Výpočet rozdelenia pravdepodobnosti kritických premenných je potrebný na vypracovanie kvantitatívnej analýzy rizika;</w:t>
      </w:r>
    </w:p>
    <w:p w14:paraId="7750D141" w14:textId="77777777" w:rsidR="00070252" w:rsidRPr="00120DC0" w:rsidRDefault="00367029" w:rsidP="00F26B1B">
      <w:pPr>
        <w:pStyle w:val="Odsekzoznamu"/>
        <w:numPr>
          <w:ilvl w:val="0"/>
          <w:numId w:val="22"/>
        </w:numPr>
        <w:autoSpaceDE w:val="0"/>
        <w:autoSpaceDN w:val="0"/>
        <w:adjustRightInd w:val="0"/>
        <w:rPr>
          <w:color w:val="000000"/>
        </w:rPr>
      </w:pPr>
      <w:r w:rsidRPr="00120DC0">
        <w:rPr>
          <w:color w:val="000000"/>
        </w:rPr>
        <w:t>Kvantitatívna analýza rizika založená na simulácii Monte Carlo, ktorá poskytuje rozdelenie pravdepodobnosti a štatistické ukazovatele spojené s očakávaným výsledkom, štandardná odchýlka (STD) atď. ukazovateľov finančnej a ekonomickej výkonnosti projektu.</w:t>
      </w:r>
    </w:p>
    <w:p w14:paraId="7278A8B7" w14:textId="77777777" w:rsidR="00070252" w:rsidRPr="006A5294" w:rsidRDefault="009A0FAA" w:rsidP="009A0FAA">
      <w:pPr>
        <w:pStyle w:val="MPCKO1"/>
      </w:pPr>
      <w:bookmarkStart w:id="37" w:name="_Toc527539377"/>
      <w:r>
        <w:t xml:space="preserve">3 </w:t>
      </w:r>
      <w:r w:rsidR="00D54762">
        <w:t>Metódy výpočtu podpory</w:t>
      </w:r>
      <w:bookmarkEnd w:id="37"/>
    </w:p>
    <w:p w14:paraId="19ED694C" w14:textId="77777777" w:rsidR="00070252" w:rsidRDefault="00070252" w:rsidP="00070252">
      <w:pPr>
        <w:jc w:val="both"/>
      </w:pPr>
    </w:p>
    <w:p w14:paraId="43ED42FB" w14:textId="77777777" w:rsidR="00070252" w:rsidRPr="0009064E" w:rsidRDefault="00070252" w:rsidP="00070252">
      <w:pPr>
        <w:jc w:val="both"/>
      </w:pPr>
      <w:r w:rsidRPr="0009064E">
        <w:t xml:space="preserve">Stanovenie oprávnených výdavkov podľa článku 61 všeobecného nariadenia zabezpečuje, že projekt má dosť finančných zdrojov na svoju realizáciu a bráni tomu, aby bola </w:t>
      </w:r>
      <w:r w:rsidR="003B7DB6">
        <w:t>prijímateľovi</w:t>
      </w:r>
      <w:r w:rsidRPr="0009064E">
        <w:t xml:space="preserve"> pomoci poskytnutá neprimeraná výhoda, t. j. nadmerné financovanie projektu. </w:t>
      </w:r>
    </w:p>
    <w:p w14:paraId="002F5DC5" w14:textId="77777777" w:rsidR="00070252" w:rsidRPr="0009064E" w:rsidRDefault="00070252" w:rsidP="00070252">
      <w:pPr>
        <w:jc w:val="both"/>
      </w:pPr>
      <w:r w:rsidRPr="0009064E">
        <w:t>Pre výpočet pomoci možno u projektov spadajúcich pod článok. 61 použiť nasledujúce metódy. Rozhodnutie o použití tej ktorej metódy je v kompetencii riadiaceho orgánu.</w:t>
      </w:r>
    </w:p>
    <w:p w14:paraId="342D0617" w14:textId="77777777" w:rsidR="00070252" w:rsidRPr="00FD10DF" w:rsidRDefault="00070252" w:rsidP="00070252">
      <w:pPr>
        <w:jc w:val="both"/>
        <w:rPr>
          <w:highlight w:val="yellow"/>
        </w:rPr>
      </w:pPr>
    </w:p>
    <w:p w14:paraId="3E4F6AB0" w14:textId="77777777" w:rsidR="00070252" w:rsidRDefault="00070252" w:rsidP="00070252">
      <w:pPr>
        <w:jc w:val="both"/>
      </w:pPr>
      <w:r w:rsidRPr="0009064E">
        <w:lastRenderedPageBreak/>
        <w:t>Najviac využívaná metóda je založená na miere „</w:t>
      </w:r>
      <w:r w:rsidRPr="0009064E">
        <w:rPr>
          <w:b/>
        </w:rPr>
        <w:t>medzery vo financovaní</w:t>
      </w:r>
      <w:r w:rsidRPr="0009064E">
        <w:t>“ projektu, t. j. podiele diskontovaných nákladov počiatočnej investície, ktorý nie je pokrytý diskontovaným čistým príjmom projektu.</w:t>
      </w:r>
    </w:p>
    <w:p w14:paraId="07BCAAFF" w14:textId="77777777" w:rsidR="00070252" w:rsidRPr="006A5294" w:rsidRDefault="006A5294" w:rsidP="00F94F1D">
      <w:pPr>
        <w:pStyle w:val="MPCKO2"/>
        <w:ind w:left="462" w:hanging="462"/>
      </w:pPr>
      <w:bookmarkStart w:id="38" w:name="_Toc406160864"/>
      <w:bookmarkStart w:id="39" w:name="_Toc406160954"/>
      <w:bookmarkStart w:id="40" w:name="_Toc527539378"/>
      <w:r>
        <w:t>3</w:t>
      </w:r>
      <w:r w:rsidR="00D54762">
        <w:t>.1</w:t>
      </w:r>
      <w:r w:rsidR="00070252" w:rsidRPr="006A5294">
        <w:t xml:space="preserve"> Postup výpočtu pri metóde finančnej medzery (Projekty, ktorých príjmy je možné dopredu odhadnúť)</w:t>
      </w:r>
      <w:bookmarkEnd w:id="38"/>
      <w:bookmarkEnd w:id="39"/>
      <w:bookmarkEnd w:id="40"/>
      <w:r w:rsidR="00070252" w:rsidRPr="006A5294">
        <w:tab/>
      </w:r>
    </w:p>
    <w:p w14:paraId="6BF8AFEE" w14:textId="77777777" w:rsidR="00070252" w:rsidRDefault="00070252" w:rsidP="00070252">
      <w:pPr>
        <w:rPr>
          <w:highlight w:val="yellow"/>
        </w:rPr>
      </w:pPr>
    </w:p>
    <w:p w14:paraId="3E823F9D" w14:textId="77777777" w:rsidR="00070252" w:rsidRPr="0009064E" w:rsidRDefault="00070252" w:rsidP="00070252">
      <w:pPr>
        <w:jc w:val="both"/>
      </w:pPr>
      <w:r w:rsidRPr="0009064E">
        <w:t>Princípom je výpočet časti investičných nákladov projektu, ktorá nemôže byť financovaná samotným projektom, a preto musí byť financovaná formou dotácie. Finančná medzera teda predstavuje rozdiel medzi súčasnou hodnotou investičných nákladov na projekt a čistým príjmom za určené referenčné obdobie, ktorý je primeraný pre dané kategórie investícií (rozdiel príjmov a prevádzkových výdavkov, tzn. určuje aká časť investičných nákladov projektu nie je pokrytá z príjmov projektu).</w:t>
      </w:r>
    </w:p>
    <w:p w14:paraId="25CF3125" w14:textId="77777777" w:rsidR="00070252" w:rsidRPr="0009064E" w:rsidRDefault="00070252" w:rsidP="00070252">
      <w:pPr>
        <w:jc w:val="both"/>
      </w:pPr>
    </w:p>
    <w:p w14:paraId="189D1A62" w14:textId="77777777" w:rsidR="00070252" w:rsidRPr="0009064E" w:rsidRDefault="00070252" w:rsidP="00070252">
      <w:pPr>
        <w:jc w:val="both"/>
      </w:pPr>
      <w:r w:rsidRPr="0009064E">
        <w:t>Príjmy zohľadňujeme vo výpočte za celé referenčné obdobie vrátane obdobia realizácie projektu. Skutočne vzniknuté príjmy monitorujeme za obdobie realizácie projektu a obdobie udržateľnosti.</w:t>
      </w:r>
    </w:p>
    <w:p w14:paraId="5E09CF15" w14:textId="77777777" w:rsidR="00070252" w:rsidRPr="0009064E" w:rsidRDefault="00070252" w:rsidP="00070252">
      <w:pPr>
        <w:jc w:val="both"/>
      </w:pPr>
    </w:p>
    <w:p w14:paraId="395A3C49" w14:textId="4F05749E" w:rsidR="00070252" w:rsidRPr="0009064E" w:rsidRDefault="00070252" w:rsidP="00070252">
      <w:pPr>
        <w:jc w:val="both"/>
      </w:pPr>
      <w:r w:rsidRPr="0009064E">
        <w:t>Pri výpočte finančnej medzery je nutné brať do úvahy len pomernú časti čistých príjmov. Napríklad, ak je oprávnených iba 70</w:t>
      </w:r>
      <w:r w:rsidR="00BE7BF3">
        <w:t xml:space="preserve"> </w:t>
      </w:r>
      <w:r w:rsidRPr="0009064E">
        <w:t>% diskontovaných investičných výdavkov, čo znamená, že 30</w:t>
      </w:r>
      <w:r w:rsidR="00BE7BF3">
        <w:t xml:space="preserve"> </w:t>
      </w:r>
      <w:r w:rsidRPr="0009064E">
        <w:t>% diskontovaných investičných výdavkov nie je oprávnených, potom 30</w:t>
      </w:r>
      <w:r w:rsidR="00BE7BF3">
        <w:t xml:space="preserve"> </w:t>
      </w:r>
      <w:r w:rsidRPr="0009064E">
        <w:t>% diskontovaných čistých príjmov takisto nemôže byť použitých pri výpočte metódy finančnej medzery.</w:t>
      </w:r>
    </w:p>
    <w:p w14:paraId="55C78653" w14:textId="77777777" w:rsidR="00070252" w:rsidRPr="0009064E" w:rsidRDefault="00070252" w:rsidP="00070252"/>
    <w:p w14:paraId="6278F4C5" w14:textId="77777777" w:rsidR="00070252" w:rsidRPr="0009064E" w:rsidRDefault="00070252" w:rsidP="00070252">
      <w:r w:rsidRPr="0009064E">
        <w:t xml:space="preserve">Krok 1. </w:t>
      </w:r>
      <w:r w:rsidRPr="0009064E">
        <w:rPr>
          <w:u w:val="single"/>
        </w:rPr>
        <w:t>Zistiť mieru medzery vo financovaní (R)</w:t>
      </w:r>
      <w:r w:rsidRPr="0009064E">
        <w:t xml:space="preserve">: </w:t>
      </w:r>
    </w:p>
    <w:p w14:paraId="55530281" w14:textId="77777777" w:rsidR="00070252" w:rsidRPr="0009064E" w:rsidRDefault="00070252" w:rsidP="00070252"/>
    <w:p w14:paraId="6C940001" w14:textId="77777777" w:rsidR="00070252" w:rsidRPr="0009064E" w:rsidRDefault="00070252" w:rsidP="00070252">
      <w:r w:rsidRPr="0009064E">
        <w:rPr>
          <w:b/>
        </w:rPr>
        <w:t xml:space="preserve">R = Max </w:t>
      </w:r>
      <w:r w:rsidRPr="0009064E">
        <w:t xml:space="preserve">EE/DIC </w:t>
      </w:r>
    </w:p>
    <w:p w14:paraId="04D10AD9" w14:textId="77777777" w:rsidR="00070252" w:rsidRPr="0009064E" w:rsidRDefault="00070252" w:rsidP="00070252"/>
    <w:p w14:paraId="6299CA45" w14:textId="77777777" w:rsidR="00070252" w:rsidRPr="0009064E" w:rsidRDefault="00070252" w:rsidP="00070252">
      <w:r w:rsidRPr="0009064E">
        <w:t xml:space="preserve">pričom </w:t>
      </w:r>
    </w:p>
    <w:p w14:paraId="40F1B60C" w14:textId="77777777" w:rsidR="00070252" w:rsidRPr="0009064E" w:rsidRDefault="00070252" w:rsidP="00070252"/>
    <w:p w14:paraId="13E1C34D" w14:textId="77777777" w:rsidR="00070252" w:rsidRPr="0009064E" w:rsidRDefault="00070252" w:rsidP="00070252">
      <w:r w:rsidRPr="0009064E">
        <w:t xml:space="preserve">Max EE sú maximálne oprávnené výdavky = DIC - DNR </w:t>
      </w:r>
    </w:p>
    <w:p w14:paraId="570E2BC0" w14:textId="77777777" w:rsidR="00070252" w:rsidRPr="0009064E" w:rsidRDefault="00070252" w:rsidP="00070252">
      <w:r w:rsidRPr="0009064E">
        <w:t xml:space="preserve">DIC sú diskontované investičné výdavky </w:t>
      </w:r>
    </w:p>
    <w:p w14:paraId="55B1493A" w14:textId="77777777" w:rsidR="00070252" w:rsidRPr="0009064E" w:rsidRDefault="00070252" w:rsidP="00070252">
      <w:r w:rsidRPr="0009064E">
        <w:t xml:space="preserve">DNR je diskontovaný čistý príjem = diskontované príjmy – diskontované prevádzkové výdavky + diskontovaná zostatková hodnota </w:t>
      </w:r>
    </w:p>
    <w:p w14:paraId="0D53262B" w14:textId="77777777" w:rsidR="00070252" w:rsidRPr="0009064E" w:rsidRDefault="00070252" w:rsidP="00070252"/>
    <w:p w14:paraId="49EBE8E8" w14:textId="77777777" w:rsidR="00070252" w:rsidRPr="0009064E" w:rsidRDefault="00070252" w:rsidP="00070252"/>
    <w:p w14:paraId="7A52E957" w14:textId="77777777" w:rsidR="00070252" w:rsidRPr="0009064E" w:rsidRDefault="00070252" w:rsidP="00070252">
      <w:r w:rsidRPr="0009064E">
        <w:t xml:space="preserve">Krok 2. </w:t>
      </w:r>
      <w:r w:rsidRPr="0009064E">
        <w:rPr>
          <w:u w:val="single"/>
        </w:rPr>
        <w:t>Zistiť „výšku modifikovaného základu pre výpočet NFP</w:t>
      </w:r>
      <w:r w:rsidRPr="0009064E">
        <w:t>, ktorá je násobkom miery finančnej medzery a oprávnených nákladov projektu:</w:t>
      </w:r>
    </w:p>
    <w:p w14:paraId="59CE9F5F" w14:textId="77777777" w:rsidR="00070252" w:rsidRPr="0009064E" w:rsidRDefault="00070252" w:rsidP="00070252"/>
    <w:p w14:paraId="66C4E796" w14:textId="77777777" w:rsidR="00070252" w:rsidRPr="0009064E" w:rsidRDefault="00070252" w:rsidP="00070252">
      <w:pPr>
        <w:rPr>
          <w:b/>
        </w:rPr>
      </w:pPr>
      <w:r w:rsidRPr="0009064E">
        <w:rPr>
          <w:b/>
        </w:rPr>
        <w:t xml:space="preserve">NDA = EC*R </w:t>
      </w:r>
    </w:p>
    <w:p w14:paraId="2AF54ACC" w14:textId="77777777" w:rsidR="00070252" w:rsidRPr="0009064E" w:rsidRDefault="00070252" w:rsidP="00070252"/>
    <w:p w14:paraId="1F433DC4" w14:textId="77777777" w:rsidR="00070252" w:rsidRPr="0009064E" w:rsidRDefault="00070252" w:rsidP="00070252">
      <w:r w:rsidRPr="0009064E">
        <w:t>pričom</w:t>
      </w:r>
    </w:p>
    <w:p w14:paraId="71A550E2" w14:textId="77777777" w:rsidR="00070252" w:rsidRPr="0009064E" w:rsidRDefault="00070252" w:rsidP="00070252">
      <w:r w:rsidRPr="0009064E">
        <w:t>EC sú oprávnené výdavky projektu.</w:t>
      </w:r>
    </w:p>
    <w:p w14:paraId="6E1CCF48" w14:textId="77777777" w:rsidR="00070252" w:rsidRPr="0009064E" w:rsidRDefault="00070252" w:rsidP="00070252"/>
    <w:p w14:paraId="6248ED9F" w14:textId="77777777" w:rsidR="00070252" w:rsidRPr="0009064E" w:rsidRDefault="00070252" w:rsidP="00070252">
      <w:r w:rsidRPr="0009064E">
        <w:t xml:space="preserve">Krok 3. </w:t>
      </w:r>
      <w:r w:rsidRPr="0009064E">
        <w:rPr>
          <w:u w:val="single"/>
        </w:rPr>
        <w:t xml:space="preserve">Zistiť (maximálny) príspevok z príslušného operačného programu </w:t>
      </w:r>
      <w:r w:rsidRPr="0009064E">
        <w:t xml:space="preserve">(príslušný európsky fond a štátny rozpočet): </w:t>
      </w:r>
    </w:p>
    <w:p w14:paraId="22D0DF54" w14:textId="77777777" w:rsidR="00070252" w:rsidRPr="0009064E" w:rsidRDefault="00070252" w:rsidP="00070252"/>
    <w:p w14:paraId="421468F1" w14:textId="7F79AA0A" w:rsidR="00070252" w:rsidRPr="0009064E" w:rsidRDefault="00070252" w:rsidP="00070252">
      <w:pPr>
        <w:rPr>
          <w:b/>
        </w:rPr>
      </w:pPr>
      <w:r w:rsidRPr="0009064E">
        <w:rPr>
          <w:b/>
        </w:rPr>
        <w:t xml:space="preserve">Príspevok z OP = </w:t>
      </w:r>
      <w:r w:rsidR="009337EA">
        <w:rPr>
          <w:b/>
        </w:rPr>
        <w:t>N</w:t>
      </w:r>
      <w:r w:rsidRPr="0009064E">
        <w:rPr>
          <w:b/>
        </w:rPr>
        <w:t>DA * (%</w:t>
      </w:r>
      <w:r w:rsidR="00BE7BF3">
        <w:rPr>
          <w:b/>
        </w:rPr>
        <w:t xml:space="preserve"> </w:t>
      </w:r>
      <w:r w:rsidRPr="0009064E">
        <w:rPr>
          <w:b/>
        </w:rPr>
        <w:t>pomoci EU + %</w:t>
      </w:r>
      <w:r w:rsidR="00BE7BF3">
        <w:rPr>
          <w:b/>
        </w:rPr>
        <w:t xml:space="preserve"> </w:t>
      </w:r>
      <w:r w:rsidRPr="0009064E">
        <w:rPr>
          <w:b/>
        </w:rPr>
        <w:t xml:space="preserve">pomoci ŠR) </w:t>
      </w:r>
    </w:p>
    <w:p w14:paraId="240AADB5" w14:textId="77777777" w:rsidR="00070252" w:rsidRPr="0009064E" w:rsidRDefault="00070252" w:rsidP="00070252"/>
    <w:p w14:paraId="48B6CF85" w14:textId="77777777" w:rsidR="00070252" w:rsidRPr="0009064E" w:rsidRDefault="00070252" w:rsidP="00070252">
      <w:pPr>
        <w:jc w:val="both"/>
      </w:pPr>
      <w:r w:rsidRPr="0009064E">
        <w:lastRenderedPageBreak/>
        <w:t>Výpočet príspevku z príslušného operačného programu (príslušný európsky fond a štátny rozpočet), ktorý je násobkom výšky modifikovaného základu pre výpočet NFP a súčtu % pomoci z fondu EÚ a štátneho rozpočtu vyčleneného na príslušnú prioritnú os v zmysle operačného programu.</w:t>
      </w:r>
    </w:p>
    <w:p w14:paraId="28440832" w14:textId="77777777" w:rsidR="00070252" w:rsidRPr="0009064E" w:rsidRDefault="00070252" w:rsidP="00070252">
      <w:pPr>
        <w:jc w:val="both"/>
      </w:pPr>
    </w:p>
    <w:p w14:paraId="54FB28B3" w14:textId="77777777" w:rsidR="00070252" w:rsidRPr="0009064E" w:rsidRDefault="00070252" w:rsidP="00070252">
      <w:pPr>
        <w:jc w:val="both"/>
      </w:pPr>
      <w:r w:rsidRPr="0009064E">
        <w:t>Tab. Príklad výpočtu podľa metódy finančnej medzery</w:t>
      </w:r>
    </w:p>
    <w:p w14:paraId="42554041" w14:textId="77777777" w:rsidR="00070252" w:rsidRPr="0009064E" w:rsidRDefault="00070252" w:rsidP="00070252">
      <w:pPr>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8"/>
        <w:gridCol w:w="1785"/>
        <w:gridCol w:w="1785"/>
        <w:gridCol w:w="1785"/>
        <w:gridCol w:w="1785"/>
      </w:tblGrid>
      <w:tr w:rsidR="00034644" w:rsidRPr="0009064E" w14:paraId="54C1A967" w14:textId="77777777" w:rsidTr="006A5294">
        <w:tc>
          <w:tcPr>
            <w:tcW w:w="1000" w:type="pct"/>
            <w:shd w:val="clear" w:color="auto" w:fill="C6D9F1"/>
          </w:tcPr>
          <w:p w14:paraId="5B8EE6A9" w14:textId="77777777" w:rsidR="00070252" w:rsidRPr="0009064E" w:rsidRDefault="00070252" w:rsidP="006A5294">
            <w:pPr>
              <w:pStyle w:val="Default"/>
              <w:jc w:val="both"/>
              <w:rPr>
                <w:b/>
                <w:bCs/>
                <w:sz w:val="22"/>
                <w:szCs w:val="22"/>
              </w:rPr>
            </w:pPr>
            <w:r w:rsidRPr="0009064E">
              <w:rPr>
                <w:b/>
                <w:bCs/>
                <w:sz w:val="22"/>
                <w:szCs w:val="22"/>
              </w:rPr>
              <w:t>Ukazovateľ</w:t>
            </w:r>
          </w:p>
        </w:tc>
        <w:tc>
          <w:tcPr>
            <w:tcW w:w="1000" w:type="pct"/>
            <w:shd w:val="clear" w:color="auto" w:fill="C6D9F1"/>
          </w:tcPr>
          <w:p w14:paraId="1433D490" w14:textId="77777777" w:rsidR="00070252" w:rsidRPr="0009064E" w:rsidRDefault="00127627" w:rsidP="006A5294">
            <w:pPr>
              <w:pStyle w:val="Default"/>
              <w:jc w:val="both"/>
              <w:rPr>
                <w:b/>
                <w:bCs/>
                <w:sz w:val="22"/>
                <w:szCs w:val="22"/>
              </w:rPr>
            </w:pPr>
            <w:r>
              <w:rPr>
                <w:b/>
                <w:bCs/>
                <w:sz w:val="22"/>
                <w:szCs w:val="22"/>
              </w:rPr>
              <w:t>Skratky</w:t>
            </w:r>
          </w:p>
        </w:tc>
        <w:tc>
          <w:tcPr>
            <w:tcW w:w="1000" w:type="pct"/>
            <w:shd w:val="clear" w:color="auto" w:fill="C6D9F1"/>
          </w:tcPr>
          <w:p w14:paraId="236E52C2" w14:textId="77777777" w:rsidR="00070252" w:rsidRPr="0009064E" w:rsidRDefault="00070252" w:rsidP="006A5294">
            <w:pPr>
              <w:pStyle w:val="Default"/>
              <w:jc w:val="both"/>
              <w:rPr>
                <w:b/>
                <w:bCs/>
                <w:sz w:val="22"/>
                <w:szCs w:val="22"/>
              </w:rPr>
            </w:pPr>
            <w:r w:rsidRPr="0009064E">
              <w:rPr>
                <w:b/>
                <w:bCs/>
                <w:sz w:val="22"/>
                <w:szCs w:val="22"/>
              </w:rPr>
              <w:t>Reálne hodnoty</w:t>
            </w:r>
          </w:p>
        </w:tc>
        <w:tc>
          <w:tcPr>
            <w:tcW w:w="1000" w:type="pct"/>
            <w:shd w:val="clear" w:color="auto" w:fill="C6D9F1"/>
          </w:tcPr>
          <w:p w14:paraId="5A69AA07" w14:textId="77777777" w:rsidR="00070252" w:rsidRPr="0009064E" w:rsidRDefault="00127627" w:rsidP="006A5294">
            <w:pPr>
              <w:pStyle w:val="Default"/>
              <w:jc w:val="both"/>
              <w:rPr>
                <w:b/>
                <w:bCs/>
                <w:sz w:val="22"/>
                <w:szCs w:val="22"/>
              </w:rPr>
            </w:pPr>
            <w:r>
              <w:rPr>
                <w:b/>
                <w:bCs/>
                <w:sz w:val="22"/>
                <w:szCs w:val="22"/>
              </w:rPr>
              <w:t>Skratky pre diskontované hodnoty</w:t>
            </w:r>
          </w:p>
        </w:tc>
        <w:tc>
          <w:tcPr>
            <w:tcW w:w="1000" w:type="pct"/>
            <w:shd w:val="clear" w:color="auto" w:fill="C6D9F1"/>
          </w:tcPr>
          <w:p w14:paraId="22ACA84F" w14:textId="77777777" w:rsidR="00070252" w:rsidRPr="0009064E" w:rsidRDefault="00070252" w:rsidP="006A5294">
            <w:pPr>
              <w:pStyle w:val="Default"/>
              <w:jc w:val="both"/>
            </w:pPr>
            <w:r w:rsidRPr="0009064E">
              <w:rPr>
                <w:b/>
                <w:bCs/>
                <w:sz w:val="22"/>
                <w:szCs w:val="22"/>
              </w:rPr>
              <w:t>Diskontované hodnoty</w:t>
            </w:r>
          </w:p>
        </w:tc>
      </w:tr>
      <w:tr w:rsidR="00070252" w:rsidRPr="0009064E" w14:paraId="3A687456" w14:textId="77777777" w:rsidTr="0056666E">
        <w:tc>
          <w:tcPr>
            <w:tcW w:w="1000" w:type="pct"/>
            <w:shd w:val="clear" w:color="auto" w:fill="auto"/>
          </w:tcPr>
          <w:p w14:paraId="248CB1EE" w14:textId="77777777" w:rsidR="00070252" w:rsidRPr="0009064E" w:rsidRDefault="00070252" w:rsidP="006A5294">
            <w:pPr>
              <w:pStyle w:val="Default"/>
              <w:jc w:val="both"/>
              <w:rPr>
                <w:b/>
                <w:bCs/>
                <w:sz w:val="22"/>
                <w:szCs w:val="22"/>
              </w:rPr>
            </w:pPr>
            <w:r w:rsidRPr="0009064E">
              <w:rPr>
                <w:b/>
                <w:bCs/>
                <w:sz w:val="22"/>
                <w:szCs w:val="22"/>
              </w:rPr>
              <w:t>Investičné výdavky</w:t>
            </w:r>
          </w:p>
        </w:tc>
        <w:tc>
          <w:tcPr>
            <w:tcW w:w="1000" w:type="pct"/>
            <w:shd w:val="clear" w:color="auto" w:fill="auto"/>
          </w:tcPr>
          <w:p w14:paraId="4492C550" w14:textId="77777777" w:rsidR="00070252" w:rsidRPr="0009064E" w:rsidRDefault="00070252" w:rsidP="006A5294">
            <w:pPr>
              <w:pStyle w:val="Default"/>
              <w:jc w:val="both"/>
              <w:rPr>
                <w:b/>
                <w:bCs/>
                <w:sz w:val="22"/>
                <w:szCs w:val="22"/>
              </w:rPr>
            </w:pPr>
            <w:r w:rsidRPr="0009064E">
              <w:rPr>
                <w:b/>
                <w:bCs/>
                <w:sz w:val="22"/>
                <w:szCs w:val="22"/>
              </w:rPr>
              <w:t xml:space="preserve">IC </w:t>
            </w:r>
          </w:p>
          <w:p w14:paraId="4DA85D56" w14:textId="77777777" w:rsidR="00070252" w:rsidRPr="0009064E" w:rsidRDefault="00070252" w:rsidP="006A5294">
            <w:pPr>
              <w:pStyle w:val="Default"/>
              <w:jc w:val="both"/>
              <w:rPr>
                <w:b/>
                <w:bCs/>
                <w:sz w:val="22"/>
                <w:szCs w:val="22"/>
              </w:rPr>
            </w:pPr>
          </w:p>
        </w:tc>
        <w:tc>
          <w:tcPr>
            <w:tcW w:w="1000" w:type="pct"/>
            <w:shd w:val="clear" w:color="auto" w:fill="auto"/>
          </w:tcPr>
          <w:p w14:paraId="4F118CD3" w14:textId="77777777" w:rsidR="00070252" w:rsidRPr="0009064E" w:rsidRDefault="00070252" w:rsidP="006A5294">
            <w:pPr>
              <w:pStyle w:val="Default"/>
              <w:jc w:val="both"/>
              <w:rPr>
                <w:bCs/>
                <w:sz w:val="22"/>
                <w:szCs w:val="22"/>
              </w:rPr>
            </w:pPr>
            <w:r w:rsidRPr="0009064E">
              <w:rPr>
                <w:bCs/>
                <w:sz w:val="22"/>
                <w:szCs w:val="22"/>
              </w:rPr>
              <w:t>287 000 000</w:t>
            </w:r>
          </w:p>
        </w:tc>
        <w:tc>
          <w:tcPr>
            <w:tcW w:w="1000" w:type="pct"/>
            <w:shd w:val="clear" w:color="auto" w:fill="auto"/>
          </w:tcPr>
          <w:p w14:paraId="6F5459A9" w14:textId="77777777" w:rsidR="00070252" w:rsidRPr="0009064E" w:rsidRDefault="00070252" w:rsidP="006A5294">
            <w:pPr>
              <w:pStyle w:val="Default"/>
              <w:jc w:val="both"/>
              <w:rPr>
                <w:b/>
                <w:bCs/>
                <w:sz w:val="22"/>
                <w:szCs w:val="22"/>
              </w:rPr>
            </w:pPr>
            <w:r w:rsidRPr="0009064E">
              <w:rPr>
                <w:b/>
                <w:bCs/>
                <w:sz w:val="22"/>
                <w:szCs w:val="22"/>
              </w:rPr>
              <w:t>DIC</w:t>
            </w:r>
          </w:p>
        </w:tc>
        <w:tc>
          <w:tcPr>
            <w:tcW w:w="1000" w:type="pct"/>
            <w:shd w:val="clear" w:color="auto" w:fill="auto"/>
          </w:tcPr>
          <w:p w14:paraId="12008E86" w14:textId="77777777" w:rsidR="00070252" w:rsidRPr="0009064E" w:rsidRDefault="00070252" w:rsidP="006A5294">
            <w:pPr>
              <w:jc w:val="both"/>
            </w:pPr>
            <w:r w:rsidRPr="0009064E">
              <w:t>228 380 125</w:t>
            </w:r>
          </w:p>
        </w:tc>
      </w:tr>
      <w:tr w:rsidR="00070252" w:rsidRPr="0009064E" w14:paraId="1FAE3001" w14:textId="77777777" w:rsidTr="0056666E">
        <w:tc>
          <w:tcPr>
            <w:tcW w:w="1000" w:type="pct"/>
            <w:shd w:val="clear" w:color="auto" w:fill="auto"/>
          </w:tcPr>
          <w:p w14:paraId="5443CFEC" w14:textId="77777777" w:rsidR="00070252" w:rsidRPr="0009064E" w:rsidRDefault="00070252" w:rsidP="006A5294">
            <w:pPr>
              <w:pStyle w:val="Default"/>
              <w:jc w:val="both"/>
              <w:rPr>
                <w:b/>
                <w:bCs/>
                <w:sz w:val="22"/>
                <w:szCs w:val="22"/>
              </w:rPr>
            </w:pPr>
            <w:r w:rsidRPr="0009064E">
              <w:rPr>
                <w:b/>
                <w:bCs/>
                <w:sz w:val="22"/>
                <w:szCs w:val="22"/>
              </w:rPr>
              <w:t>Oprávnené výdavky</w:t>
            </w:r>
          </w:p>
        </w:tc>
        <w:tc>
          <w:tcPr>
            <w:tcW w:w="1000" w:type="pct"/>
            <w:shd w:val="clear" w:color="auto" w:fill="auto"/>
          </w:tcPr>
          <w:p w14:paraId="488C71EB" w14:textId="77777777" w:rsidR="00070252" w:rsidRPr="0009064E" w:rsidRDefault="00070252" w:rsidP="006A5294">
            <w:pPr>
              <w:pStyle w:val="Default"/>
              <w:jc w:val="both"/>
              <w:rPr>
                <w:b/>
                <w:bCs/>
                <w:sz w:val="22"/>
                <w:szCs w:val="22"/>
              </w:rPr>
            </w:pPr>
            <w:r w:rsidRPr="0009064E">
              <w:rPr>
                <w:b/>
                <w:bCs/>
                <w:sz w:val="22"/>
                <w:szCs w:val="22"/>
              </w:rPr>
              <w:t xml:space="preserve">EC </w:t>
            </w:r>
          </w:p>
          <w:p w14:paraId="4EFB0E66" w14:textId="77777777" w:rsidR="00070252" w:rsidRPr="0009064E" w:rsidRDefault="00070252" w:rsidP="006A5294">
            <w:pPr>
              <w:pStyle w:val="Default"/>
              <w:jc w:val="both"/>
              <w:rPr>
                <w:b/>
                <w:bCs/>
                <w:sz w:val="22"/>
                <w:szCs w:val="22"/>
              </w:rPr>
            </w:pPr>
          </w:p>
        </w:tc>
        <w:tc>
          <w:tcPr>
            <w:tcW w:w="1000" w:type="pct"/>
            <w:shd w:val="clear" w:color="auto" w:fill="auto"/>
          </w:tcPr>
          <w:p w14:paraId="10644A94" w14:textId="77777777" w:rsidR="00070252" w:rsidRPr="0009064E" w:rsidRDefault="00070252" w:rsidP="006A5294">
            <w:pPr>
              <w:pStyle w:val="Default"/>
              <w:jc w:val="both"/>
              <w:rPr>
                <w:bCs/>
                <w:sz w:val="22"/>
                <w:szCs w:val="22"/>
              </w:rPr>
            </w:pPr>
            <w:r w:rsidRPr="0009064E">
              <w:rPr>
                <w:bCs/>
                <w:sz w:val="22"/>
                <w:szCs w:val="22"/>
              </w:rPr>
              <w:t>180 500 000</w:t>
            </w:r>
          </w:p>
        </w:tc>
        <w:tc>
          <w:tcPr>
            <w:tcW w:w="1000" w:type="pct"/>
            <w:shd w:val="clear" w:color="auto" w:fill="auto"/>
          </w:tcPr>
          <w:p w14:paraId="728DDC57" w14:textId="77777777" w:rsidR="00070252" w:rsidRPr="0009064E" w:rsidRDefault="00070252" w:rsidP="006A5294">
            <w:pPr>
              <w:pStyle w:val="Default"/>
              <w:jc w:val="both"/>
              <w:rPr>
                <w:b/>
                <w:bCs/>
                <w:sz w:val="22"/>
                <w:szCs w:val="22"/>
              </w:rPr>
            </w:pPr>
            <w:r w:rsidRPr="0009064E">
              <w:rPr>
                <w:b/>
                <w:bCs/>
                <w:sz w:val="22"/>
                <w:szCs w:val="22"/>
              </w:rPr>
              <w:t>DEC</w:t>
            </w:r>
          </w:p>
        </w:tc>
        <w:tc>
          <w:tcPr>
            <w:tcW w:w="1000" w:type="pct"/>
            <w:shd w:val="clear" w:color="auto" w:fill="auto"/>
          </w:tcPr>
          <w:p w14:paraId="474AE7DF" w14:textId="77777777" w:rsidR="00070252" w:rsidRPr="0009064E" w:rsidRDefault="00070252" w:rsidP="006A5294">
            <w:pPr>
              <w:jc w:val="both"/>
            </w:pPr>
            <w:r w:rsidRPr="0009064E">
              <w:t>170 886 095</w:t>
            </w:r>
          </w:p>
        </w:tc>
      </w:tr>
      <w:tr w:rsidR="00070252" w:rsidRPr="0009064E" w14:paraId="27C17174" w14:textId="77777777" w:rsidTr="0056666E">
        <w:tc>
          <w:tcPr>
            <w:tcW w:w="1000" w:type="pct"/>
            <w:shd w:val="clear" w:color="auto" w:fill="auto"/>
          </w:tcPr>
          <w:p w14:paraId="78744F9B" w14:textId="77777777" w:rsidR="00070252" w:rsidRPr="0009064E" w:rsidRDefault="00070252" w:rsidP="006A5294">
            <w:pPr>
              <w:pStyle w:val="Default"/>
              <w:jc w:val="both"/>
              <w:rPr>
                <w:b/>
                <w:bCs/>
                <w:sz w:val="22"/>
                <w:szCs w:val="22"/>
              </w:rPr>
            </w:pPr>
            <w:r w:rsidRPr="0009064E">
              <w:rPr>
                <w:b/>
                <w:bCs/>
                <w:sz w:val="22"/>
                <w:szCs w:val="22"/>
              </w:rPr>
              <w:t>Prevádzkové výdavky</w:t>
            </w:r>
          </w:p>
        </w:tc>
        <w:tc>
          <w:tcPr>
            <w:tcW w:w="1000" w:type="pct"/>
            <w:shd w:val="clear" w:color="auto" w:fill="auto"/>
          </w:tcPr>
          <w:p w14:paraId="211EE4D2" w14:textId="77777777" w:rsidR="00070252" w:rsidRPr="0009064E" w:rsidRDefault="00070252" w:rsidP="006A5294">
            <w:pPr>
              <w:pStyle w:val="Default"/>
              <w:jc w:val="both"/>
              <w:rPr>
                <w:b/>
                <w:bCs/>
                <w:sz w:val="22"/>
                <w:szCs w:val="22"/>
              </w:rPr>
            </w:pPr>
            <w:r w:rsidRPr="0009064E">
              <w:rPr>
                <w:b/>
                <w:bCs/>
                <w:sz w:val="22"/>
                <w:szCs w:val="22"/>
              </w:rPr>
              <w:t xml:space="preserve">OC </w:t>
            </w:r>
          </w:p>
          <w:p w14:paraId="393D1B57" w14:textId="77777777" w:rsidR="00070252" w:rsidRPr="0009064E" w:rsidRDefault="00070252" w:rsidP="006A5294">
            <w:pPr>
              <w:pStyle w:val="Default"/>
              <w:jc w:val="both"/>
              <w:rPr>
                <w:b/>
                <w:bCs/>
                <w:sz w:val="22"/>
                <w:szCs w:val="22"/>
              </w:rPr>
            </w:pPr>
          </w:p>
        </w:tc>
        <w:tc>
          <w:tcPr>
            <w:tcW w:w="1000" w:type="pct"/>
            <w:shd w:val="clear" w:color="auto" w:fill="auto"/>
          </w:tcPr>
          <w:p w14:paraId="784EA448" w14:textId="77777777" w:rsidR="00070252" w:rsidRPr="0009064E" w:rsidRDefault="00070252" w:rsidP="006A5294">
            <w:pPr>
              <w:pStyle w:val="Default"/>
              <w:jc w:val="both"/>
              <w:rPr>
                <w:bCs/>
                <w:sz w:val="22"/>
                <w:szCs w:val="22"/>
              </w:rPr>
            </w:pPr>
            <w:r w:rsidRPr="0009064E">
              <w:rPr>
                <w:bCs/>
                <w:sz w:val="22"/>
                <w:szCs w:val="22"/>
              </w:rPr>
              <w:t>217 000 000</w:t>
            </w:r>
          </w:p>
        </w:tc>
        <w:tc>
          <w:tcPr>
            <w:tcW w:w="1000" w:type="pct"/>
            <w:shd w:val="clear" w:color="auto" w:fill="auto"/>
          </w:tcPr>
          <w:p w14:paraId="7C014986" w14:textId="77777777" w:rsidR="00070252" w:rsidRPr="0009064E" w:rsidRDefault="00070252" w:rsidP="006A5294">
            <w:pPr>
              <w:pStyle w:val="Default"/>
              <w:jc w:val="both"/>
              <w:rPr>
                <w:b/>
                <w:bCs/>
                <w:sz w:val="22"/>
                <w:szCs w:val="22"/>
              </w:rPr>
            </w:pPr>
            <w:r w:rsidRPr="0009064E">
              <w:rPr>
                <w:b/>
                <w:bCs/>
                <w:sz w:val="22"/>
                <w:szCs w:val="22"/>
              </w:rPr>
              <w:t>DOC</w:t>
            </w:r>
          </w:p>
        </w:tc>
        <w:tc>
          <w:tcPr>
            <w:tcW w:w="1000" w:type="pct"/>
            <w:shd w:val="clear" w:color="auto" w:fill="auto"/>
          </w:tcPr>
          <w:p w14:paraId="586EA51F" w14:textId="77777777" w:rsidR="00070252" w:rsidRPr="0009064E" w:rsidRDefault="00070252" w:rsidP="006A5294">
            <w:pPr>
              <w:jc w:val="both"/>
            </w:pPr>
            <w:r w:rsidRPr="0009064E">
              <w:t>113 025 730</w:t>
            </w:r>
          </w:p>
        </w:tc>
      </w:tr>
      <w:tr w:rsidR="00070252" w:rsidRPr="0009064E" w14:paraId="4C808E27" w14:textId="77777777" w:rsidTr="0056666E">
        <w:tc>
          <w:tcPr>
            <w:tcW w:w="1000" w:type="pct"/>
            <w:shd w:val="clear" w:color="auto" w:fill="auto"/>
          </w:tcPr>
          <w:p w14:paraId="432A24CA" w14:textId="77777777" w:rsidR="00070252" w:rsidRPr="0009064E" w:rsidRDefault="00070252" w:rsidP="006A5294">
            <w:pPr>
              <w:pStyle w:val="Default"/>
              <w:jc w:val="both"/>
              <w:rPr>
                <w:b/>
                <w:bCs/>
                <w:sz w:val="22"/>
                <w:szCs w:val="22"/>
              </w:rPr>
            </w:pPr>
            <w:r w:rsidRPr="0009064E">
              <w:rPr>
                <w:b/>
                <w:bCs/>
                <w:sz w:val="22"/>
                <w:szCs w:val="22"/>
              </w:rPr>
              <w:t>Príjmy</w:t>
            </w:r>
          </w:p>
        </w:tc>
        <w:tc>
          <w:tcPr>
            <w:tcW w:w="1000" w:type="pct"/>
            <w:shd w:val="clear" w:color="auto" w:fill="auto"/>
          </w:tcPr>
          <w:p w14:paraId="42D23552" w14:textId="77777777" w:rsidR="00070252" w:rsidRPr="0009064E" w:rsidRDefault="00070252" w:rsidP="006A5294">
            <w:pPr>
              <w:pStyle w:val="Default"/>
              <w:jc w:val="both"/>
              <w:rPr>
                <w:b/>
                <w:bCs/>
                <w:sz w:val="22"/>
                <w:szCs w:val="22"/>
              </w:rPr>
            </w:pPr>
            <w:r w:rsidRPr="0009064E">
              <w:rPr>
                <w:b/>
                <w:bCs/>
                <w:sz w:val="22"/>
                <w:szCs w:val="22"/>
              </w:rPr>
              <w:t xml:space="preserve">R </w:t>
            </w:r>
          </w:p>
          <w:p w14:paraId="15545FC3" w14:textId="77777777" w:rsidR="00070252" w:rsidRPr="0009064E" w:rsidRDefault="00070252" w:rsidP="006A5294">
            <w:pPr>
              <w:pStyle w:val="Default"/>
              <w:jc w:val="both"/>
              <w:rPr>
                <w:b/>
                <w:bCs/>
                <w:sz w:val="22"/>
                <w:szCs w:val="22"/>
              </w:rPr>
            </w:pPr>
          </w:p>
        </w:tc>
        <w:tc>
          <w:tcPr>
            <w:tcW w:w="1000" w:type="pct"/>
            <w:shd w:val="clear" w:color="auto" w:fill="auto"/>
          </w:tcPr>
          <w:p w14:paraId="60EA6E91" w14:textId="77777777" w:rsidR="00070252" w:rsidRPr="0009064E" w:rsidRDefault="00070252" w:rsidP="006A5294">
            <w:pPr>
              <w:pStyle w:val="Default"/>
              <w:jc w:val="both"/>
              <w:rPr>
                <w:bCs/>
                <w:sz w:val="22"/>
                <w:szCs w:val="22"/>
              </w:rPr>
            </w:pPr>
            <w:r w:rsidRPr="0009064E">
              <w:rPr>
                <w:bCs/>
                <w:sz w:val="22"/>
                <w:szCs w:val="22"/>
              </w:rPr>
              <w:t>525 000 000</w:t>
            </w:r>
          </w:p>
        </w:tc>
        <w:tc>
          <w:tcPr>
            <w:tcW w:w="1000" w:type="pct"/>
            <w:shd w:val="clear" w:color="auto" w:fill="auto"/>
          </w:tcPr>
          <w:p w14:paraId="1CA08965" w14:textId="77777777" w:rsidR="00070252" w:rsidRPr="0009064E" w:rsidRDefault="00070252" w:rsidP="006A5294">
            <w:pPr>
              <w:pStyle w:val="Default"/>
              <w:jc w:val="both"/>
              <w:rPr>
                <w:b/>
                <w:bCs/>
                <w:sz w:val="22"/>
                <w:szCs w:val="22"/>
              </w:rPr>
            </w:pPr>
            <w:r w:rsidRPr="0009064E">
              <w:rPr>
                <w:b/>
                <w:bCs/>
                <w:sz w:val="22"/>
                <w:szCs w:val="22"/>
              </w:rPr>
              <w:t>DR</w:t>
            </w:r>
          </w:p>
        </w:tc>
        <w:tc>
          <w:tcPr>
            <w:tcW w:w="1000" w:type="pct"/>
            <w:shd w:val="clear" w:color="auto" w:fill="auto"/>
          </w:tcPr>
          <w:p w14:paraId="55C39D90" w14:textId="77777777" w:rsidR="00070252" w:rsidRPr="0009064E" w:rsidRDefault="00070252" w:rsidP="006A5294">
            <w:pPr>
              <w:jc w:val="both"/>
            </w:pPr>
            <w:r w:rsidRPr="0009064E">
              <w:t>273 596 285</w:t>
            </w:r>
          </w:p>
        </w:tc>
      </w:tr>
      <w:tr w:rsidR="00070252" w:rsidRPr="0009064E" w14:paraId="4C552FE2" w14:textId="77777777" w:rsidTr="0056666E">
        <w:tc>
          <w:tcPr>
            <w:tcW w:w="1000" w:type="pct"/>
            <w:shd w:val="clear" w:color="auto" w:fill="auto"/>
          </w:tcPr>
          <w:p w14:paraId="7ADA5D22" w14:textId="77777777" w:rsidR="00070252" w:rsidRPr="0009064E" w:rsidRDefault="00070252" w:rsidP="006A5294">
            <w:pPr>
              <w:pStyle w:val="Default"/>
              <w:jc w:val="both"/>
              <w:rPr>
                <w:b/>
                <w:bCs/>
                <w:sz w:val="22"/>
                <w:szCs w:val="22"/>
              </w:rPr>
            </w:pPr>
            <w:r w:rsidRPr="0009064E">
              <w:rPr>
                <w:b/>
                <w:bCs/>
                <w:sz w:val="22"/>
                <w:szCs w:val="22"/>
              </w:rPr>
              <w:t xml:space="preserve">Zostatková hodnota </w:t>
            </w:r>
          </w:p>
          <w:p w14:paraId="2633E1EE" w14:textId="77777777" w:rsidR="00070252" w:rsidRPr="0009064E" w:rsidRDefault="00070252" w:rsidP="006A5294">
            <w:pPr>
              <w:jc w:val="both"/>
              <w:rPr>
                <w:rFonts w:ascii="Arial" w:hAnsi="Arial" w:cs="Arial"/>
                <w:b/>
                <w:bCs/>
                <w:color w:val="000000"/>
              </w:rPr>
            </w:pPr>
          </w:p>
        </w:tc>
        <w:tc>
          <w:tcPr>
            <w:tcW w:w="1000" w:type="pct"/>
            <w:shd w:val="clear" w:color="auto" w:fill="auto"/>
          </w:tcPr>
          <w:p w14:paraId="2F6F359D" w14:textId="77777777" w:rsidR="00070252" w:rsidRPr="0009064E" w:rsidRDefault="00070252" w:rsidP="006A5294">
            <w:pPr>
              <w:pStyle w:val="Default"/>
              <w:jc w:val="both"/>
              <w:rPr>
                <w:b/>
                <w:bCs/>
                <w:sz w:val="22"/>
                <w:szCs w:val="22"/>
              </w:rPr>
            </w:pPr>
            <w:r w:rsidRPr="0009064E">
              <w:rPr>
                <w:b/>
                <w:bCs/>
                <w:sz w:val="22"/>
                <w:szCs w:val="22"/>
              </w:rPr>
              <w:t xml:space="preserve">RV </w:t>
            </w:r>
          </w:p>
          <w:p w14:paraId="58688CD1" w14:textId="77777777" w:rsidR="00070252" w:rsidRPr="0009064E" w:rsidRDefault="00070252" w:rsidP="006A5294">
            <w:pPr>
              <w:jc w:val="both"/>
              <w:rPr>
                <w:rFonts w:ascii="Arial" w:hAnsi="Arial" w:cs="Arial"/>
                <w:b/>
                <w:bCs/>
                <w:color w:val="000000"/>
              </w:rPr>
            </w:pPr>
          </w:p>
        </w:tc>
        <w:tc>
          <w:tcPr>
            <w:tcW w:w="1000" w:type="pct"/>
            <w:shd w:val="clear" w:color="auto" w:fill="auto"/>
          </w:tcPr>
          <w:p w14:paraId="3DEF2463" w14:textId="77777777" w:rsidR="00070252" w:rsidRPr="0009064E" w:rsidRDefault="00070252" w:rsidP="006A5294">
            <w:pPr>
              <w:jc w:val="both"/>
              <w:rPr>
                <w:rFonts w:ascii="Arial" w:hAnsi="Arial" w:cs="Arial"/>
                <w:bCs/>
                <w:color w:val="000000"/>
              </w:rPr>
            </w:pPr>
            <w:r w:rsidRPr="0009064E">
              <w:rPr>
                <w:rFonts w:ascii="Arial" w:hAnsi="Arial" w:cs="Arial"/>
                <w:bCs/>
                <w:color w:val="000000"/>
                <w:sz w:val="22"/>
                <w:szCs w:val="22"/>
              </w:rPr>
              <w:t>8 000 000</w:t>
            </w:r>
          </w:p>
        </w:tc>
        <w:tc>
          <w:tcPr>
            <w:tcW w:w="1000" w:type="pct"/>
            <w:shd w:val="clear" w:color="auto" w:fill="auto"/>
          </w:tcPr>
          <w:p w14:paraId="1A53CA7A" w14:textId="77777777" w:rsidR="00070252" w:rsidRPr="0009064E" w:rsidRDefault="00070252" w:rsidP="006A5294">
            <w:pPr>
              <w:jc w:val="both"/>
              <w:rPr>
                <w:rFonts w:ascii="Arial" w:hAnsi="Arial" w:cs="Arial"/>
                <w:b/>
                <w:bCs/>
                <w:color w:val="000000"/>
              </w:rPr>
            </w:pPr>
            <w:r w:rsidRPr="0009064E">
              <w:rPr>
                <w:rFonts w:ascii="Arial" w:hAnsi="Arial" w:cs="Arial"/>
                <w:b/>
                <w:bCs/>
                <w:color w:val="000000"/>
                <w:sz w:val="22"/>
                <w:szCs w:val="22"/>
              </w:rPr>
              <w:t>DRV</w:t>
            </w:r>
          </w:p>
        </w:tc>
        <w:tc>
          <w:tcPr>
            <w:tcW w:w="1000" w:type="pct"/>
            <w:shd w:val="clear" w:color="auto" w:fill="auto"/>
          </w:tcPr>
          <w:p w14:paraId="1B8B5C00" w14:textId="77777777" w:rsidR="00070252" w:rsidRPr="0009064E" w:rsidRDefault="00070252" w:rsidP="006A5294">
            <w:pPr>
              <w:jc w:val="both"/>
            </w:pPr>
            <w:r w:rsidRPr="0009064E">
              <w:t>2 565 211</w:t>
            </w:r>
          </w:p>
        </w:tc>
      </w:tr>
      <w:tr w:rsidR="00070252" w:rsidRPr="0009064E" w14:paraId="5F0E3671" w14:textId="77777777" w:rsidTr="0056666E">
        <w:tc>
          <w:tcPr>
            <w:tcW w:w="1000" w:type="pct"/>
            <w:shd w:val="clear" w:color="auto" w:fill="auto"/>
          </w:tcPr>
          <w:p w14:paraId="7B1AE0AB" w14:textId="77777777" w:rsidR="00070252" w:rsidRPr="0009064E" w:rsidRDefault="00070252" w:rsidP="006A5294">
            <w:pPr>
              <w:pStyle w:val="Default"/>
              <w:jc w:val="both"/>
              <w:rPr>
                <w:sz w:val="22"/>
                <w:szCs w:val="22"/>
              </w:rPr>
            </w:pPr>
            <w:r w:rsidRPr="0009064E">
              <w:rPr>
                <w:b/>
                <w:bCs/>
                <w:sz w:val="22"/>
                <w:szCs w:val="22"/>
              </w:rPr>
              <w:t>Referenčné obdob</w:t>
            </w:r>
            <w:r w:rsidR="00D53E6D">
              <w:rPr>
                <w:b/>
                <w:bCs/>
                <w:sz w:val="22"/>
                <w:szCs w:val="22"/>
              </w:rPr>
              <w:t>ie</w:t>
            </w:r>
            <w:r w:rsidRPr="0009064E">
              <w:rPr>
                <w:b/>
                <w:bCs/>
                <w:sz w:val="22"/>
                <w:szCs w:val="22"/>
              </w:rPr>
              <w:t xml:space="preserve"> </w:t>
            </w:r>
          </w:p>
          <w:p w14:paraId="5129EBB8" w14:textId="77777777" w:rsidR="00070252" w:rsidRPr="0009064E" w:rsidRDefault="00070252" w:rsidP="006A5294">
            <w:pPr>
              <w:jc w:val="both"/>
            </w:pPr>
          </w:p>
        </w:tc>
        <w:tc>
          <w:tcPr>
            <w:tcW w:w="1000" w:type="pct"/>
            <w:shd w:val="clear" w:color="auto" w:fill="auto"/>
          </w:tcPr>
          <w:p w14:paraId="5044C563" w14:textId="77777777" w:rsidR="00070252" w:rsidRPr="0009064E" w:rsidRDefault="00070252" w:rsidP="006A5294">
            <w:pPr>
              <w:jc w:val="both"/>
            </w:pPr>
          </w:p>
        </w:tc>
        <w:tc>
          <w:tcPr>
            <w:tcW w:w="1000" w:type="pct"/>
            <w:shd w:val="clear" w:color="auto" w:fill="auto"/>
          </w:tcPr>
          <w:p w14:paraId="7955551B" w14:textId="77777777" w:rsidR="00070252" w:rsidRPr="0009064E" w:rsidRDefault="00070252" w:rsidP="006A5294">
            <w:pPr>
              <w:jc w:val="center"/>
            </w:pPr>
            <w:r w:rsidRPr="0009064E">
              <w:t>30</w:t>
            </w:r>
          </w:p>
        </w:tc>
        <w:tc>
          <w:tcPr>
            <w:tcW w:w="1000" w:type="pct"/>
            <w:shd w:val="clear" w:color="auto" w:fill="auto"/>
          </w:tcPr>
          <w:p w14:paraId="59AEED76" w14:textId="77777777" w:rsidR="00070252" w:rsidRPr="0009064E" w:rsidRDefault="00070252" w:rsidP="006A5294">
            <w:pPr>
              <w:jc w:val="both"/>
            </w:pPr>
          </w:p>
        </w:tc>
        <w:tc>
          <w:tcPr>
            <w:tcW w:w="1000" w:type="pct"/>
            <w:shd w:val="clear" w:color="auto" w:fill="auto"/>
          </w:tcPr>
          <w:p w14:paraId="26D89D10" w14:textId="77777777" w:rsidR="00070252" w:rsidRPr="0009064E" w:rsidRDefault="00070252" w:rsidP="006A5294">
            <w:pPr>
              <w:jc w:val="both"/>
            </w:pPr>
            <w:r w:rsidRPr="0009064E">
              <w:t>30</w:t>
            </w:r>
          </w:p>
        </w:tc>
      </w:tr>
      <w:tr w:rsidR="00070252" w:rsidRPr="0009064E" w14:paraId="612687CA" w14:textId="77777777" w:rsidTr="0056666E">
        <w:tc>
          <w:tcPr>
            <w:tcW w:w="1000" w:type="pct"/>
            <w:shd w:val="clear" w:color="auto" w:fill="auto"/>
          </w:tcPr>
          <w:p w14:paraId="3F4B7FC4" w14:textId="77777777" w:rsidR="00070252" w:rsidRPr="0009064E" w:rsidRDefault="00070252" w:rsidP="006A5294">
            <w:pPr>
              <w:pStyle w:val="Default"/>
              <w:jc w:val="both"/>
              <w:rPr>
                <w:sz w:val="22"/>
                <w:szCs w:val="22"/>
              </w:rPr>
            </w:pPr>
            <w:r w:rsidRPr="0009064E">
              <w:rPr>
                <w:b/>
                <w:bCs/>
                <w:sz w:val="22"/>
                <w:szCs w:val="22"/>
              </w:rPr>
              <w:t>Miera spolufinancovania</w:t>
            </w:r>
            <w:r w:rsidR="00AE1340">
              <w:rPr>
                <w:b/>
                <w:bCs/>
                <w:sz w:val="22"/>
                <w:szCs w:val="22"/>
              </w:rPr>
              <w:t xml:space="preserve"> EÚ</w:t>
            </w:r>
            <w:r w:rsidRPr="0009064E">
              <w:rPr>
                <w:b/>
                <w:bCs/>
                <w:sz w:val="22"/>
                <w:szCs w:val="22"/>
              </w:rPr>
              <w:t xml:space="preserve"> </w:t>
            </w:r>
          </w:p>
          <w:p w14:paraId="4E715F90" w14:textId="77777777" w:rsidR="00070252" w:rsidRPr="0009064E" w:rsidRDefault="00070252" w:rsidP="006A5294">
            <w:pPr>
              <w:jc w:val="both"/>
            </w:pPr>
          </w:p>
        </w:tc>
        <w:tc>
          <w:tcPr>
            <w:tcW w:w="1000" w:type="pct"/>
            <w:shd w:val="clear" w:color="auto" w:fill="auto"/>
          </w:tcPr>
          <w:p w14:paraId="6E6BFD96" w14:textId="77777777" w:rsidR="00070252" w:rsidRPr="0009064E" w:rsidRDefault="00683553" w:rsidP="006A5294">
            <w:pPr>
              <w:jc w:val="both"/>
            </w:pPr>
            <w:r>
              <w:t>p</w:t>
            </w:r>
          </w:p>
        </w:tc>
        <w:tc>
          <w:tcPr>
            <w:tcW w:w="1000" w:type="pct"/>
            <w:shd w:val="clear" w:color="auto" w:fill="auto"/>
          </w:tcPr>
          <w:p w14:paraId="3FEC615F" w14:textId="797D32B2" w:rsidR="00070252" w:rsidRPr="0009064E" w:rsidRDefault="00070252" w:rsidP="006A5294">
            <w:pPr>
              <w:jc w:val="center"/>
            </w:pPr>
            <w:r w:rsidRPr="0009064E">
              <w:t>85</w:t>
            </w:r>
            <w:r w:rsidR="00BE7BF3">
              <w:t xml:space="preserve"> </w:t>
            </w:r>
            <w:r w:rsidRPr="0009064E">
              <w:t>%</w:t>
            </w:r>
          </w:p>
        </w:tc>
        <w:tc>
          <w:tcPr>
            <w:tcW w:w="1000" w:type="pct"/>
            <w:shd w:val="clear" w:color="auto" w:fill="auto"/>
          </w:tcPr>
          <w:p w14:paraId="6A605958" w14:textId="77777777" w:rsidR="00070252" w:rsidRPr="0009064E" w:rsidRDefault="00070252" w:rsidP="006A5294">
            <w:pPr>
              <w:jc w:val="both"/>
            </w:pPr>
          </w:p>
        </w:tc>
        <w:tc>
          <w:tcPr>
            <w:tcW w:w="1000" w:type="pct"/>
            <w:shd w:val="clear" w:color="auto" w:fill="auto"/>
          </w:tcPr>
          <w:p w14:paraId="0D506B06" w14:textId="530EDA9D" w:rsidR="00070252" w:rsidRPr="0009064E" w:rsidRDefault="00070252" w:rsidP="006A5294">
            <w:pPr>
              <w:jc w:val="both"/>
            </w:pPr>
            <w:r w:rsidRPr="0009064E">
              <w:t>85</w:t>
            </w:r>
            <w:r w:rsidR="00BE7BF3">
              <w:t xml:space="preserve"> </w:t>
            </w:r>
            <w:r w:rsidRPr="0009064E">
              <w:t>%</w:t>
            </w:r>
          </w:p>
        </w:tc>
      </w:tr>
      <w:tr w:rsidR="00070252" w:rsidRPr="0009064E" w14:paraId="27B25DA8" w14:textId="77777777" w:rsidTr="0056666E">
        <w:tc>
          <w:tcPr>
            <w:tcW w:w="1000" w:type="pct"/>
            <w:shd w:val="clear" w:color="auto" w:fill="auto"/>
          </w:tcPr>
          <w:p w14:paraId="1E343C95" w14:textId="77777777" w:rsidR="00070252" w:rsidRPr="0009064E" w:rsidRDefault="00070252" w:rsidP="006A5294">
            <w:pPr>
              <w:pStyle w:val="Default"/>
              <w:jc w:val="both"/>
              <w:rPr>
                <w:sz w:val="22"/>
                <w:szCs w:val="22"/>
              </w:rPr>
            </w:pPr>
            <w:r w:rsidRPr="0009064E">
              <w:rPr>
                <w:b/>
                <w:bCs/>
                <w:sz w:val="22"/>
                <w:szCs w:val="22"/>
              </w:rPr>
              <w:t xml:space="preserve">Diskontná sadzba </w:t>
            </w:r>
          </w:p>
          <w:p w14:paraId="5504DEB1" w14:textId="77777777" w:rsidR="00070252" w:rsidRPr="0009064E" w:rsidRDefault="00070252" w:rsidP="006A5294">
            <w:pPr>
              <w:jc w:val="both"/>
            </w:pPr>
          </w:p>
        </w:tc>
        <w:tc>
          <w:tcPr>
            <w:tcW w:w="1000" w:type="pct"/>
            <w:shd w:val="clear" w:color="auto" w:fill="auto"/>
          </w:tcPr>
          <w:p w14:paraId="36E01FD7" w14:textId="77777777" w:rsidR="00070252" w:rsidRPr="0009064E" w:rsidRDefault="00070252" w:rsidP="006A5294">
            <w:pPr>
              <w:jc w:val="both"/>
              <w:rPr>
                <w:b/>
              </w:rPr>
            </w:pPr>
            <w:r w:rsidRPr="0009064E">
              <w:rPr>
                <w:b/>
              </w:rPr>
              <w:t>i</w:t>
            </w:r>
          </w:p>
        </w:tc>
        <w:tc>
          <w:tcPr>
            <w:tcW w:w="1000" w:type="pct"/>
            <w:shd w:val="clear" w:color="auto" w:fill="auto"/>
          </w:tcPr>
          <w:p w14:paraId="4F325864" w14:textId="7BE58DED" w:rsidR="00070252" w:rsidRPr="0009064E" w:rsidRDefault="00070252" w:rsidP="006A5294">
            <w:pPr>
              <w:jc w:val="center"/>
            </w:pPr>
            <w:r w:rsidRPr="0009064E">
              <w:t>4</w:t>
            </w:r>
            <w:r w:rsidR="00BE7BF3">
              <w:t xml:space="preserve"> </w:t>
            </w:r>
            <w:r w:rsidRPr="0009064E">
              <w:t>%</w:t>
            </w:r>
          </w:p>
        </w:tc>
        <w:tc>
          <w:tcPr>
            <w:tcW w:w="1000" w:type="pct"/>
            <w:shd w:val="clear" w:color="auto" w:fill="auto"/>
          </w:tcPr>
          <w:p w14:paraId="5975D3A3" w14:textId="77777777" w:rsidR="00070252" w:rsidRPr="0009064E" w:rsidRDefault="00070252" w:rsidP="006A5294">
            <w:pPr>
              <w:jc w:val="both"/>
            </w:pPr>
          </w:p>
        </w:tc>
        <w:tc>
          <w:tcPr>
            <w:tcW w:w="1000" w:type="pct"/>
            <w:shd w:val="clear" w:color="auto" w:fill="auto"/>
          </w:tcPr>
          <w:p w14:paraId="1844EFDB" w14:textId="77777777" w:rsidR="00070252" w:rsidRPr="0009064E" w:rsidRDefault="00070252" w:rsidP="006A5294">
            <w:pPr>
              <w:jc w:val="both"/>
            </w:pPr>
          </w:p>
        </w:tc>
      </w:tr>
    </w:tbl>
    <w:p w14:paraId="00BFB93F" w14:textId="77777777" w:rsidR="00070252" w:rsidRPr="0009064E" w:rsidRDefault="00070252" w:rsidP="0007025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3071"/>
        <w:gridCol w:w="3071"/>
      </w:tblGrid>
      <w:tr w:rsidR="00070252" w:rsidRPr="0009064E" w14:paraId="1918F130" w14:textId="77777777" w:rsidTr="0056666E">
        <w:tc>
          <w:tcPr>
            <w:tcW w:w="3070" w:type="dxa"/>
            <w:shd w:val="clear" w:color="auto" w:fill="C6D9F1"/>
          </w:tcPr>
          <w:p w14:paraId="563256BD" w14:textId="77777777" w:rsidR="00070252" w:rsidRPr="0009064E" w:rsidRDefault="00070252" w:rsidP="006A5294">
            <w:pPr>
              <w:jc w:val="both"/>
              <w:rPr>
                <w:b/>
              </w:rPr>
            </w:pPr>
            <w:r w:rsidRPr="0009064E">
              <w:rPr>
                <w:b/>
              </w:rPr>
              <w:t>Ukazovateľ</w:t>
            </w:r>
          </w:p>
        </w:tc>
        <w:tc>
          <w:tcPr>
            <w:tcW w:w="6142" w:type="dxa"/>
            <w:gridSpan w:val="2"/>
            <w:shd w:val="clear" w:color="auto" w:fill="C6D9F1"/>
          </w:tcPr>
          <w:p w14:paraId="64367AFC" w14:textId="77777777" w:rsidR="00070252" w:rsidRPr="0009064E" w:rsidRDefault="00070252" w:rsidP="006A5294">
            <w:pPr>
              <w:jc w:val="center"/>
              <w:rPr>
                <w:b/>
              </w:rPr>
            </w:pPr>
            <w:r w:rsidRPr="0009064E">
              <w:rPr>
                <w:b/>
              </w:rPr>
              <w:t>Výpočet</w:t>
            </w:r>
          </w:p>
        </w:tc>
      </w:tr>
      <w:tr w:rsidR="00070252" w:rsidRPr="0009064E" w14:paraId="7964F74D" w14:textId="77777777" w:rsidTr="0056666E">
        <w:tc>
          <w:tcPr>
            <w:tcW w:w="3070" w:type="dxa"/>
            <w:shd w:val="clear" w:color="auto" w:fill="auto"/>
          </w:tcPr>
          <w:p w14:paraId="6CE97788" w14:textId="77777777" w:rsidR="00070252" w:rsidRPr="0009064E" w:rsidRDefault="00070252" w:rsidP="006A5294">
            <w:pPr>
              <w:jc w:val="both"/>
              <w:rPr>
                <w:b/>
              </w:rPr>
            </w:pPr>
            <w:r w:rsidRPr="0009064E">
              <w:rPr>
                <w:b/>
              </w:rPr>
              <w:t>Diskontované čisté príjmy</w:t>
            </w:r>
          </w:p>
        </w:tc>
        <w:tc>
          <w:tcPr>
            <w:tcW w:w="3071" w:type="dxa"/>
            <w:shd w:val="clear" w:color="auto" w:fill="auto"/>
          </w:tcPr>
          <w:p w14:paraId="539B85FB" w14:textId="77777777" w:rsidR="00070252" w:rsidRPr="0009064E" w:rsidRDefault="00070252" w:rsidP="006A5294">
            <w:pPr>
              <w:pStyle w:val="Default"/>
              <w:jc w:val="both"/>
              <w:rPr>
                <w:b/>
                <w:sz w:val="22"/>
                <w:szCs w:val="22"/>
              </w:rPr>
            </w:pPr>
            <w:r w:rsidRPr="0009064E">
              <w:rPr>
                <w:b/>
                <w:sz w:val="22"/>
                <w:szCs w:val="22"/>
              </w:rPr>
              <w:t xml:space="preserve">DNR = DR + DRV - DOC </w:t>
            </w:r>
          </w:p>
          <w:p w14:paraId="106FC57A" w14:textId="77777777" w:rsidR="00070252" w:rsidRPr="0009064E" w:rsidRDefault="00070252" w:rsidP="006A5294">
            <w:pPr>
              <w:jc w:val="both"/>
              <w:rPr>
                <w:b/>
              </w:rPr>
            </w:pPr>
          </w:p>
        </w:tc>
        <w:tc>
          <w:tcPr>
            <w:tcW w:w="3071" w:type="dxa"/>
            <w:shd w:val="clear" w:color="auto" w:fill="auto"/>
          </w:tcPr>
          <w:p w14:paraId="2AF7A440" w14:textId="77777777" w:rsidR="00070252" w:rsidRPr="0009064E" w:rsidRDefault="00070252" w:rsidP="006A5294">
            <w:pPr>
              <w:jc w:val="both"/>
            </w:pPr>
            <w:r w:rsidRPr="0009064E">
              <w:t>163 135 766</w:t>
            </w:r>
          </w:p>
        </w:tc>
      </w:tr>
      <w:tr w:rsidR="00070252" w:rsidRPr="0009064E" w14:paraId="395918EB" w14:textId="77777777" w:rsidTr="0056666E">
        <w:tc>
          <w:tcPr>
            <w:tcW w:w="3070" w:type="dxa"/>
            <w:shd w:val="clear" w:color="auto" w:fill="auto"/>
          </w:tcPr>
          <w:p w14:paraId="31702CD3" w14:textId="77777777" w:rsidR="00070252" w:rsidRPr="0009064E" w:rsidRDefault="00070252" w:rsidP="006A5294">
            <w:pPr>
              <w:jc w:val="both"/>
              <w:rPr>
                <w:b/>
              </w:rPr>
            </w:pPr>
            <w:r w:rsidRPr="0009064E">
              <w:rPr>
                <w:b/>
              </w:rPr>
              <w:t>Miera medzery vo financovaní</w:t>
            </w:r>
          </w:p>
        </w:tc>
        <w:tc>
          <w:tcPr>
            <w:tcW w:w="3071" w:type="dxa"/>
            <w:shd w:val="clear" w:color="auto" w:fill="auto"/>
          </w:tcPr>
          <w:p w14:paraId="37746B33" w14:textId="77777777" w:rsidR="00070252" w:rsidRPr="0009064E" w:rsidRDefault="00070252" w:rsidP="006A5294">
            <w:pPr>
              <w:pStyle w:val="Default"/>
              <w:jc w:val="both"/>
              <w:rPr>
                <w:b/>
                <w:sz w:val="22"/>
                <w:szCs w:val="22"/>
              </w:rPr>
            </w:pPr>
            <w:r w:rsidRPr="0009064E">
              <w:rPr>
                <w:b/>
                <w:sz w:val="22"/>
                <w:szCs w:val="22"/>
              </w:rPr>
              <w:t xml:space="preserve">R = Max EE / DIC </w:t>
            </w:r>
          </w:p>
          <w:p w14:paraId="0841677C" w14:textId="77777777" w:rsidR="00070252" w:rsidRPr="0009064E" w:rsidRDefault="00070252" w:rsidP="006A5294">
            <w:pPr>
              <w:jc w:val="both"/>
              <w:rPr>
                <w:b/>
              </w:rPr>
            </w:pPr>
          </w:p>
        </w:tc>
        <w:tc>
          <w:tcPr>
            <w:tcW w:w="3071" w:type="dxa"/>
            <w:shd w:val="clear" w:color="auto" w:fill="auto"/>
          </w:tcPr>
          <w:p w14:paraId="502BBF5C" w14:textId="77777777" w:rsidR="00070252" w:rsidRPr="0009064E" w:rsidRDefault="00070252" w:rsidP="006A5294">
            <w:pPr>
              <w:jc w:val="both"/>
            </w:pPr>
            <w:r w:rsidRPr="0009064E">
              <w:t>0,29</w:t>
            </w:r>
          </w:p>
        </w:tc>
      </w:tr>
      <w:tr w:rsidR="00070252" w:rsidRPr="0009064E" w14:paraId="056108BD" w14:textId="77777777" w:rsidTr="0056666E">
        <w:tc>
          <w:tcPr>
            <w:tcW w:w="3070" w:type="dxa"/>
            <w:shd w:val="clear" w:color="auto" w:fill="auto"/>
          </w:tcPr>
          <w:p w14:paraId="2A1DC9D0" w14:textId="77777777" w:rsidR="00070252" w:rsidRPr="0009064E" w:rsidRDefault="00070252" w:rsidP="006A5294">
            <w:pPr>
              <w:jc w:val="both"/>
              <w:rPr>
                <w:b/>
              </w:rPr>
            </w:pPr>
            <w:r w:rsidRPr="0009064E">
              <w:rPr>
                <w:b/>
              </w:rPr>
              <w:t>Základ pre výpočet podpory</w:t>
            </w:r>
          </w:p>
        </w:tc>
        <w:tc>
          <w:tcPr>
            <w:tcW w:w="3071" w:type="dxa"/>
            <w:shd w:val="clear" w:color="auto" w:fill="auto"/>
          </w:tcPr>
          <w:p w14:paraId="53D3ED41" w14:textId="77777777" w:rsidR="00070252" w:rsidRPr="0009064E" w:rsidRDefault="00070252" w:rsidP="006A5294">
            <w:pPr>
              <w:pStyle w:val="Default"/>
              <w:jc w:val="both"/>
              <w:rPr>
                <w:b/>
                <w:sz w:val="22"/>
                <w:szCs w:val="22"/>
              </w:rPr>
            </w:pPr>
            <w:r w:rsidRPr="0009064E">
              <w:rPr>
                <w:b/>
                <w:sz w:val="22"/>
                <w:szCs w:val="22"/>
              </w:rPr>
              <w:t xml:space="preserve">NDA = R * EC </w:t>
            </w:r>
          </w:p>
          <w:p w14:paraId="0441B567" w14:textId="77777777" w:rsidR="00070252" w:rsidRPr="0009064E" w:rsidRDefault="00070252" w:rsidP="006A5294">
            <w:pPr>
              <w:jc w:val="both"/>
              <w:rPr>
                <w:b/>
              </w:rPr>
            </w:pPr>
          </w:p>
        </w:tc>
        <w:tc>
          <w:tcPr>
            <w:tcW w:w="3071" w:type="dxa"/>
            <w:shd w:val="clear" w:color="auto" w:fill="auto"/>
          </w:tcPr>
          <w:p w14:paraId="67D8DB46" w14:textId="77777777" w:rsidR="00070252" w:rsidRPr="0009064E" w:rsidRDefault="00070252" w:rsidP="006A5294">
            <w:pPr>
              <w:jc w:val="both"/>
            </w:pPr>
            <w:r w:rsidRPr="0009064E">
              <w:t>51 565 813</w:t>
            </w:r>
          </w:p>
        </w:tc>
      </w:tr>
      <w:tr w:rsidR="00070252" w:rsidRPr="0009064E" w14:paraId="0F1871BE" w14:textId="77777777" w:rsidTr="0056666E">
        <w:tc>
          <w:tcPr>
            <w:tcW w:w="3070" w:type="dxa"/>
            <w:shd w:val="clear" w:color="auto" w:fill="auto"/>
          </w:tcPr>
          <w:p w14:paraId="7698FB3F" w14:textId="77777777" w:rsidR="00070252" w:rsidRPr="0009064E" w:rsidRDefault="00070252" w:rsidP="006A5294">
            <w:pPr>
              <w:jc w:val="both"/>
              <w:rPr>
                <w:b/>
              </w:rPr>
            </w:pPr>
            <w:r w:rsidRPr="0009064E">
              <w:rPr>
                <w:b/>
              </w:rPr>
              <w:t>Výška príspevku únie</w:t>
            </w:r>
          </w:p>
        </w:tc>
        <w:tc>
          <w:tcPr>
            <w:tcW w:w="3071" w:type="dxa"/>
            <w:shd w:val="clear" w:color="auto" w:fill="auto"/>
          </w:tcPr>
          <w:p w14:paraId="65EB8FC1" w14:textId="77777777" w:rsidR="00070252" w:rsidRPr="0009064E" w:rsidRDefault="00070252" w:rsidP="006A5294">
            <w:pPr>
              <w:pStyle w:val="Default"/>
              <w:jc w:val="both"/>
              <w:rPr>
                <w:b/>
                <w:sz w:val="22"/>
                <w:szCs w:val="22"/>
              </w:rPr>
            </w:pPr>
            <w:r w:rsidRPr="0009064E">
              <w:rPr>
                <w:b/>
                <w:bCs/>
                <w:sz w:val="22"/>
                <w:szCs w:val="22"/>
              </w:rPr>
              <w:t xml:space="preserve">EU = NDA * p </w:t>
            </w:r>
          </w:p>
          <w:p w14:paraId="18F6C04C" w14:textId="77777777" w:rsidR="00070252" w:rsidRPr="0009064E" w:rsidRDefault="00070252" w:rsidP="006A5294">
            <w:pPr>
              <w:jc w:val="both"/>
              <w:rPr>
                <w:b/>
              </w:rPr>
            </w:pPr>
          </w:p>
        </w:tc>
        <w:tc>
          <w:tcPr>
            <w:tcW w:w="3071" w:type="dxa"/>
            <w:shd w:val="clear" w:color="auto" w:fill="auto"/>
          </w:tcPr>
          <w:p w14:paraId="4D3BEDA3" w14:textId="77777777" w:rsidR="00070252" w:rsidRPr="0009064E" w:rsidRDefault="00070252" w:rsidP="006A5294">
            <w:pPr>
              <w:jc w:val="both"/>
            </w:pPr>
            <w:r w:rsidRPr="0009064E">
              <w:t>43 830 941</w:t>
            </w:r>
          </w:p>
        </w:tc>
      </w:tr>
      <w:tr w:rsidR="00070252" w:rsidRPr="0009064E" w14:paraId="5340D7E2" w14:textId="77777777" w:rsidTr="0056666E">
        <w:tc>
          <w:tcPr>
            <w:tcW w:w="3070" w:type="dxa"/>
            <w:shd w:val="clear" w:color="auto" w:fill="auto"/>
          </w:tcPr>
          <w:p w14:paraId="37D02C3D" w14:textId="77777777" w:rsidR="00070252" w:rsidRPr="0009064E" w:rsidRDefault="00070252" w:rsidP="006A5294">
            <w:pPr>
              <w:jc w:val="both"/>
              <w:rPr>
                <w:b/>
              </w:rPr>
            </w:pPr>
            <w:r w:rsidRPr="0009064E">
              <w:rPr>
                <w:b/>
              </w:rPr>
              <w:t>Výška národného spolufinancovania</w:t>
            </w:r>
          </w:p>
        </w:tc>
        <w:tc>
          <w:tcPr>
            <w:tcW w:w="3071" w:type="dxa"/>
            <w:shd w:val="clear" w:color="auto" w:fill="auto"/>
          </w:tcPr>
          <w:p w14:paraId="483DEC10" w14:textId="77777777" w:rsidR="00070252" w:rsidRPr="0009064E" w:rsidRDefault="00070252" w:rsidP="006A5294">
            <w:pPr>
              <w:pStyle w:val="Default"/>
              <w:jc w:val="both"/>
              <w:rPr>
                <w:sz w:val="22"/>
                <w:szCs w:val="22"/>
              </w:rPr>
            </w:pPr>
            <w:r w:rsidRPr="0009064E">
              <w:rPr>
                <w:b/>
                <w:bCs/>
                <w:sz w:val="22"/>
                <w:szCs w:val="22"/>
              </w:rPr>
              <w:t>NS = NDA * ns</w:t>
            </w:r>
          </w:p>
          <w:p w14:paraId="0A95FBBB" w14:textId="77777777" w:rsidR="00070252" w:rsidRPr="0009064E" w:rsidRDefault="00070252" w:rsidP="006A5294">
            <w:pPr>
              <w:jc w:val="both"/>
            </w:pPr>
          </w:p>
        </w:tc>
        <w:tc>
          <w:tcPr>
            <w:tcW w:w="3071" w:type="dxa"/>
            <w:shd w:val="clear" w:color="auto" w:fill="auto"/>
          </w:tcPr>
          <w:p w14:paraId="36E6E736" w14:textId="77777777" w:rsidR="00070252" w:rsidRPr="0009064E" w:rsidRDefault="00070252" w:rsidP="006A5294">
            <w:pPr>
              <w:jc w:val="both"/>
            </w:pPr>
            <w:r w:rsidRPr="0009064E">
              <w:t>7 734 872</w:t>
            </w:r>
          </w:p>
        </w:tc>
      </w:tr>
    </w:tbl>
    <w:p w14:paraId="79A6EE10" w14:textId="77777777" w:rsidR="00070252" w:rsidRPr="0009064E" w:rsidRDefault="006A5294" w:rsidP="006A5294">
      <w:pPr>
        <w:pStyle w:val="MPCKO2"/>
      </w:pPr>
      <w:bookmarkStart w:id="41" w:name="_Toc406160865"/>
      <w:bookmarkStart w:id="42" w:name="_Toc406160955"/>
      <w:bookmarkStart w:id="43" w:name="_Toc527539379"/>
      <w:r w:rsidRPr="0009064E">
        <w:t>3</w:t>
      </w:r>
      <w:r w:rsidR="00D54762">
        <w:t>.2</w:t>
      </w:r>
      <w:r w:rsidR="00070252" w:rsidRPr="0009064E">
        <w:tab/>
        <w:t>Postup výpočtu pri metóde paušálnej sadzby príjmov</w:t>
      </w:r>
      <w:bookmarkEnd w:id="41"/>
      <w:bookmarkEnd w:id="42"/>
      <w:bookmarkEnd w:id="43"/>
    </w:p>
    <w:p w14:paraId="1407CA69" w14:textId="77777777" w:rsidR="00070252" w:rsidRPr="0009064E" w:rsidRDefault="00070252" w:rsidP="00070252">
      <w:pPr>
        <w:jc w:val="both"/>
        <w:rPr>
          <w:b/>
          <w:smallCaps/>
          <w:color w:val="000000"/>
          <w:sz w:val="28"/>
          <w:szCs w:val="20"/>
          <w:lang w:eastAsia="ar-SA"/>
        </w:rPr>
      </w:pPr>
    </w:p>
    <w:p w14:paraId="09ECD585" w14:textId="77777777" w:rsidR="00070252" w:rsidRDefault="00070252" w:rsidP="00070252">
      <w:pPr>
        <w:jc w:val="both"/>
      </w:pPr>
      <w:r w:rsidRPr="0009064E">
        <w:t>Metóda paušálnej sadzby je prístup naplňujúci princíp zjednodušenia pre tento typ projektov pre programové obdobie 2014-2020. Jej podstatou je jednorazové zníženie oprávnených výdavkov percentuálnou paušálnou sadzbou definovanou na úrovni EK pre jednotlivé sektory a podsektory.</w:t>
      </w:r>
    </w:p>
    <w:p w14:paraId="5DC80BB5" w14:textId="77777777" w:rsidR="00F73709" w:rsidRDefault="00F73709" w:rsidP="00070252">
      <w:pPr>
        <w:jc w:val="both"/>
      </w:pPr>
    </w:p>
    <w:p w14:paraId="5E760807" w14:textId="4901B460" w:rsidR="00F73709" w:rsidRPr="0009064E" w:rsidRDefault="00F73709" w:rsidP="00070252">
      <w:pPr>
        <w:jc w:val="both"/>
      </w:pPr>
    </w:p>
    <w:p w14:paraId="711ED63F" w14:textId="77777777" w:rsidR="00070252" w:rsidRPr="0009064E" w:rsidRDefault="00070252" w:rsidP="00070252">
      <w:pPr>
        <w:jc w:val="both"/>
      </w:pPr>
    </w:p>
    <w:p w14:paraId="470E29B2" w14:textId="77777777" w:rsidR="00070252" w:rsidRPr="0009064E" w:rsidRDefault="00070252" w:rsidP="00070252">
      <w:pPr>
        <w:pStyle w:val="Default"/>
        <w:rPr>
          <w:b/>
          <w:bCs/>
          <w:i/>
          <w:iCs/>
          <w:sz w:val="22"/>
          <w:szCs w:val="22"/>
        </w:rPr>
      </w:pPr>
      <w:r w:rsidRPr="0009064E">
        <w:t xml:space="preserve">Krok 1. </w:t>
      </w:r>
      <w:r w:rsidRPr="0009064E">
        <w:rPr>
          <w:u w:val="single"/>
        </w:rPr>
        <w:t>Zistiť mieru medzery vo financovaní (R)</w:t>
      </w:r>
      <w:r w:rsidRPr="0009064E">
        <w:t>:</w:t>
      </w:r>
    </w:p>
    <w:p w14:paraId="0562606B" w14:textId="77777777" w:rsidR="00070252" w:rsidRPr="0009064E" w:rsidRDefault="00070252" w:rsidP="00070252">
      <w:pPr>
        <w:pStyle w:val="Default"/>
        <w:rPr>
          <w:b/>
          <w:bCs/>
          <w:i/>
          <w:iCs/>
          <w:sz w:val="22"/>
          <w:szCs w:val="22"/>
        </w:rPr>
      </w:pPr>
    </w:p>
    <w:p w14:paraId="2A1998AD" w14:textId="77777777" w:rsidR="00070252" w:rsidRPr="0009064E" w:rsidRDefault="00070252" w:rsidP="00070252">
      <w:pPr>
        <w:pStyle w:val="Default"/>
        <w:rPr>
          <w:sz w:val="22"/>
          <w:szCs w:val="22"/>
        </w:rPr>
      </w:pPr>
      <w:r w:rsidRPr="0009064E">
        <w:rPr>
          <w:b/>
          <w:bCs/>
          <w:i/>
          <w:iCs/>
          <w:sz w:val="22"/>
          <w:szCs w:val="22"/>
        </w:rPr>
        <w:t xml:space="preserve">NDA = EC * (1-FR) </w:t>
      </w:r>
    </w:p>
    <w:p w14:paraId="3302FA58" w14:textId="77777777" w:rsidR="00070252" w:rsidRPr="0009064E" w:rsidRDefault="00070252" w:rsidP="00070252">
      <w:pPr>
        <w:pStyle w:val="Default"/>
        <w:rPr>
          <w:i/>
          <w:iCs/>
          <w:sz w:val="22"/>
          <w:szCs w:val="22"/>
        </w:rPr>
      </w:pPr>
    </w:p>
    <w:p w14:paraId="144ABF1D" w14:textId="77777777" w:rsidR="00070252" w:rsidRPr="0009064E" w:rsidRDefault="00070252" w:rsidP="00070252">
      <w:pPr>
        <w:pStyle w:val="Default"/>
        <w:rPr>
          <w:rFonts w:ascii="Times New Roman" w:hAnsi="Times New Roman" w:cs="Times New Roman"/>
          <w:color w:val="auto"/>
          <w:lang w:eastAsia="en-GB"/>
        </w:rPr>
      </w:pPr>
      <w:r w:rsidRPr="0009064E">
        <w:rPr>
          <w:rFonts w:ascii="Times New Roman" w:hAnsi="Times New Roman" w:cs="Times New Roman"/>
          <w:color w:val="auto"/>
          <w:lang w:eastAsia="en-GB"/>
        </w:rPr>
        <w:t xml:space="preserve">NDA…… základ pre výpočet podpory nediskontovaný </w:t>
      </w:r>
    </w:p>
    <w:p w14:paraId="12927768" w14:textId="77777777" w:rsidR="00070252" w:rsidRPr="0009064E" w:rsidRDefault="00070252" w:rsidP="00070252">
      <w:pPr>
        <w:pStyle w:val="Default"/>
        <w:rPr>
          <w:rFonts w:ascii="Times New Roman" w:hAnsi="Times New Roman" w:cs="Times New Roman"/>
          <w:color w:val="auto"/>
          <w:lang w:eastAsia="en-GB"/>
        </w:rPr>
      </w:pPr>
      <w:r w:rsidRPr="0009064E">
        <w:rPr>
          <w:rFonts w:ascii="Times New Roman" w:hAnsi="Times New Roman" w:cs="Times New Roman"/>
          <w:color w:val="auto"/>
          <w:lang w:eastAsia="en-GB"/>
        </w:rPr>
        <w:t xml:space="preserve">EC……oprávnené  výdavky </w:t>
      </w:r>
    </w:p>
    <w:p w14:paraId="17FB8948" w14:textId="77777777" w:rsidR="00070252" w:rsidRPr="0009064E" w:rsidRDefault="00070252" w:rsidP="00070252">
      <w:pPr>
        <w:pStyle w:val="Default"/>
        <w:rPr>
          <w:rFonts w:ascii="Times New Roman" w:hAnsi="Times New Roman" w:cs="Times New Roman"/>
          <w:color w:val="auto"/>
          <w:lang w:eastAsia="en-GB"/>
        </w:rPr>
      </w:pPr>
      <w:r w:rsidRPr="0009064E">
        <w:rPr>
          <w:rFonts w:ascii="Times New Roman" w:hAnsi="Times New Roman" w:cs="Times New Roman"/>
          <w:color w:val="auto"/>
          <w:lang w:eastAsia="en-GB"/>
        </w:rPr>
        <w:t xml:space="preserve">FR……paušálna sadzba </w:t>
      </w:r>
    </w:p>
    <w:p w14:paraId="27CE40FC" w14:textId="77777777" w:rsidR="00070252" w:rsidRPr="0009064E" w:rsidRDefault="00070252" w:rsidP="00070252">
      <w:pPr>
        <w:jc w:val="both"/>
      </w:pPr>
      <w:r w:rsidRPr="0009064E">
        <w:t>Celkové oprávnené výdavky projektu sa znížia o príjmy vytvorené projektom, ktoré sú vyjadrené percentuálnou sadzbou.</w:t>
      </w:r>
    </w:p>
    <w:p w14:paraId="2E9FD55F" w14:textId="77777777" w:rsidR="00070252" w:rsidRPr="0009064E" w:rsidRDefault="00070252" w:rsidP="00070252">
      <w:pPr>
        <w:jc w:val="both"/>
      </w:pPr>
    </w:p>
    <w:p w14:paraId="44C95E79" w14:textId="77777777" w:rsidR="00070252" w:rsidRPr="0009064E" w:rsidRDefault="00070252" w:rsidP="00070252">
      <w:pPr>
        <w:pStyle w:val="Default"/>
      </w:pPr>
      <w:r w:rsidRPr="0009064E">
        <w:t>Krok 2.</w:t>
      </w:r>
      <w:r w:rsidRPr="0009064E">
        <w:rPr>
          <w:u w:val="single"/>
        </w:rPr>
        <w:t>Výška príspevku Únie</w:t>
      </w:r>
    </w:p>
    <w:p w14:paraId="7C3A344D" w14:textId="77777777" w:rsidR="00070252" w:rsidRPr="0009064E" w:rsidRDefault="00070252" w:rsidP="00070252">
      <w:pPr>
        <w:pStyle w:val="Default"/>
        <w:rPr>
          <w:b/>
          <w:bCs/>
          <w:i/>
          <w:iCs/>
          <w:sz w:val="22"/>
          <w:szCs w:val="22"/>
        </w:rPr>
      </w:pPr>
    </w:p>
    <w:p w14:paraId="5FF560D6" w14:textId="77777777" w:rsidR="00070252" w:rsidRPr="0009064E" w:rsidRDefault="00070252" w:rsidP="00070252">
      <w:pPr>
        <w:pStyle w:val="Default"/>
        <w:rPr>
          <w:sz w:val="22"/>
          <w:szCs w:val="22"/>
        </w:rPr>
      </w:pPr>
      <w:r w:rsidRPr="0009064E">
        <w:rPr>
          <w:b/>
          <w:bCs/>
          <w:i/>
          <w:iCs/>
          <w:sz w:val="22"/>
          <w:szCs w:val="22"/>
        </w:rPr>
        <w:t xml:space="preserve">EU = NDA * p </w:t>
      </w:r>
    </w:p>
    <w:p w14:paraId="6390DD1D" w14:textId="77777777" w:rsidR="00070252" w:rsidRPr="0009064E" w:rsidRDefault="00070252" w:rsidP="00070252">
      <w:pPr>
        <w:jc w:val="both"/>
        <w:rPr>
          <w:i/>
          <w:iCs/>
          <w:sz w:val="22"/>
          <w:szCs w:val="22"/>
        </w:rPr>
      </w:pPr>
    </w:p>
    <w:p w14:paraId="477F868A" w14:textId="77777777" w:rsidR="00070252" w:rsidRPr="0009064E" w:rsidRDefault="00070252" w:rsidP="00070252">
      <w:pPr>
        <w:pStyle w:val="Default"/>
        <w:rPr>
          <w:rFonts w:ascii="Times New Roman" w:hAnsi="Times New Roman" w:cs="Times New Roman"/>
          <w:color w:val="auto"/>
          <w:lang w:eastAsia="en-GB"/>
        </w:rPr>
      </w:pPr>
      <w:r w:rsidRPr="0009064E">
        <w:rPr>
          <w:rFonts w:ascii="Times New Roman" w:hAnsi="Times New Roman" w:cs="Times New Roman"/>
          <w:color w:val="auto"/>
          <w:lang w:eastAsia="en-GB"/>
        </w:rPr>
        <w:t>p……maximálna miera spolufinancovania pre danú prioritnú os</w:t>
      </w:r>
    </w:p>
    <w:p w14:paraId="02593048" w14:textId="77777777" w:rsidR="00070252" w:rsidRPr="0009064E" w:rsidRDefault="00070252" w:rsidP="00070252">
      <w:pPr>
        <w:pStyle w:val="Default"/>
        <w:rPr>
          <w:rFonts w:ascii="Times New Roman" w:hAnsi="Times New Roman" w:cs="Times New Roman"/>
          <w:color w:val="auto"/>
          <w:lang w:eastAsia="en-GB"/>
        </w:rPr>
      </w:pPr>
    </w:p>
    <w:p w14:paraId="329DECF5" w14:textId="5DEA8CC4" w:rsidR="00070252" w:rsidRPr="0009064E" w:rsidRDefault="00070252" w:rsidP="00070252">
      <w:pPr>
        <w:pStyle w:val="Default"/>
        <w:rPr>
          <w:rFonts w:ascii="Times New Roman" w:hAnsi="Times New Roman" w:cs="Times New Roman"/>
          <w:color w:val="auto"/>
          <w:lang w:eastAsia="en-GB"/>
        </w:rPr>
      </w:pPr>
      <w:r w:rsidRPr="0009064E">
        <w:rPr>
          <w:rFonts w:ascii="Times New Roman" w:hAnsi="Times New Roman" w:cs="Times New Roman"/>
          <w:color w:val="auto"/>
          <w:lang w:eastAsia="en-GB"/>
        </w:rPr>
        <w:t>Tab. Paušálne sadzby podľa sektorov (príloha V</w:t>
      </w:r>
      <w:r w:rsidR="004062DC">
        <w:rPr>
          <w:rFonts w:ascii="Times New Roman" w:hAnsi="Times New Roman" w:cs="Times New Roman"/>
          <w:color w:val="auto"/>
          <w:lang w:eastAsia="en-GB"/>
        </w:rPr>
        <w:t xml:space="preserve"> všeobecného </w:t>
      </w:r>
      <w:r w:rsidRPr="0009064E">
        <w:rPr>
          <w:rFonts w:ascii="Times New Roman" w:hAnsi="Times New Roman" w:cs="Times New Roman"/>
          <w:color w:val="auto"/>
          <w:lang w:eastAsia="en-GB"/>
        </w:rPr>
        <w:t>nariadenia )</w:t>
      </w:r>
    </w:p>
    <w:p w14:paraId="6F9852B0" w14:textId="77777777" w:rsidR="00070252" w:rsidRPr="0009064E" w:rsidRDefault="00070252" w:rsidP="00070252">
      <w:pPr>
        <w:pStyle w:val="Default"/>
        <w:rPr>
          <w:rFonts w:ascii="Times New Roman" w:hAnsi="Times New Roman" w:cs="Times New Roman"/>
          <w:color w:val="auto"/>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6"/>
      </w:tblGrid>
      <w:tr w:rsidR="00070252" w:rsidRPr="0009064E" w14:paraId="35EBC7F1" w14:textId="77777777" w:rsidTr="0056666E">
        <w:tc>
          <w:tcPr>
            <w:tcW w:w="4606" w:type="dxa"/>
            <w:shd w:val="clear" w:color="auto" w:fill="C6D9F1"/>
          </w:tcPr>
          <w:p w14:paraId="41A9190E" w14:textId="77777777" w:rsidR="00070252" w:rsidRPr="0009064E" w:rsidRDefault="00070252" w:rsidP="006A5294">
            <w:pPr>
              <w:pStyle w:val="Default"/>
              <w:jc w:val="center"/>
              <w:rPr>
                <w:rFonts w:ascii="Times New Roman" w:hAnsi="Times New Roman" w:cs="Times New Roman"/>
                <w:color w:val="auto"/>
                <w:lang w:eastAsia="en-GB"/>
              </w:rPr>
            </w:pPr>
            <w:r w:rsidRPr="0009064E">
              <w:rPr>
                <w:rFonts w:ascii="Times New Roman" w:hAnsi="Times New Roman" w:cs="Times New Roman"/>
                <w:color w:val="auto"/>
                <w:lang w:eastAsia="en-GB"/>
              </w:rPr>
              <w:t>Sektor</w:t>
            </w:r>
          </w:p>
        </w:tc>
        <w:tc>
          <w:tcPr>
            <w:tcW w:w="4606" w:type="dxa"/>
            <w:shd w:val="clear" w:color="auto" w:fill="C6D9F1"/>
          </w:tcPr>
          <w:p w14:paraId="0F331651" w14:textId="77777777" w:rsidR="00070252" w:rsidRPr="0009064E" w:rsidRDefault="00070252" w:rsidP="006A5294">
            <w:pPr>
              <w:pStyle w:val="Default"/>
              <w:jc w:val="center"/>
              <w:rPr>
                <w:rFonts w:ascii="Times New Roman" w:hAnsi="Times New Roman" w:cs="Times New Roman"/>
                <w:color w:val="auto"/>
                <w:lang w:eastAsia="en-GB"/>
              </w:rPr>
            </w:pPr>
            <w:r w:rsidRPr="0009064E">
              <w:rPr>
                <w:rFonts w:ascii="Times New Roman" w:hAnsi="Times New Roman" w:cs="Times New Roman"/>
                <w:color w:val="auto"/>
                <w:lang w:eastAsia="en-GB"/>
              </w:rPr>
              <w:t>Paušálna sadzba</w:t>
            </w:r>
          </w:p>
        </w:tc>
      </w:tr>
      <w:tr w:rsidR="00070252" w:rsidRPr="0009064E" w14:paraId="35EFA909" w14:textId="77777777" w:rsidTr="0056666E">
        <w:tc>
          <w:tcPr>
            <w:tcW w:w="4606" w:type="dxa"/>
            <w:shd w:val="clear" w:color="auto" w:fill="auto"/>
          </w:tcPr>
          <w:p w14:paraId="316229F7" w14:textId="77777777" w:rsidR="00070252" w:rsidRPr="0009064E" w:rsidRDefault="00070252" w:rsidP="006A5294">
            <w:pPr>
              <w:pStyle w:val="Default"/>
              <w:jc w:val="center"/>
              <w:rPr>
                <w:rFonts w:ascii="Times New Roman" w:hAnsi="Times New Roman" w:cs="Times New Roman"/>
                <w:color w:val="auto"/>
                <w:lang w:eastAsia="en-GB"/>
              </w:rPr>
            </w:pPr>
            <w:r w:rsidRPr="0009064E">
              <w:rPr>
                <w:rFonts w:ascii="Times New Roman" w:hAnsi="Times New Roman" w:cs="Times New Roman"/>
                <w:color w:val="auto"/>
                <w:lang w:eastAsia="en-GB"/>
              </w:rPr>
              <w:t>Cesty</w:t>
            </w:r>
          </w:p>
        </w:tc>
        <w:tc>
          <w:tcPr>
            <w:tcW w:w="4606" w:type="dxa"/>
            <w:shd w:val="clear" w:color="auto" w:fill="auto"/>
          </w:tcPr>
          <w:p w14:paraId="1DF0B22A" w14:textId="3082B595" w:rsidR="00070252" w:rsidRPr="0009064E" w:rsidRDefault="00070252" w:rsidP="006A5294">
            <w:pPr>
              <w:pStyle w:val="Default"/>
              <w:jc w:val="center"/>
              <w:rPr>
                <w:rFonts w:ascii="Times New Roman" w:hAnsi="Times New Roman" w:cs="Times New Roman"/>
                <w:color w:val="auto"/>
                <w:lang w:eastAsia="en-GB"/>
              </w:rPr>
            </w:pPr>
            <w:r w:rsidRPr="0009064E">
              <w:rPr>
                <w:rFonts w:ascii="Times New Roman" w:hAnsi="Times New Roman" w:cs="Times New Roman"/>
                <w:color w:val="auto"/>
                <w:lang w:eastAsia="en-GB"/>
              </w:rPr>
              <w:t>30</w:t>
            </w:r>
            <w:r w:rsidR="00BE7BF3">
              <w:rPr>
                <w:rFonts w:ascii="Times New Roman" w:hAnsi="Times New Roman" w:cs="Times New Roman"/>
                <w:color w:val="auto"/>
                <w:lang w:eastAsia="en-GB"/>
              </w:rPr>
              <w:t xml:space="preserve"> </w:t>
            </w:r>
            <w:r w:rsidRPr="0009064E">
              <w:rPr>
                <w:rFonts w:ascii="Times New Roman" w:hAnsi="Times New Roman" w:cs="Times New Roman"/>
                <w:color w:val="auto"/>
                <w:lang w:eastAsia="en-GB"/>
              </w:rPr>
              <w:t>%</w:t>
            </w:r>
          </w:p>
        </w:tc>
      </w:tr>
      <w:tr w:rsidR="00070252" w:rsidRPr="0009064E" w14:paraId="0FD3A816" w14:textId="77777777" w:rsidTr="0056666E">
        <w:tc>
          <w:tcPr>
            <w:tcW w:w="4606" w:type="dxa"/>
            <w:shd w:val="clear" w:color="auto" w:fill="auto"/>
          </w:tcPr>
          <w:p w14:paraId="46348574" w14:textId="77777777" w:rsidR="00070252" w:rsidRPr="0009064E" w:rsidRDefault="00070252" w:rsidP="006A5294">
            <w:pPr>
              <w:pStyle w:val="Default"/>
              <w:jc w:val="center"/>
              <w:rPr>
                <w:rFonts w:ascii="Times New Roman" w:hAnsi="Times New Roman" w:cs="Times New Roman"/>
                <w:color w:val="auto"/>
                <w:lang w:eastAsia="en-GB"/>
              </w:rPr>
            </w:pPr>
            <w:r w:rsidRPr="0009064E">
              <w:rPr>
                <w:rFonts w:ascii="Times New Roman" w:hAnsi="Times New Roman" w:cs="Times New Roman"/>
                <w:color w:val="auto"/>
                <w:lang w:eastAsia="en-GB"/>
              </w:rPr>
              <w:t>Železnice</w:t>
            </w:r>
          </w:p>
        </w:tc>
        <w:tc>
          <w:tcPr>
            <w:tcW w:w="4606" w:type="dxa"/>
            <w:shd w:val="clear" w:color="auto" w:fill="auto"/>
          </w:tcPr>
          <w:p w14:paraId="67F07C0B" w14:textId="217CF1F8" w:rsidR="00070252" w:rsidRPr="0009064E" w:rsidRDefault="00070252" w:rsidP="006A5294">
            <w:pPr>
              <w:pStyle w:val="Default"/>
              <w:jc w:val="center"/>
              <w:rPr>
                <w:rFonts w:ascii="Times New Roman" w:hAnsi="Times New Roman" w:cs="Times New Roman"/>
                <w:color w:val="auto"/>
                <w:lang w:eastAsia="en-GB"/>
              </w:rPr>
            </w:pPr>
            <w:r w:rsidRPr="0009064E">
              <w:rPr>
                <w:rFonts w:ascii="Times New Roman" w:hAnsi="Times New Roman" w:cs="Times New Roman"/>
                <w:color w:val="auto"/>
                <w:lang w:eastAsia="en-GB"/>
              </w:rPr>
              <w:t>20</w:t>
            </w:r>
            <w:r w:rsidR="00BE7BF3">
              <w:rPr>
                <w:rFonts w:ascii="Times New Roman" w:hAnsi="Times New Roman" w:cs="Times New Roman"/>
                <w:color w:val="auto"/>
                <w:lang w:eastAsia="en-GB"/>
              </w:rPr>
              <w:t xml:space="preserve"> </w:t>
            </w:r>
            <w:r w:rsidRPr="0009064E">
              <w:rPr>
                <w:rFonts w:ascii="Times New Roman" w:hAnsi="Times New Roman" w:cs="Times New Roman"/>
                <w:color w:val="auto"/>
                <w:lang w:eastAsia="en-GB"/>
              </w:rPr>
              <w:t>%</w:t>
            </w:r>
          </w:p>
        </w:tc>
      </w:tr>
      <w:tr w:rsidR="00070252" w:rsidRPr="0009064E" w14:paraId="0F52433A" w14:textId="77777777" w:rsidTr="0056666E">
        <w:tc>
          <w:tcPr>
            <w:tcW w:w="4606" w:type="dxa"/>
            <w:shd w:val="clear" w:color="auto" w:fill="auto"/>
          </w:tcPr>
          <w:p w14:paraId="45E411A8" w14:textId="77777777" w:rsidR="00070252" w:rsidRPr="0009064E" w:rsidRDefault="00070252" w:rsidP="006A5294">
            <w:pPr>
              <w:pStyle w:val="Default"/>
              <w:jc w:val="center"/>
              <w:rPr>
                <w:rFonts w:ascii="Times New Roman" w:hAnsi="Times New Roman" w:cs="Times New Roman"/>
                <w:color w:val="auto"/>
                <w:lang w:eastAsia="en-GB"/>
              </w:rPr>
            </w:pPr>
            <w:r w:rsidRPr="0009064E">
              <w:rPr>
                <w:rFonts w:ascii="Times New Roman" w:hAnsi="Times New Roman" w:cs="Times New Roman"/>
                <w:color w:val="auto"/>
                <w:lang w:eastAsia="en-GB"/>
              </w:rPr>
              <w:t>Mestská doprava</w:t>
            </w:r>
          </w:p>
        </w:tc>
        <w:tc>
          <w:tcPr>
            <w:tcW w:w="4606" w:type="dxa"/>
            <w:shd w:val="clear" w:color="auto" w:fill="auto"/>
          </w:tcPr>
          <w:p w14:paraId="598646AD" w14:textId="515B6C98" w:rsidR="00070252" w:rsidRPr="0009064E" w:rsidRDefault="00070252" w:rsidP="006A5294">
            <w:pPr>
              <w:pStyle w:val="Default"/>
              <w:jc w:val="center"/>
              <w:rPr>
                <w:rFonts w:ascii="Times New Roman" w:hAnsi="Times New Roman" w:cs="Times New Roman"/>
                <w:color w:val="auto"/>
                <w:lang w:eastAsia="en-GB"/>
              </w:rPr>
            </w:pPr>
            <w:r w:rsidRPr="0009064E">
              <w:rPr>
                <w:rFonts w:ascii="Times New Roman" w:hAnsi="Times New Roman" w:cs="Times New Roman"/>
                <w:color w:val="auto"/>
                <w:lang w:eastAsia="en-GB"/>
              </w:rPr>
              <w:t>20</w:t>
            </w:r>
            <w:r w:rsidR="00BE7BF3">
              <w:rPr>
                <w:rFonts w:ascii="Times New Roman" w:hAnsi="Times New Roman" w:cs="Times New Roman"/>
                <w:color w:val="auto"/>
                <w:lang w:eastAsia="en-GB"/>
              </w:rPr>
              <w:t xml:space="preserve"> </w:t>
            </w:r>
            <w:r w:rsidRPr="0009064E">
              <w:rPr>
                <w:rFonts w:ascii="Times New Roman" w:hAnsi="Times New Roman" w:cs="Times New Roman"/>
                <w:color w:val="auto"/>
                <w:lang w:eastAsia="en-GB"/>
              </w:rPr>
              <w:t>%</w:t>
            </w:r>
          </w:p>
        </w:tc>
      </w:tr>
      <w:tr w:rsidR="00070252" w:rsidRPr="0009064E" w14:paraId="08D68A61" w14:textId="77777777" w:rsidTr="0056666E">
        <w:tc>
          <w:tcPr>
            <w:tcW w:w="4606" w:type="dxa"/>
            <w:shd w:val="clear" w:color="auto" w:fill="auto"/>
          </w:tcPr>
          <w:p w14:paraId="61E9BC85" w14:textId="77777777" w:rsidR="00070252" w:rsidRPr="0009064E" w:rsidRDefault="00070252" w:rsidP="006A5294">
            <w:pPr>
              <w:pStyle w:val="Default"/>
              <w:jc w:val="center"/>
              <w:rPr>
                <w:rFonts w:ascii="Times New Roman" w:hAnsi="Times New Roman" w:cs="Times New Roman"/>
                <w:color w:val="auto"/>
                <w:lang w:eastAsia="en-GB"/>
              </w:rPr>
            </w:pPr>
            <w:r w:rsidRPr="0009064E">
              <w:rPr>
                <w:rFonts w:ascii="Times New Roman" w:hAnsi="Times New Roman" w:cs="Times New Roman"/>
                <w:color w:val="auto"/>
                <w:lang w:eastAsia="en-GB"/>
              </w:rPr>
              <w:t>Voda</w:t>
            </w:r>
          </w:p>
        </w:tc>
        <w:tc>
          <w:tcPr>
            <w:tcW w:w="4606" w:type="dxa"/>
            <w:shd w:val="clear" w:color="auto" w:fill="auto"/>
          </w:tcPr>
          <w:p w14:paraId="5EF219D9" w14:textId="3B61D138" w:rsidR="00070252" w:rsidRPr="0009064E" w:rsidRDefault="00070252" w:rsidP="006A5294">
            <w:pPr>
              <w:pStyle w:val="Default"/>
              <w:jc w:val="center"/>
              <w:rPr>
                <w:rFonts w:ascii="Times New Roman" w:hAnsi="Times New Roman" w:cs="Times New Roman"/>
                <w:color w:val="auto"/>
                <w:lang w:eastAsia="en-GB"/>
              </w:rPr>
            </w:pPr>
            <w:r w:rsidRPr="0009064E">
              <w:rPr>
                <w:rFonts w:ascii="Times New Roman" w:hAnsi="Times New Roman" w:cs="Times New Roman"/>
                <w:color w:val="auto"/>
                <w:lang w:eastAsia="en-GB"/>
              </w:rPr>
              <w:t>25</w:t>
            </w:r>
            <w:r w:rsidR="00BE7BF3">
              <w:rPr>
                <w:rFonts w:ascii="Times New Roman" w:hAnsi="Times New Roman" w:cs="Times New Roman"/>
                <w:color w:val="auto"/>
                <w:lang w:eastAsia="en-GB"/>
              </w:rPr>
              <w:t xml:space="preserve"> </w:t>
            </w:r>
            <w:r w:rsidRPr="0009064E">
              <w:rPr>
                <w:rFonts w:ascii="Times New Roman" w:hAnsi="Times New Roman" w:cs="Times New Roman"/>
                <w:color w:val="auto"/>
                <w:lang w:eastAsia="en-GB"/>
              </w:rPr>
              <w:t>%</w:t>
            </w:r>
          </w:p>
        </w:tc>
      </w:tr>
      <w:tr w:rsidR="00070252" w:rsidRPr="0009064E" w14:paraId="5AD2CB65" w14:textId="77777777" w:rsidTr="0056666E">
        <w:tc>
          <w:tcPr>
            <w:tcW w:w="4606" w:type="dxa"/>
            <w:shd w:val="clear" w:color="auto" w:fill="auto"/>
          </w:tcPr>
          <w:p w14:paraId="298757F9" w14:textId="77777777" w:rsidR="00070252" w:rsidRPr="0009064E" w:rsidRDefault="00070252" w:rsidP="006A5294">
            <w:pPr>
              <w:pStyle w:val="Default"/>
              <w:jc w:val="center"/>
              <w:rPr>
                <w:rFonts w:ascii="Times New Roman" w:hAnsi="Times New Roman" w:cs="Times New Roman"/>
                <w:color w:val="auto"/>
                <w:lang w:eastAsia="en-GB"/>
              </w:rPr>
            </w:pPr>
            <w:r w:rsidRPr="0009064E">
              <w:rPr>
                <w:rFonts w:ascii="Times New Roman" w:hAnsi="Times New Roman" w:cs="Times New Roman"/>
                <w:color w:val="auto"/>
                <w:lang w:eastAsia="en-GB"/>
              </w:rPr>
              <w:t>Odpadové hospodárstvo</w:t>
            </w:r>
          </w:p>
        </w:tc>
        <w:tc>
          <w:tcPr>
            <w:tcW w:w="4606" w:type="dxa"/>
            <w:shd w:val="clear" w:color="auto" w:fill="auto"/>
          </w:tcPr>
          <w:p w14:paraId="4846AFCB" w14:textId="32A42E8E" w:rsidR="00070252" w:rsidRPr="0009064E" w:rsidRDefault="00070252" w:rsidP="006A5294">
            <w:pPr>
              <w:pStyle w:val="Default"/>
              <w:jc w:val="center"/>
              <w:rPr>
                <w:rFonts w:ascii="Times New Roman" w:hAnsi="Times New Roman" w:cs="Times New Roman"/>
                <w:color w:val="auto"/>
                <w:lang w:eastAsia="en-GB"/>
              </w:rPr>
            </w:pPr>
            <w:r w:rsidRPr="0009064E">
              <w:rPr>
                <w:rFonts w:ascii="Times New Roman" w:hAnsi="Times New Roman" w:cs="Times New Roman"/>
                <w:color w:val="auto"/>
                <w:lang w:eastAsia="en-GB"/>
              </w:rPr>
              <w:t>20</w:t>
            </w:r>
            <w:r w:rsidR="00BE7BF3">
              <w:rPr>
                <w:rFonts w:ascii="Times New Roman" w:hAnsi="Times New Roman" w:cs="Times New Roman"/>
                <w:color w:val="auto"/>
                <w:lang w:eastAsia="en-GB"/>
              </w:rPr>
              <w:t xml:space="preserve"> </w:t>
            </w:r>
            <w:r w:rsidRPr="0009064E">
              <w:rPr>
                <w:rFonts w:ascii="Times New Roman" w:hAnsi="Times New Roman" w:cs="Times New Roman"/>
                <w:color w:val="auto"/>
                <w:lang w:eastAsia="en-GB"/>
              </w:rPr>
              <w:t>%</w:t>
            </w:r>
          </w:p>
        </w:tc>
      </w:tr>
      <w:tr w:rsidR="00E204F9" w:rsidRPr="0009064E" w14:paraId="1CAB82D8" w14:textId="77777777" w:rsidTr="0056666E">
        <w:tc>
          <w:tcPr>
            <w:tcW w:w="4606" w:type="dxa"/>
            <w:shd w:val="clear" w:color="auto" w:fill="auto"/>
          </w:tcPr>
          <w:p w14:paraId="63D1DAEC" w14:textId="77777777" w:rsidR="00E204F9" w:rsidRPr="0009064E" w:rsidRDefault="00E204F9" w:rsidP="006A5294">
            <w:pPr>
              <w:pStyle w:val="Default"/>
              <w:jc w:val="center"/>
              <w:rPr>
                <w:rFonts w:ascii="Times New Roman" w:hAnsi="Times New Roman" w:cs="Times New Roman"/>
                <w:color w:val="auto"/>
                <w:lang w:eastAsia="en-GB"/>
              </w:rPr>
            </w:pPr>
            <w:r>
              <w:rPr>
                <w:rFonts w:ascii="Times New Roman" w:hAnsi="Times New Roman" w:cs="Times New Roman"/>
                <w:color w:val="auto"/>
                <w:lang w:eastAsia="en-GB"/>
              </w:rPr>
              <w:t>Výskum, vývoj a inovácie</w:t>
            </w:r>
          </w:p>
        </w:tc>
        <w:tc>
          <w:tcPr>
            <w:tcW w:w="4606" w:type="dxa"/>
            <w:shd w:val="clear" w:color="auto" w:fill="auto"/>
          </w:tcPr>
          <w:p w14:paraId="04C88BE5" w14:textId="5F9AD5ED" w:rsidR="00E204F9" w:rsidRPr="0009064E" w:rsidRDefault="00E204F9" w:rsidP="006A5294">
            <w:pPr>
              <w:pStyle w:val="Default"/>
              <w:jc w:val="center"/>
              <w:rPr>
                <w:rFonts w:ascii="Times New Roman" w:hAnsi="Times New Roman" w:cs="Times New Roman"/>
                <w:color w:val="auto"/>
                <w:lang w:eastAsia="en-GB"/>
              </w:rPr>
            </w:pPr>
            <w:r>
              <w:rPr>
                <w:rFonts w:ascii="Times New Roman" w:hAnsi="Times New Roman" w:cs="Times New Roman"/>
                <w:color w:val="auto"/>
                <w:lang w:eastAsia="en-GB"/>
              </w:rPr>
              <w:t>20</w:t>
            </w:r>
            <w:r w:rsidR="00BE7BF3">
              <w:rPr>
                <w:rFonts w:ascii="Times New Roman" w:hAnsi="Times New Roman" w:cs="Times New Roman"/>
                <w:color w:val="auto"/>
                <w:lang w:eastAsia="en-GB"/>
              </w:rPr>
              <w:t xml:space="preserve"> </w:t>
            </w:r>
            <w:r>
              <w:rPr>
                <w:rFonts w:ascii="Times New Roman" w:hAnsi="Times New Roman" w:cs="Times New Roman"/>
                <w:color w:val="auto"/>
                <w:lang w:eastAsia="en-GB"/>
              </w:rPr>
              <w:t xml:space="preserve"> %</w:t>
            </w:r>
          </w:p>
        </w:tc>
      </w:tr>
    </w:tbl>
    <w:p w14:paraId="7AC76A36" w14:textId="77777777" w:rsidR="00070252" w:rsidRPr="0009064E" w:rsidRDefault="00070252" w:rsidP="00070252">
      <w:pPr>
        <w:jc w:val="both"/>
      </w:pPr>
    </w:p>
    <w:p w14:paraId="4F42A056" w14:textId="13231468" w:rsidR="00070252" w:rsidRPr="0009064E" w:rsidRDefault="00070252" w:rsidP="00070252">
      <w:pPr>
        <w:jc w:val="both"/>
      </w:pPr>
      <w:r w:rsidRPr="0009064E">
        <w:t>Pri použití metódy paušálnej sadzby považujeme čisté príjmy vzniknuté v priebehu realizácie i po realizáci</w:t>
      </w:r>
      <w:r w:rsidR="0051004A">
        <w:t>í</w:t>
      </w:r>
      <w:r w:rsidR="00754C93">
        <w:t xml:space="preserve"> projektu</w:t>
      </w:r>
      <w:r w:rsidRPr="0009064E">
        <w:t xml:space="preserve"> za zohľadnené vo výške pomoci a nie je vyžadované ďalšie znižovanie oprávnených výdavkov projektu. Pri použití tejto metódy nie je nutné monitorovať skutočnú výšku realizovaných príjmov ani posudzovať zostatkovú hodnotu projektu.</w:t>
      </w:r>
      <w:r w:rsidRPr="0009064E">
        <w:br/>
        <w:t>Paušálne sadzby stanovuje Európska komisia a sú pre všetky členské štáty rovnaké. Sektory, pre ktoré paušálna sadzba stanovená nie je, musia použiť metódu diskontovaných peňažných tokov, tj. finančnú medzeru</w:t>
      </w:r>
      <w:r w:rsidR="00440C92">
        <w:t xml:space="preserve">, </w:t>
      </w:r>
      <w:r w:rsidR="0051004A">
        <w:t>resp je možnosť stanoviť paušálnu sadzbu na vnútroštátnej úrovni</w:t>
      </w:r>
      <w:r w:rsidRPr="0009064E">
        <w:t>. Európska komisia môže prostredníctvom delegovaných aktov výšku paušálnych sadzieb zmeniť alebo definovať paušálne sadzby pre ďalšie sektory alebo podsektory. Tieto nové paušálne sadzby možno použiť iba pri nových projekto</w:t>
      </w:r>
      <w:r w:rsidR="0051004A">
        <w:t>ch</w:t>
      </w:r>
      <w:r w:rsidRPr="0009064E">
        <w:t>, nie spätne na už schválené projekty.</w:t>
      </w:r>
      <w:r w:rsidR="0051004A">
        <w:t xml:space="preserve"> </w:t>
      </w:r>
    </w:p>
    <w:p w14:paraId="4A0DF3DC" w14:textId="77777777" w:rsidR="00070252" w:rsidRPr="0009064E" w:rsidRDefault="00070252" w:rsidP="00070252">
      <w:pPr>
        <w:pStyle w:val="Default"/>
        <w:rPr>
          <w:rFonts w:ascii="Times New Roman" w:hAnsi="Times New Roman" w:cs="Times New Roman"/>
          <w:color w:val="auto"/>
          <w:lang w:eastAsia="en-GB"/>
        </w:rPr>
      </w:pPr>
    </w:p>
    <w:p w14:paraId="145118FD" w14:textId="77777777" w:rsidR="00070252" w:rsidRPr="0009064E" w:rsidRDefault="00070252" w:rsidP="00070252">
      <w:pPr>
        <w:pStyle w:val="Default"/>
        <w:rPr>
          <w:rFonts w:ascii="Times New Roman" w:hAnsi="Times New Roman" w:cs="Times New Roman"/>
          <w:color w:val="auto"/>
          <w:lang w:eastAsia="en-GB"/>
        </w:rPr>
      </w:pPr>
      <w:r w:rsidRPr="0009064E">
        <w:rPr>
          <w:rFonts w:ascii="Times New Roman" w:hAnsi="Times New Roman" w:cs="Times New Roman"/>
          <w:color w:val="auto"/>
          <w:lang w:eastAsia="en-GB"/>
        </w:rPr>
        <w:t>Tab</w:t>
      </w:r>
      <w:r w:rsidR="008D55E2">
        <w:rPr>
          <w:rFonts w:ascii="Times New Roman" w:hAnsi="Times New Roman" w:cs="Times New Roman"/>
          <w:color w:val="auto"/>
          <w:lang w:eastAsia="en-GB"/>
        </w:rPr>
        <w:t>.</w:t>
      </w:r>
      <w:r w:rsidRPr="0009064E">
        <w:rPr>
          <w:rFonts w:ascii="Times New Roman" w:hAnsi="Times New Roman" w:cs="Times New Roman"/>
          <w:color w:val="auto"/>
          <w:lang w:eastAsia="en-GB"/>
        </w:rPr>
        <w:t xml:space="preserve"> Príklad výpočtu s použitím flat ratu</w:t>
      </w:r>
    </w:p>
    <w:p w14:paraId="06386221" w14:textId="77777777" w:rsidR="00070252" w:rsidRPr="0009064E" w:rsidRDefault="00070252" w:rsidP="00070252">
      <w:pPr>
        <w:pStyle w:val="Default"/>
        <w:rPr>
          <w:rFonts w:ascii="Times New Roman" w:hAnsi="Times New Roman" w:cs="Times New Roman"/>
          <w:color w:val="auto"/>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2"/>
        <w:gridCol w:w="2322"/>
        <w:gridCol w:w="2322"/>
        <w:gridCol w:w="2322"/>
      </w:tblGrid>
      <w:tr w:rsidR="00034644" w:rsidRPr="0009064E" w14:paraId="3E6A23C1" w14:textId="77777777" w:rsidTr="006A5294">
        <w:tc>
          <w:tcPr>
            <w:tcW w:w="1250" w:type="pct"/>
            <w:shd w:val="clear" w:color="auto" w:fill="C6D9F1"/>
          </w:tcPr>
          <w:p w14:paraId="3C1932A7" w14:textId="77777777" w:rsidR="00070252" w:rsidRPr="0009064E" w:rsidRDefault="00070252" w:rsidP="006A5294">
            <w:pPr>
              <w:pStyle w:val="Default"/>
              <w:rPr>
                <w:rFonts w:ascii="Times New Roman" w:hAnsi="Times New Roman" w:cs="Times New Roman"/>
                <w:b/>
                <w:color w:val="auto"/>
                <w:lang w:eastAsia="en-GB"/>
              </w:rPr>
            </w:pPr>
            <w:r w:rsidRPr="0009064E">
              <w:rPr>
                <w:rFonts w:ascii="Times New Roman" w:hAnsi="Times New Roman" w:cs="Times New Roman"/>
                <w:b/>
                <w:color w:val="auto"/>
                <w:lang w:eastAsia="en-GB"/>
              </w:rPr>
              <w:t>Ukazovateľ</w:t>
            </w:r>
          </w:p>
        </w:tc>
        <w:tc>
          <w:tcPr>
            <w:tcW w:w="1250" w:type="pct"/>
            <w:shd w:val="clear" w:color="auto" w:fill="C6D9F1"/>
          </w:tcPr>
          <w:p w14:paraId="2DB90005" w14:textId="77777777" w:rsidR="00070252" w:rsidRPr="0009064E" w:rsidRDefault="005871E9" w:rsidP="006A5294">
            <w:pPr>
              <w:pStyle w:val="Default"/>
              <w:rPr>
                <w:rFonts w:ascii="Times New Roman" w:hAnsi="Times New Roman" w:cs="Times New Roman"/>
                <w:color w:val="auto"/>
                <w:lang w:eastAsia="en-GB"/>
              </w:rPr>
            </w:pPr>
            <w:r>
              <w:rPr>
                <w:rFonts w:ascii="Times New Roman" w:hAnsi="Times New Roman" w:cs="Times New Roman"/>
                <w:color w:val="auto"/>
                <w:lang w:eastAsia="en-GB"/>
              </w:rPr>
              <w:t>Skratky</w:t>
            </w:r>
          </w:p>
        </w:tc>
        <w:tc>
          <w:tcPr>
            <w:tcW w:w="1250" w:type="pct"/>
            <w:shd w:val="clear" w:color="auto" w:fill="C6D9F1"/>
          </w:tcPr>
          <w:p w14:paraId="2D428101" w14:textId="77777777" w:rsidR="00070252" w:rsidRPr="0009064E" w:rsidRDefault="00070252" w:rsidP="006A5294">
            <w:pPr>
              <w:pStyle w:val="Default"/>
              <w:rPr>
                <w:rFonts w:ascii="Times New Roman" w:hAnsi="Times New Roman" w:cs="Times New Roman"/>
                <w:b/>
                <w:color w:val="auto"/>
                <w:lang w:eastAsia="en-GB"/>
              </w:rPr>
            </w:pPr>
            <w:r w:rsidRPr="0009064E">
              <w:rPr>
                <w:rFonts w:ascii="Times New Roman" w:hAnsi="Times New Roman" w:cs="Times New Roman"/>
                <w:b/>
                <w:color w:val="auto"/>
                <w:lang w:eastAsia="en-GB"/>
              </w:rPr>
              <w:t>Reálne hodnoty</w:t>
            </w:r>
          </w:p>
        </w:tc>
        <w:tc>
          <w:tcPr>
            <w:tcW w:w="1250" w:type="pct"/>
            <w:shd w:val="clear" w:color="auto" w:fill="C6D9F1"/>
          </w:tcPr>
          <w:p w14:paraId="6B5BDE40" w14:textId="77777777" w:rsidR="00070252" w:rsidRPr="0009064E" w:rsidRDefault="00070252" w:rsidP="006A5294">
            <w:pPr>
              <w:pStyle w:val="Default"/>
              <w:rPr>
                <w:rFonts w:ascii="Times New Roman" w:hAnsi="Times New Roman" w:cs="Times New Roman"/>
                <w:color w:val="auto"/>
                <w:lang w:eastAsia="en-GB"/>
              </w:rPr>
            </w:pPr>
          </w:p>
        </w:tc>
      </w:tr>
      <w:tr w:rsidR="00070252" w:rsidRPr="0009064E" w14:paraId="62AC647C" w14:textId="77777777" w:rsidTr="0056666E">
        <w:tc>
          <w:tcPr>
            <w:tcW w:w="1250" w:type="pct"/>
            <w:shd w:val="clear" w:color="auto" w:fill="auto"/>
          </w:tcPr>
          <w:p w14:paraId="08EA692D" w14:textId="77777777" w:rsidR="00070252" w:rsidRPr="0009064E" w:rsidRDefault="00070252" w:rsidP="006A5294">
            <w:pPr>
              <w:pStyle w:val="Default"/>
              <w:rPr>
                <w:rFonts w:ascii="Times New Roman" w:hAnsi="Times New Roman" w:cs="Times New Roman"/>
                <w:b/>
                <w:color w:val="auto"/>
                <w:lang w:eastAsia="en-GB"/>
              </w:rPr>
            </w:pPr>
            <w:r w:rsidRPr="0009064E">
              <w:rPr>
                <w:rFonts w:ascii="Times New Roman" w:hAnsi="Times New Roman" w:cs="Times New Roman"/>
                <w:b/>
                <w:color w:val="auto"/>
                <w:lang w:eastAsia="en-GB"/>
              </w:rPr>
              <w:t>Investičné výdavky</w:t>
            </w:r>
          </w:p>
        </w:tc>
        <w:tc>
          <w:tcPr>
            <w:tcW w:w="1250" w:type="pct"/>
            <w:shd w:val="clear" w:color="auto" w:fill="auto"/>
          </w:tcPr>
          <w:p w14:paraId="23D19075" w14:textId="77777777" w:rsidR="00070252" w:rsidRPr="0009064E" w:rsidRDefault="00070252" w:rsidP="006A5294">
            <w:pPr>
              <w:pStyle w:val="Default"/>
              <w:rPr>
                <w:rFonts w:ascii="Times New Roman" w:hAnsi="Times New Roman" w:cs="Times New Roman"/>
                <w:color w:val="auto"/>
                <w:lang w:eastAsia="en-GB"/>
              </w:rPr>
            </w:pPr>
            <w:r w:rsidRPr="0009064E">
              <w:rPr>
                <w:rFonts w:ascii="Times New Roman" w:hAnsi="Times New Roman" w:cs="Times New Roman"/>
                <w:color w:val="auto"/>
                <w:lang w:eastAsia="en-GB"/>
              </w:rPr>
              <w:t>IC</w:t>
            </w:r>
          </w:p>
        </w:tc>
        <w:tc>
          <w:tcPr>
            <w:tcW w:w="1250" w:type="pct"/>
            <w:shd w:val="clear" w:color="auto" w:fill="auto"/>
          </w:tcPr>
          <w:p w14:paraId="399F9951" w14:textId="77777777" w:rsidR="00070252" w:rsidRPr="0009064E" w:rsidRDefault="00070252" w:rsidP="006A5294">
            <w:pPr>
              <w:pStyle w:val="Default"/>
              <w:rPr>
                <w:rFonts w:ascii="Times New Roman" w:hAnsi="Times New Roman" w:cs="Times New Roman"/>
                <w:color w:val="auto"/>
                <w:lang w:eastAsia="en-GB"/>
              </w:rPr>
            </w:pPr>
            <w:r w:rsidRPr="0009064E">
              <w:rPr>
                <w:rFonts w:ascii="Times New Roman" w:hAnsi="Times New Roman" w:cs="Times New Roman"/>
                <w:color w:val="auto"/>
                <w:lang w:eastAsia="en-GB"/>
              </w:rPr>
              <w:t>287 000 000</w:t>
            </w:r>
          </w:p>
        </w:tc>
        <w:tc>
          <w:tcPr>
            <w:tcW w:w="1250" w:type="pct"/>
            <w:shd w:val="clear" w:color="auto" w:fill="auto"/>
          </w:tcPr>
          <w:p w14:paraId="3AC996D6" w14:textId="77777777" w:rsidR="00070252" w:rsidRPr="0009064E" w:rsidRDefault="00070252" w:rsidP="006A5294">
            <w:pPr>
              <w:pStyle w:val="Default"/>
              <w:rPr>
                <w:rFonts w:ascii="Times New Roman" w:hAnsi="Times New Roman" w:cs="Times New Roman"/>
                <w:color w:val="auto"/>
                <w:lang w:eastAsia="en-GB"/>
              </w:rPr>
            </w:pPr>
          </w:p>
        </w:tc>
      </w:tr>
      <w:tr w:rsidR="00070252" w:rsidRPr="0009064E" w14:paraId="319F5A4F" w14:textId="77777777" w:rsidTr="0056666E">
        <w:tc>
          <w:tcPr>
            <w:tcW w:w="1250" w:type="pct"/>
            <w:shd w:val="clear" w:color="auto" w:fill="auto"/>
          </w:tcPr>
          <w:p w14:paraId="0A97D399" w14:textId="77777777" w:rsidR="00070252" w:rsidRPr="0009064E" w:rsidRDefault="00070252" w:rsidP="006A5294">
            <w:pPr>
              <w:pStyle w:val="Default"/>
              <w:rPr>
                <w:rFonts w:ascii="Times New Roman" w:hAnsi="Times New Roman" w:cs="Times New Roman"/>
                <w:b/>
                <w:color w:val="auto"/>
                <w:lang w:eastAsia="en-GB"/>
              </w:rPr>
            </w:pPr>
            <w:r w:rsidRPr="0009064E">
              <w:rPr>
                <w:rFonts w:ascii="Times New Roman" w:hAnsi="Times New Roman" w:cs="Times New Roman"/>
                <w:b/>
                <w:color w:val="auto"/>
                <w:lang w:eastAsia="en-GB"/>
              </w:rPr>
              <w:t>Oprávnené výdavky</w:t>
            </w:r>
          </w:p>
        </w:tc>
        <w:tc>
          <w:tcPr>
            <w:tcW w:w="1250" w:type="pct"/>
            <w:shd w:val="clear" w:color="auto" w:fill="auto"/>
          </w:tcPr>
          <w:p w14:paraId="7D9D534B" w14:textId="77777777" w:rsidR="00070252" w:rsidRPr="0009064E" w:rsidRDefault="00070252" w:rsidP="006A5294">
            <w:pPr>
              <w:pStyle w:val="Default"/>
              <w:rPr>
                <w:rFonts w:ascii="Times New Roman" w:hAnsi="Times New Roman" w:cs="Times New Roman"/>
                <w:color w:val="auto"/>
                <w:lang w:eastAsia="en-GB"/>
              </w:rPr>
            </w:pPr>
            <w:r w:rsidRPr="0009064E">
              <w:rPr>
                <w:rFonts w:ascii="Times New Roman" w:hAnsi="Times New Roman" w:cs="Times New Roman"/>
                <w:color w:val="auto"/>
                <w:lang w:eastAsia="en-GB"/>
              </w:rPr>
              <w:t>EC</w:t>
            </w:r>
          </w:p>
        </w:tc>
        <w:tc>
          <w:tcPr>
            <w:tcW w:w="1250" w:type="pct"/>
            <w:shd w:val="clear" w:color="auto" w:fill="auto"/>
          </w:tcPr>
          <w:p w14:paraId="179165BA" w14:textId="77777777" w:rsidR="00070252" w:rsidRPr="0009064E" w:rsidRDefault="00070252" w:rsidP="006A5294">
            <w:pPr>
              <w:pStyle w:val="Default"/>
              <w:rPr>
                <w:rFonts w:ascii="Times New Roman" w:hAnsi="Times New Roman" w:cs="Times New Roman"/>
                <w:color w:val="auto"/>
                <w:lang w:eastAsia="en-GB"/>
              </w:rPr>
            </w:pPr>
            <w:r w:rsidRPr="0009064E">
              <w:rPr>
                <w:rFonts w:ascii="Times New Roman" w:hAnsi="Times New Roman" w:cs="Times New Roman"/>
                <w:color w:val="auto"/>
                <w:lang w:eastAsia="en-GB"/>
              </w:rPr>
              <w:t>180 500 000</w:t>
            </w:r>
          </w:p>
        </w:tc>
        <w:tc>
          <w:tcPr>
            <w:tcW w:w="1250" w:type="pct"/>
            <w:shd w:val="clear" w:color="auto" w:fill="auto"/>
          </w:tcPr>
          <w:p w14:paraId="3FF83F40" w14:textId="77777777" w:rsidR="00070252" w:rsidRPr="0009064E" w:rsidRDefault="00070252" w:rsidP="006A5294">
            <w:pPr>
              <w:pStyle w:val="Default"/>
              <w:rPr>
                <w:rFonts w:ascii="Times New Roman" w:hAnsi="Times New Roman" w:cs="Times New Roman"/>
                <w:color w:val="auto"/>
                <w:lang w:eastAsia="en-GB"/>
              </w:rPr>
            </w:pPr>
          </w:p>
        </w:tc>
      </w:tr>
      <w:tr w:rsidR="00070252" w:rsidRPr="0009064E" w14:paraId="47676388" w14:textId="77777777" w:rsidTr="0056666E">
        <w:tc>
          <w:tcPr>
            <w:tcW w:w="1250" w:type="pct"/>
            <w:shd w:val="clear" w:color="auto" w:fill="auto"/>
          </w:tcPr>
          <w:p w14:paraId="49585D4B" w14:textId="77777777" w:rsidR="00070252" w:rsidRPr="0009064E" w:rsidRDefault="00070252" w:rsidP="006A5294">
            <w:pPr>
              <w:pStyle w:val="Default"/>
              <w:rPr>
                <w:rFonts w:ascii="Times New Roman" w:hAnsi="Times New Roman" w:cs="Times New Roman"/>
                <w:b/>
                <w:color w:val="auto"/>
                <w:lang w:eastAsia="en-GB"/>
              </w:rPr>
            </w:pPr>
            <w:r w:rsidRPr="0009064E">
              <w:rPr>
                <w:rFonts w:ascii="Times New Roman" w:hAnsi="Times New Roman" w:cs="Times New Roman"/>
                <w:b/>
                <w:color w:val="auto"/>
                <w:lang w:eastAsia="en-GB"/>
              </w:rPr>
              <w:t>Referenčné obdobie</w:t>
            </w:r>
          </w:p>
        </w:tc>
        <w:tc>
          <w:tcPr>
            <w:tcW w:w="1250" w:type="pct"/>
            <w:shd w:val="clear" w:color="auto" w:fill="auto"/>
          </w:tcPr>
          <w:p w14:paraId="5DFFE2DB" w14:textId="77777777" w:rsidR="00070252" w:rsidRPr="0009064E" w:rsidRDefault="00070252" w:rsidP="006A5294">
            <w:pPr>
              <w:pStyle w:val="Default"/>
              <w:rPr>
                <w:rFonts w:ascii="Times New Roman" w:hAnsi="Times New Roman" w:cs="Times New Roman"/>
                <w:color w:val="auto"/>
                <w:lang w:eastAsia="en-GB"/>
              </w:rPr>
            </w:pPr>
          </w:p>
        </w:tc>
        <w:tc>
          <w:tcPr>
            <w:tcW w:w="1250" w:type="pct"/>
            <w:shd w:val="clear" w:color="auto" w:fill="auto"/>
          </w:tcPr>
          <w:p w14:paraId="3CAED8E1" w14:textId="77777777" w:rsidR="00070252" w:rsidRPr="0009064E" w:rsidRDefault="00070252" w:rsidP="006A5294">
            <w:pPr>
              <w:pStyle w:val="Default"/>
              <w:rPr>
                <w:rFonts w:ascii="Times New Roman" w:hAnsi="Times New Roman" w:cs="Times New Roman"/>
                <w:color w:val="auto"/>
                <w:lang w:eastAsia="en-GB"/>
              </w:rPr>
            </w:pPr>
            <w:r w:rsidRPr="0009064E">
              <w:rPr>
                <w:rFonts w:ascii="Times New Roman" w:hAnsi="Times New Roman" w:cs="Times New Roman"/>
                <w:color w:val="auto"/>
                <w:lang w:eastAsia="en-GB"/>
              </w:rPr>
              <w:t>30</w:t>
            </w:r>
          </w:p>
        </w:tc>
        <w:tc>
          <w:tcPr>
            <w:tcW w:w="1250" w:type="pct"/>
            <w:shd w:val="clear" w:color="auto" w:fill="auto"/>
          </w:tcPr>
          <w:p w14:paraId="1AC30A1B" w14:textId="77777777" w:rsidR="00070252" w:rsidRPr="0009064E" w:rsidRDefault="00070252" w:rsidP="006A5294">
            <w:pPr>
              <w:pStyle w:val="Default"/>
              <w:rPr>
                <w:rFonts w:ascii="Times New Roman" w:hAnsi="Times New Roman" w:cs="Times New Roman"/>
                <w:color w:val="auto"/>
                <w:lang w:eastAsia="en-GB"/>
              </w:rPr>
            </w:pPr>
          </w:p>
        </w:tc>
      </w:tr>
      <w:tr w:rsidR="00070252" w:rsidRPr="0009064E" w14:paraId="47553CF4" w14:textId="77777777" w:rsidTr="0056666E">
        <w:tc>
          <w:tcPr>
            <w:tcW w:w="1250" w:type="pct"/>
            <w:shd w:val="clear" w:color="auto" w:fill="auto"/>
          </w:tcPr>
          <w:p w14:paraId="64623B4F" w14:textId="77777777" w:rsidR="00070252" w:rsidRPr="0009064E" w:rsidRDefault="00070252" w:rsidP="006A5294">
            <w:pPr>
              <w:pStyle w:val="Default"/>
              <w:rPr>
                <w:rFonts w:ascii="Times New Roman" w:hAnsi="Times New Roman" w:cs="Times New Roman"/>
                <w:b/>
                <w:color w:val="auto"/>
                <w:lang w:eastAsia="en-GB"/>
              </w:rPr>
            </w:pPr>
            <w:r w:rsidRPr="0009064E">
              <w:rPr>
                <w:rFonts w:ascii="Times New Roman" w:hAnsi="Times New Roman" w:cs="Times New Roman"/>
                <w:b/>
                <w:color w:val="auto"/>
                <w:lang w:eastAsia="en-GB"/>
              </w:rPr>
              <w:t xml:space="preserve">Paušálna sadzba </w:t>
            </w:r>
          </w:p>
          <w:p w14:paraId="278A3CE9" w14:textId="77777777" w:rsidR="00070252" w:rsidRPr="0009064E" w:rsidRDefault="00070252" w:rsidP="006A5294">
            <w:pPr>
              <w:pStyle w:val="Default"/>
              <w:rPr>
                <w:rFonts w:ascii="Times New Roman" w:hAnsi="Times New Roman" w:cs="Times New Roman"/>
                <w:b/>
                <w:color w:val="auto"/>
                <w:lang w:eastAsia="en-GB"/>
              </w:rPr>
            </w:pPr>
          </w:p>
        </w:tc>
        <w:tc>
          <w:tcPr>
            <w:tcW w:w="1250" w:type="pct"/>
            <w:shd w:val="clear" w:color="auto" w:fill="auto"/>
          </w:tcPr>
          <w:p w14:paraId="7D4F901B" w14:textId="77777777" w:rsidR="00070252" w:rsidRPr="0009064E" w:rsidRDefault="00070252" w:rsidP="006A5294">
            <w:pPr>
              <w:pStyle w:val="Default"/>
              <w:rPr>
                <w:rFonts w:ascii="Times New Roman" w:hAnsi="Times New Roman" w:cs="Times New Roman"/>
                <w:color w:val="auto"/>
                <w:lang w:eastAsia="en-GB"/>
              </w:rPr>
            </w:pPr>
            <w:r w:rsidRPr="0009064E">
              <w:rPr>
                <w:rFonts w:ascii="Times New Roman" w:hAnsi="Times New Roman" w:cs="Times New Roman"/>
                <w:color w:val="auto"/>
                <w:lang w:eastAsia="en-GB"/>
              </w:rPr>
              <w:t>FR</w:t>
            </w:r>
          </w:p>
        </w:tc>
        <w:tc>
          <w:tcPr>
            <w:tcW w:w="1250" w:type="pct"/>
            <w:shd w:val="clear" w:color="auto" w:fill="auto"/>
          </w:tcPr>
          <w:p w14:paraId="7058575D" w14:textId="520DC4DB" w:rsidR="00070252" w:rsidRPr="0009064E" w:rsidRDefault="00070252" w:rsidP="006A5294">
            <w:pPr>
              <w:pStyle w:val="Default"/>
              <w:rPr>
                <w:rFonts w:ascii="Times New Roman" w:hAnsi="Times New Roman" w:cs="Times New Roman"/>
                <w:color w:val="auto"/>
                <w:lang w:eastAsia="en-GB"/>
              </w:rPr>
            </w:pPr>
            <w:r w:rsidRPr="0009064E">
              <w:rPr>
                <w:rFonts w:ascii="Times New Roman" w:hAnsi="Times New Roman" w:cs="Times New Roman"/>
                <w:color w:val="auto"/>
                <w:lang w:eastAsia="en-GB"/>
              </w:rPr>
              <w:t>20</w:t>
            </w:r>
            <w:r w:rsidR="00BE7BF3">
              <w:rPr>
                <w:rFonts w:ascii="Times New Roman" w:hAnsi="Times New Roman" w:cs="Times New Roman"/>
                <w:color w:val="auto"/>
                <w:lang w:eastAsia="en-GB"/>
              </w:rPr>
              <w:t xml:space="preserve"> </w:t>
            </w:r>
            <w:r w:rsidRPr="0009064E">
              <w:rPr>
                <w:rFonts w:ascii="Times New Roman" w:hAnsi="Times New Roman" w:cs="Times New Roman"/>
                <w:color w:val="auto"/>
                <w:lang w:eastAsia="en-GB"/>
              </w:rPr>
              <w:t>%</w:t>
            </w:r>
          </w:p>
        </w:tc>
        <w:tc>
          <w:tcPr>
            <w:tcW w:w="1250" w:type="pct"/>
            <w:shd w:val="clear" w:color="auto" w:fill="auto"/>
          </w:tcPr>
          <w:p w14:paraId="081C78DC" w14:textId="77777777" w:rsidR="00070252" w:rsidRPr="0009064E" w:rsidRDefault="00070252" w:rsidP="006A5294">
            <w:pPr>
              <w:pStyle w:val="Default"/>
              <w:rPr>
                <w:rFonts w:ascii="Times New Roman" w:hAnsi="Times New Roman" w:cs="Times New Roman"/>
                <w:color w:val="auto"/>
                <w:lang w:eastAsia="en-GB"/>
              </w:rPr>
            </w:pPr>
          </w:p>
        </w:tc>
      </w:tr>
      <w:tr w:rsidR="00070252" w:rsidRPr="0009064E" w14:paraId="5CEEEFEC" w14:textId="77777777" w:rsidTr="0056666E">
        <w:tc>
          <w:tcPr>
            <w:tcW w:w="1250" w:type="pct"/>
            <w:shd w:val="clear" w:color="auto" w:fill="auto"/>
          </w:tcPr>
          <w:p w14:paraId="2C103CDA" w14:textId="77777777" w:rsidR="00070252" w:rsidRPr="0009064E" w:rsidRDefault="00070252" w:rsidP="006A5294">
            <w:pPr>
              <w:pStyle w:val="Default"/>
              <w:rPr>
                <w:rFonts w:ascii="Times New Roman" w:hAnsi="Times New Roman" w:cs="Times New Roman"/>
                <w:b/>
                <w:color w:val="auto"/>
                <w:lang w:eastAsia="en-GB"/>
              </w:rPr>
            </w:pPr>
            <w:r w:rsidRPr="0009064E">
              <w:rPr>
                <w:rFonts w:ascii="Times New Roman" w:hAnsi="Times New Roman" w:cs="Times New Roman"/>
                <w:b/>
                <w:color w:val="auto"/>
                <w:lang w:eastAsia="en-GB"/>
              </w:rPr>
              <w:t>Miera spolufinancovania</w:t>
            </w:r>
            <w:r w:rsidR="007F0EAF">
              <w:rPr>
                <w:rFonts w:ascii="Times New Roman" w:hAnsi="Times New Roman" w:cs="Times New Roman"/>
                <w:b/>
                <w:color w:val="auto"/>
                <w:lang w:eastAsia="en-GB"/>
              </w:rPr>
              <w:t xml:space="preserve"> </w:t>
            </w:r>
            <w:r w:rsidR="007F0EAF">
              <w:rPr>
                <w:rFonts w:ascii="Times New Roman" w:hAnsi="Times New Roman" w:cs="Times New Roman"/>
                <w:b/>
                <w:color w:val="auto"/>
                <w:lang w:eastAsia="en-GB"/>
              </w:rPr>
              <w:lastRenderedPageBreak/>
              <w:t>EÚ</w:t>
            </w:r>
            <w:r w:rsidRPr="0009064E">
              <w:rPr>
                <w:rFonts w:ascii="Times New Roman" w:hAnsi="Times New Roman" w:cs="Times New Roman"/>
                <w:b/>
                <w:color w:val="auto"/>
                <w:lang w:eastAsia="en-GB"/>
              </w:rPr>
              <w:t xml:space="preserve"> </w:t>
            </w:r>
          </w:p>
          <w:p w14:paraId="05FB335E" w14:textId="77777777" w:rsidR="00070252" w:rsidRPr="0009064E" w:rsidRDefault="00070252" w:rsidP="006A5294">
            <w:pPr>
              <w:pStyle w:val="Default"/>
              <w:rPr>
                <w:rFonts w:ascii="Times New Roman" w:hAnsi="Times New Roman" w:cs="Times New Roman"/>
                <w:b/>
                <w:color w:val="auto"/>
                <w:lang w:eastAsia="en-GB"/>
              </w:rPr>
            </w:pPr>
          </w:p>
        </w:tc>
        <w:tc>
          <w:tcPr>
            <w:tcW w:w="1250" w:type="pct"/>
            <w:shd w:val="clear" w:color="auto" w:fill="auto"/>
          </w:tcPr>
          <w:p w14:paraId="10EE4B28" w14:textId="77777777" w:rsidR="00070252" w:rsidRPr="0009064E" w:rsidRDefault="00070252" w:rsidP="006A5294">
            <w:pPr>
              <w:pStyle w:val="Default"/>
              <w:rPr>
                <w:rFonts w:ascii="Times New Roman" w:hAnsi="Times New Roman" w:cs="Times New Roman"/>
                <w:color w:val="auto"/>
                <w:lang w:eastAsia="en-GB"/>
              </w:rPr>
            </w:pPr>
            <w:r w:rsidRPr="0009064E">
              <w:rPr>
                <w:rFonts w:ascii="Times New Roman" w:hAnsi="Times New Roman" w:cs="Times New Roman"/>
                <w:color w:val="auto"/>
                <w:lang w:eastAsia="en-GB"/>
              </w:rPr>
              <w:lastRenderedPageBreak/>
              <w:t>p</w:t>
            </w:r>
          </w:p>
        </w:tc>
        <w:tc>
          <w:tcPr>
            <w:tcW w:w="1250" w:type="pct"/>
            <w:shd w:val="clear" w:color="auto" w:fill="auto"/>
          </w:tcPr>
          <w:p w14:paraId="20C6053D" w14:textId="7545E4A4" w:rsidR="00070252" w:rsidRPr="0009064E" w:rsidRDefault="00070252" w:rsidP="006A5294">
            <w:pPr>
              <w:pStyle w:val="Default"/>
              <w:rPr>
                <w:rFonts w:ascii="Times New Roman" w:hAnsi="Times New Roman" w:cs="Times New Roman"/>
                <w:color w:val="auto"/>
                <w:lang w:eastAsia="en-GB"/>
              </w:rPr>
            </w:pPr>
            <w:r w:rsidRPr="0009064E">
              <w:rPr>
                <w:rFonts w:ascii="Times New Roman" w:hAnsi="Times New Roman" w:cs="Times New Roman"/>
                <w:color w:val="auto"/>
                <w:lang w:eastAsia="en-GB"/>
              </w:rPr>
              <w:t>85</w:t>
            </w:r>
            <w:r w:rsidR="00BE7BF3">
              <w:rPr>
                <w:rFonts w:ascii="Times New Roman" w:hAnsi="Times New Roman" w:cs="Times New Roman"/>
                <w:color w:val="auto"/>
                <w:lang w:eastAsia="en-GB"/>
              </w:rPr>
              <w:t xml:space="preserve"> </w:t>
            </w:r>
            <w:r w:rsidRPr="0009064E">
              <w:rPr>
                <w:rFonts w:ascii="Times New Roman" w:hAnsi="Times New Roman" w:cs="Times New Roman"/>
                <w:color w:val="auto"/>
                <w:lang w:eastAsia="en-GB"/>
              </w:rPr>
              <w:t>%</w:t>
            </w:r>
          </w:p>
        </w:tc>
        <w:tc>
          <w:tcPr>
            <w:tcW w:w="1250" w:type="pct"/>
            <w:shd w:val="clear" w:color="auto" w:fill="auto"/>
          </w:tcPr>
          <w:p w14:paraId="67C3C87A" w14:textId="77777777" w:rsidR="00070252" w:rsidRPr="0009064E" w:rsidRDefault="00070252" w:rsidP="006A5294">
            <w:pPr>
              <w:pStyle w:val="Default"/>
              <w:rPr>
                <w:rFonts w:ascii="Times New Roman" w:hAnsi="Times New Roman" w:cs="Times New Roman"/>
                <w:color w:val="auto"/>
                <w:lang w:eastAsia="en-GB"/>
              </w:rPr>
            </w:pPr>
          </w:p>
        </w:tc>
      </w:tr>
      <w:tr w:rsidR="00070252" w:rsidRPr="0009064E" w14:paraId="478D6419" w14:textId="77777777" w:rsidTr="0056666E">
        <w:tc>
          <w:tcPr>
            <w:tcW w:w="1250" w:type="pct"/>
            <w:shd w:val="clear" w:color="auto" w:fill="auto"/>
          </w:tcPr>
          <w:p w14:paraId="55771763" w14:textId="77777777" w:rsidR="00070252" w:rsidRPr="0009064E" w:rsidRDefault="00070252" w:rsidP="006A5294">
            <w:pPr>
              <w:pStyle w:val="Default"/>
              <w:rPr>
                <w:rFonts w:ascii="Times New Roman" w:hAnsi="Times New Roman" w:cs="Times New Roman"/>
                <w:b/>
                <w:color w:val="auto"/>
                <w:lang w:eastAsia="en-GB"/>
              </w:rPr>
            </w:pPr>
            <w:r w:rsidRPr="0009064E">
              <w:rPr>
                <w:rFonts w:ascii="Times New Roman" w:hAnsi="Times New Roman" w:cs="Times New Roman"/>
                <w:b/>
                <w:color w:val="auto"/>
                <w:lang w:eastAsia="en-GB"/>
              </w:rPr>
              <w:t xml:space="preserve">Miera národného spolufinancovania </w:t>
            </w:r>
          </w:p>
          <w:p w14:paraId="54C904F5" w14:textId="77777777" w:rsidR="00070252" w:rsidRPr="0009064E" w:rsidRDefault="00070252" w:rsidP="006A5294">
            <w:pPr>
              <w:pStyle w:val="Default"/>
              <w:rPr>
                <w:rFonts w:ascii="Times New Roman" w:hAnsi="Times New Roman" w:cs="Times New Roman"/>
                <w:b/>
                <w:color w:val="auto"/>
                <w:lang w:eastAsia="en-GB"/>
              </w:rPr>
            </w:pPr>
          </w:p>
        </w:tc>
        <w:tc>
          <w:tcPr>
            <w:tcW w:w="1250" w:type="pct"/>
            <w:shd w:val="clear" w:color="auto" w:fill="auto"/>
          </w:tcPr>
          <w:p w14:paraId="3ED01C98" w14:textId="77777777" w:rsidR="00070252" w:rsidRPr="0009064E" w:rsidRDefault="00070252" w:rsidP="006A5294">
            <w:pPr>
              <w:pStyle w:val="Default"/>
              <w:rPr>
                <w:rFonts w:ascii="Times New Roman" w:hAnsi="Times New Roman" w:cs="Times New Roman"/>
                <w:color w:val="auto"/>
                <w:lang w:eastAsia="en-GB"/>
              </w:rPr>
            </w:pPr>
            <w:r w:rsidRPr="0009064E">
              <w:rPr>
                <w:rFonts w:ascii="Times New Roman" w:hAnsi="Times New Roman" w:cs="Times New Roman"/>
                <w:color w:val="auto"/>
                <w:lang w:eastAsia="en-GB"/>
              </w:rPr>
              <w:t>ns</w:t>
            </w:r>
          </w:p>
        </w:tc>
        <w:tc>
          <w:tcPr>
            <w:tcW w:w="1250" w:type="pct"/>
            <w:shd w:val="clear" w:color="auto" w:fill="auto"/>
          </w:tcPr>
          <w:p w14:paraId="50E5DB25" w14:textId="156154AD" w:rsidR="00070252" w:rsidRPr="0009064E" w:rsidRDefault="00070252" w:rsidP="006A5294">
            <w:pPr>
              <w:pStyle w:val="Default"/>
              <w:rPr>
                <w:rFonts w:ascii="Times New Roman" w:hAnsi="Times New Roman" w:cs="Times New Roman"/>
                <w:color w:val="auto"/>
                <w:lang w:eastAsia="en-GB"/>
              </w:rPr>
            </w:pPr>
            <w:r w:rsidRPr="0009064E">
              <w:rPr>
                <w:rFonts w:ascii="Times New Roman" w:hAnsi="Times New Roman" w:cs="Times New Roman"/>
                <w:color w:val="auto"/>
                <w:lang w:eastAsia="en-GB"/>
              </w:rPr>
              <w:t>15</w:t>
            </w:r>
            <w:r w:rsidR="00BE7BF3">
              <w:rPr>
                <w:rFonts w:ascii="Times New Roman" w:hAnsi="Times New Roman" w:cs="Times New Roman"/>
                <w:color w:val="auto"/>
                <w:lang w:eastAsia="en-GB"/>
              </w:rPr>
              <w:t xml:space="preserve"> </w:t>
            </w:r>
            <w:r w:rsidRPr="0009064E">
              <w:rPr>
                <w:rFonts w:ascii="Times New Roman" w:hAnsi="Times New Roman" w:cs="Times New Roman"/>
                <w:color w:val="auto"/>
                <w:lang w:eastAsia="en-GB"/>
              </w:rPr>
              <w:t>%</w:t>
            </w:r>
          </w:p>
        </w:tc>
        <w:tc>
          <w:tcPr>
            <w:tcW w:w="1250" w:type="pct"/>
            <w:shd w:val="clear" w:color="auto" w:fill="auto"/>
          </w:tcPr>
          <w:p w14:paraId="1D14F1CF" w14:textId="77777777" w:rsidR="00070252" w:rsidRPr="0009064E" w:rsidRDefault="00070252" w:rsidP="006A5294">
            <w:pPr>
              <w:pStyle w:val="Default"/>
              <w:rPr>
                <w:rFonts w:ascii="Times New Roman" w:hAnsi="Times New Roman" w:cs="Times New Roman"/>
                <w:color w:val="auto"/>
                <w:lang w:eastAsia="en-GB"/>
              </w:rPr>
            </w:pPr>
          </w:p>
        </w:tc>
      </w:tr>
      <w:tr w:rsidR="00070252" w:rsidRPr="0009064E" w14:paraId="330524DA" w14:textId="77777777" w:rsidTr="0056666E">
        <w:tc>
          <w:tcPr>
            <w:tcW w:w="1250" w:type="pct"/>
            <w:shd w:val="clear" w:color="auto" w:fill="auto"/>
          </w:tcPr>
          <w:p w14:paraId="1645DB04" w14:textId="77777777" w:rsidR="00070252" w:rsidRPr="0009064E" w:rsidRDefault="00070252" w:rsidP="006A5294">
            <w:pPr>
              <w:pStyle w:val="Default"/>
              <w:rPr>
                <w:rFonts w:ascii="Times New Roman" w:hAnsi="Times New Roman" w:cs="Times New Roman"/>
                <w:b/>
                <w:color w:val="auto"/>
                <w:lang w:eastAsia="en-GB"/>
              </w:rPr>
            </w:pPr>
            <w:r w:rsidRPr="0009064E">
              <w:rPr>
                <w:rFonts w:ascii="Times New Roman" w:hAnsi="Times New Roman" w:cs="Times New Roman"/>
                <w:b/>
                <w:color w:val="auto"/>
                <w:lang w:eastAsia="en-GB"/>
              </w:rPr>
              <w:t xml:space="preserve">Oprávnené výdavky pripadajúce na finančnú medzeru/očistené o flat rate (základ pre výpočet podpory) </w:t>
            </w:r>
          </w:p>
          <w:p w14:paraId="10EFEA51" w14:textId="77777777" w:rsidR="00070252" w:rsidRPr="0009064E" w:rsidRDefault="00070252" w:rsidP="006A5294">
            <w:pPr>
              <w:pStyle w:val="Default"/>
              <w:rPr>
                <w:rFonts w:ascii="Times New Roman" w:hAnsi="Times New Roman" w:cs="Times New Roman"/>
                <w:b/>
                <w:color w:val="auto"/>
                <w:lang w:eastAsia="en-GB"/>
              </w:rPr>
            </w:pPr>
          </w:p>
        </w:tc>
        <w:tc>
          <w:tcPr>
            <w:tcW w:w="1250" w:type="pct"/>
            <w:shd w:val="clear" w:color="auto" w:fill="auto"/>
          </w:tcPr>
          <w:p w14:paraId="5EFCF24D" w14:textId="77777777" w:rsidR="00070252" w:rsidRPr="0009064E" w:rsidRDefault="00070252" w:rsidP="006A5294">
            <w:pPr>
              <w:pStyle w:val="Default"/>
              <w:rPr>
                <w:rFonts w:ascii="Times New Roman" w:hAnsi="Times New Roman" w:cs="Times New Roman"/>
                <w:color w:val="auto"/>
                <w:lang w:eastAsia="en-GB"/>
              </w:rPr>
            </w:pPr>
            <w:r w:rsidRPr="0009064E">
              <w:rPr>
                <w:rFonts w:ascii="Times New Roman" w:hAnsi="Times New Roman" w:cs="Times New Roman"/>
                <w:color w:val="auto"/>
                <w:lang w:eastAsia="en-GB"/>
              </w:rPr>
              <w:t>NDA</w:t>
            </w:r>
          </w:p>
        </w:tc>
        <w:tc>
          <w:tcPr>
            <w:tcW w:w="1250" w:type="pct"/>
            <w:shd w:val="clear" w:color="auto" w:fill="auto"/>
          </w:tcPr>
          <w:p w14:paraId="28E85BC0" w14:textId="77777777" w:rsidR="00070252" w:rsidRPr="0009064E" w:rsidRDefault="00070252" w:rsidP="006A5294">
            <w:pPr>
              <w:pStyle w:val="Default"/>
              <w:rPr>
                <w:rFonts w:ascii="Times New Roman" w:hAnsi="Times New Roman" w:cs="Times New Roman"/>
                <w:color w:val="auto"/>
                <w:lang w:eastAsia="en-GB"/>
              </w:rPr>
            </w:pPr>
            <w:r w:rsidRPr="0009064E">
              <w:rPr>
                <w:rFonts w:ascii="Times New Roman" w:hAnsi="Times New Roman" w:cs="Times New Roman"/>
                <w:color w:val="auto"/>
                <w:lang w:eastAsia="en-GB"/>
              </w:rPr>
              <w:t>NDA = (1-FR) * EC</w:t>
            </w:r>
          </w:p>
        </w:tc>
        <w:tc>
          <w:tcPr>
            <w:tcW w:w="1250" w:type="pct"/>
            <w:shd w:val="clear" w:color="auto" w:fill="auto"/>
          </w:tcPr>
          <w:p w14:paraId="75149E2D" w14:textId="77777777" w:rsidR="00070252" w:rsidRPr="0009064E" w:rsidRDefault="00070252" w:rsidP="006A5294">
            <w:pPr>
              <w:pStyle w:val="Default"/>
              <w:rPr>
                <w:rFonts w:ascii="Times New Roman" w:hAnsi="Times New Roman" w:cs="Times New Roman"/>
                <w:color w:val="auto"/>
                <w:lang w:eastAsia="en-GB"/>
              </w:rPr>
            </w:pPr>
            <w:r w:rsidRPr="0009064E">
              <w:rPr>
                <w:rFonts w:ascii="Times New Roman" w:hAnsi="Times New Roman" w:cs="Times New Roman"/>
                <w:color w:val="auto"/>
                <w:lang w:eastAsia="en-GB"/>
              </w:rPr>
              <w:t>144 400 000</w:t>
            </w:r>
          </w:p>
        </w:tc>
      </w:tr>
      <w:tr w:rsidR="00070252" w:rsidRPr="0009064E" w14:paraId="5146D76E" w14:textId="77777777" w:rsidTr="0056666E">
        <w:tc>
          <w:tcPr>
            <w:tcW w:w="1250" w:type="pct"/>
            <w:shd w:val="clear" w:color="auto" w:fill="auto"/>
          </w:tcPr>
          <w:p w14:paraId="67638673" w14:textId="77777777" w:rsidR="00070252" w:rsidRPr="0009064E" w:rsidRDefault="00070252" w:rsidP="006A5294">
            <w:pPr>
              <w:pStyle w:val="Default"/>
              <w:rPr>
                <w:rFonts w:ascii="Times New Roman" w:hAnsi="Times New Roman" w:cs="Times New Roman"/>
                <w:b/>
                <w:color w:val="auto"/>
                <w:lang w:eastAsia="en-GB"/>
              </w:rPr>
            </w:pPr>
            <w:r w:rsidRPr="0009064E">
              <w:rPr>
                <w:rFonts w:ascii="Times New Roman" w:hAnsi="Times New Roman" w:cs="Times New Roman"/>
                <w:b/>
                <w:color w:val="auto"/>
                <w:lang w:eastAsia="en-GB"/>
              </w:rPr>
              <w:t xml:space="preserve">Výška príspevku Únie </w:t>
            </w:r>
          </w:p>
          <w:p w14:paraId="7029E003" w14:textId="77777777" w:rsidR="00070252" w:rsidRPr="0009064E" w:rsidRDefault="00070252" w:rsidP="006A5294">
            <w:pPr>
              <w:pStyle w:val="Default"/>
              <w:rPr>
                <w:rFonts w:ascii="Times New Roman" w:hAnsi="Times New Roman" w:cs="Times New Roman"/>
                <w:b/>
                <w:color w:val="auto"/>
                <w:lang w:eastAsia="en-GB"/>
              </w:rPr>
            </w:pPr>
          </w:p>
        </w:tc>
        <w:tc>
          <w:tcPr>
            <w:tcW w:w="1250" w:type="pct"/>
            <w:shd w:val="clear" w:color="auto" w:fill="auto"/>
          </w:tcPr>
          <w:p w14:paraId="1183C50F" w14:textId="77777777" w:rsidR="00070252" w:rsidRPr="0009064E" w:rsidRDefault="00070252" w:rsidP="006A5294">
            <w:pPr>
              <w:pStyle w:val="Default"/>
              <w:rPr>
                <w:rFonts w:ascii="Times New Roman" w:hAnsi="Times New Roman" w:cs="Times New Roman"/>
                <w:color w:val="auto"/>
                <w:lang w:eastAsia="en-GB"/>
              </w:rPr>
            </w:pPr>
            <w:r w:rsidRPr="0009064E">
              <w:rPr>
                <w:rFonts w:ascii="Times New Roman" w:hAnsi="Times New Roman" w:cs="Times New Roman"/>
                <w:color w:val="auto"/>
                <w:lang w:eastAsia="en-GB"/>
              </w:rPr>
              <w:t>EU</w:t>
            </w:r>
          </w:p>
        </w:tc>
        <w:tc>
          <w:tcPr>
            <w:tcW w:w="1250" w:type="pct"/>
            <w:shd w:val="clear" w:color="auto" w:fill="auto"/>
          </w:tcPr>
          <w:p w14:paraId="072B8E92" w14:textId="77777777" w:rsidR="00070252" w:rsidRPr="0009064E" w:rsidRDefault="00070252" w:rsidP="006A5294">
            <w:pPr>
              <w:pStyle w:val="Default"/>
              <w:rPr>
                <w:rFonts w:ascii="Times New Roman" w:hAnsi="Times New Roman" w:cs="Times New Roman"/>
                <w:color w:val="auto"/>
                <w:lang w:eastAsia="en-GB"/>
              </w:rPr>
            </w:pPr>
            <w:r w:rsidRPr="0009064E">
              <w:rPr>
                <w:rFonts w:ascii="Times New Roman" w:hAnsi="Times New Roman" w:cs="Times New Roman"/>
                <w:color w:val="auto"/>
                <w:lang w:eastAsia="en-GB"/>
              </w:rPr>
              <w:t>EU = NDA * p</w:t>
            </w:r>
          </w:p>
        </w:tc>
        <w:tc>
          <w:tcPr>
            <w:tcW w:w="1250" w:type="pct"/>
            <w:shd w:val="clear" w:color="auto" w:fill="auto"/>
          </w:tcPr>
          <w:p w14:paraId="2D091A68" w14:textId="77777777" w:rsidR="00070252" w:rsidRPr="0009064E" w:rsidRDefault="00070252" w:rsidP="006A5294">
            <w:pPr>
              <w:pStyle w:val="Default"/>
              <w:rPr>
                <w:rFonts w:ascii="Times New Roman" w:hAnsi="Times New Roman" w:cs="Times New Roman"/>
                <w:color w:val="auto"/>
                <w:lang w:eastAsia="en-GB"/>
              </w:rPr>
            </w:pPr>
            <w:r w:rsidRPr="0009064E">
              <w:rPr>
                <w:rFonts w:ascii="Times New Roman" w:hAnsi="Times New Roman" w:cs="Times New Roman"/>
                <w:color w:val="auto"/>
                <w:lang w:eastAsia="en-GB"/>
              </w:rPr>
              <w:t>122 740 000</w:t>
            </w:r>
          </w:p>
        </w:tc>
      </w:tr>
      <w:tr w:rsidR="00070252" w:rsidRPr="0009064E" w14:paraId="3BA80BA3" w14:textId="77777777" w:rsidTr="0056666E">
        <w:tc>
          <w:tcPr>
            <w:tcW w:w="1250" w:type="pct"/>
            <w:shd w:val="clear" w:color="auto" w:fill="auto"/>
          </w:tcPr>
          <w:p w14:paraId="25C37406" w14:textId="77777777" w:rsidR="00070252" w:rsidRPr="0009064E" w:rsidRDefault="00070252" w:rsidP="006A5294">
            <w:pPr>
              <w:pStyle w:val="Default"/>
              <w:rPr>
                <w:rFonts w:ascii="Times New Roman" w:hAnsi="Times New Roman" w:cs="Times New Roman"/>
                <w:b/>
                <w:color w:val="auto"/>
                <w:lang w:eastAsia="en-GB"/>
              </w:rPr>
            </w:pPr>
            <w:r w:rsidRPr="0009064E">
              <w:rPr>
                <w:rFonts w:ascii="Times New Roman" w:hAnsi="Times New Roman" w:cs="Times New Roman"/>
                <w:b/>
                <w:color w:val="auto"/>
                <w:lang w:eastAsia="en-GB"/>
              </w:rPr>
              <w:t>Výška národného spolufinancovania</w:t>
            </w:r>
          </w:p>
          <w:p w14:paraId="5646D495" w14:textId="77777777" w:rsidR="00070252" w:rsidRPr="0009064E" w:rsidRDefault="00070252" w:rsidP="006A5294">
            <w:pPr>
              <w:pStyle w:val="Default"/>
              <w:rPr>
                <w:rFonts w:ascii="Times New Roman" w:hAnsi="Times New Roman" w:cs="Times New Roman"/>
                <w:b/>
                <w:color w:val="auto"/>
                <w:lang w:eastAsia="en-GB"/>
              </w:rPr>
            </w:pPr>
          </w:p>
        </w:tc>
        <w:tc>
          <w:tcPr>
            <w:tcW w:w="1250" w:type="pct"/>
            <w:shd w:val="clear" w:color="auto" w:fill="auto"/>
          </w:tcPr>
          <w:p w14:paraId="76564020" w14:textId="77777777" w:rsidR="00070252" w:rsidRPr="0009064E" w:rsidRDefault="00070252" w:rsidP="006A5294">
            <w:pPr>
              <w:pStyle w:val="Default"/>
              <w:rPr>
                <w:rFonts w:ascii="Times New Roman" w:hAnsi="Times New Roman" w:cs="Times New Roman"/>
                <w:color w:val="auto"/>
                <w:lang w:eastAsia="en-GB"/>
              </w:rPr>
            </w:pPr>
            <w:r w:rsidRPr="0009064E">
              <w:rPr>
                <w:rFonts w:ascii="Times New Roman" w:hAnsi="Times New Roman" w:cs="Times New Roman"/>
                <w:color w:val="auto"/>
                <w:lang w:eastAsia="en-GB"/>
              </w:rPr>
              <w:t>NS</w:t>
            </w:r>
          </w:p>
        </w:tc>
        <w:tc>
          <w:tcPr>
            <w:tcW w:w="1250" w:type="pct"/>
            <w:shd w:val="clear" w:color="auto" w:fill="auto"/>
          </w:tcPr>
          <w:p w14:paraId="65E71052" w14:textId="77777777" w:rsidR="00070252" w:rsidRPr="0009064E" w:rsidRDefault="00070252" w:rsidP="006A5294">
            <w:pPr>
              <w:pStyle w:val="Default"/>
              <w:rPr>
                <w:rFonts w:ascii="Times New Roman" w:hAnsi="Times New Roman" w:cs="Times New Roman"/>
                <w:color w:val="auto"/>
                <w:lang w:eastAsia="en-GB"/>
              </w:rPr>
            </w:pPr>
            <w:r w:rsidRPr="0009064E">
              <w:rPr>
                <w:rFonts w:ascii="Times New Roman" w:hAnsi="Times New Roman" w:cs="Times New Roman"/>
                <w:color w:val="auto"/>
                <w:lang w:eastAsia="en-GB"/>
              </w:rPr>
              <w:t>NS = NDA * ns</w:t>
            </w:r>
          </w:p>
        </w:tc>
        <w:tc>
          <w:tcPr>
            <w:tcW w:w="1250" w:type="pct"/>
            <w:shd w:val="clear" w:color="auto" w:fill="auto"/>
          </w:tcPr>
          <w:p w14:paraId="6C6A0E00" w14:textId="77777777" w:rsidR="00070252" w:rsidRPr="0009064E" w:rsidRDefault="00070252" w:rsidP="006A5294">
            <w:pPr>
              <w:pStyle w:val="Default"/>
              <w:rPr>
                <w:rFonts w:ascii="Times New Roman" w:hAnsi="Times New Roman" w:cs="Times New Roman"/>
                <w:color w:val="auto"/>
                <w:lang w:eastAsia="en-GB"/>
              </w:rPr>
            </w:pPr>
            <w:r w:rsidRPr="0009064E">
              <w:rPr>
                <w:rFonts w:ascii="Times New Roman" w:hAnsi="Times New Roman" w:cs="Times New Roman"/>
                <w:color w:val="auto"/>
                <w:lang w:eastAsia="en-GB"/>
              </w:rPr>
              <w:t>21 660 000</w:t>
            </w:r>
          </w:p>
        </w:tc>
      </w:tr>
    </w:tbl>
    <w:p w14:paraId="74431199" w14:textId="69E1737A" w:rsidR="006E6AFB" w:rsidRPr="0009064E" w:rsidRDefault="006E6AFB" w:rsidP="006E6AFB">
      <w:pPr>
        <w:jc w:val="both"/>
      </w:pPr>
      <w:r>
        <w:t xml:space="preserve">Omnibusom sa zaviedla možnosť stanoviť potenciálne čisté príjmy z projektu uplatnením paušálnej sadzby vyjadrenej ako percentuálny podiel čistého príjmu stanoveného riadiacim orgánom za sektor alebo podsektor. Omnibus umožňuje takéto „vnútroštátne sadzby“ len pre sektory resp. podsektory, na ktoré sa nevzťahujú sadzby stanovené Komisiou. </w:t>
      </w:r>
      <w:r>
        <w:rPr>
          <w:bCs/>
          <w:iCs/>
        </w:rPr>
        <w:t xml:space="preserve">RO predloží orgánu auditu dokumentáciu potrebnú k </w:t>
      </w:r>
      <w:r w:rsidRPr="007D7404">
        <w:rPr>
          <w:bCs/>
          <w:iCs/>
        </w:rPr>
        <w:t>overeniu, že paušálna sadzba vyja</w:t>
      </w:r>
      <w:r>
        <w:rPr>
          <w:bCs/>
          <w:iCs/>
        </w:rPr>
        <w:t xml:space="preserve">drená ako percentuálny podiel </w:t>
      </w:r>
      <w:r w:rsidRPr="007D7404">
        <w:rPr>
          <w:bCs/>
          <w:iCs/>
        </w:rPr>
        <w:t>čistého príjmu stanoveného R</w:t>
      </w:r>
      <w:r>
        <w:rPr>
          <w:bCs/>
          <w:iCs/>
        </w:rPr>
        <w:t>O za sektor alebo podsektor bol stanovený</w:t>
      </w:r>
      <w:r w:rsidRPr="007D7404">
        <w:rPr>
          <w:bCs/>
          <w:iCs/>
        </w:rPr>
        <w:t xml:space="preserve"> spravodlivou, nestrannou a overiteľnou metódou založenou na</w:t>
      </w:r>
      <w:r>
        <w:rPr>
          <w:bCs/>
          <w:iCs/>
        </w:rPr>
        <w:t> </w:t>
      </w:r>
      <w:r w:rsidRPr="007D7404">
        <w:rPr>
          <w:bCs/>
          <w:iCs/>
        </w:rPr>
        <w:t>údajoch z minulosti alebo objektívnych kritériách</w:t>
      </w:r>
      <w:r>
        <w:rPr>
          <w:bCs/>
          <w:iCs/>
        </w:rPr>
        <w:t>.</w:t>
      </w:r>
      <w:r w:rsidR="003055B2">
        <w:rPr>
          <w:bCs/>
          <w:iCs/>
        </w:rPr>
        <w:t xml:space="preserve"> P</w:t>
      </w:r>
      <w:r w:rsidR="003055B2" w:rsidRPr="003055B2">
        <w:rPr>
          <w:bCs/>
          <w:iCs/>
        </w:rPr>
        <w:t>redmetná možnosť  (t.j. overenie nastavenej paušálnej sadzby Orgánom auditu) môže byť využitá iba v prípade, pokiaľ nie je možné uplatniť ostatné dve možnosti v zmysle čl. 61 bod 3 písm. a) a b)</w:t>
      </w:r>
      <w:r w:rsidR="003055B2">
        <w:rPr>
          <w:bCs/>
          <w:iCs/>
        </w:rPr>
        <w:t xml:space="preserve"> všeobecného nariadenia</w:t>
      </w:r>
      <w:r w:rsidR="003055B2" w:rsidRPr="003055B2">
        <w:rPr>
          <w:bCs/>
          <w:iCs/>
        </w:rPr>
        <w:t>.</w:t>
      </w:r>
    </w:p>
    <w:p w14:paraId="48A41BF2" w14:textId="77777777" w:rsidR="006E6AFB" w:rsidRPr="0009064E" w:rsidRDefault="006E6AFB" w:rsidP="00070252">
      <w:pPr>
        <w:pStyle w:val="Default"/>
        <w:rPr>
          <w:rFonts w:ascii="Times New Roman" w:hAnsi="Times New Roman" w:cs="Times New Roman"/>
          <w:color w:val="auto"/>
          <w:lang w:eastAsia="en-GB"/>
        </w:rPr>
      </w:pPr>
    </w:p>
    <w:p w14:paraId="38D34CF3" w14:textId="77777777" w:rsidR="00070252" w:rsidRPr="0009064E" w:rsidRDefault="009A0FAA" w:rsidP="009A0FAA">
      <w:pPr>
        <w:pStyle w:val="MPCKO1"/>
      </w:pPr>
      <w:bookmarkStart w:id="44" w:name="_Toc406160866"/>
      <w:bookmarkStart w:id="45" w:name="_Toc406160956"/>
      <w:bookmarkStart w:id="46" w:name="_Toc527539380"/>
      <w:r>
        <w:t xml:space="preserve">4 </w:t>
      </w:r>
      <w:bookmarkEnd w:id="44"/>
      <w:bookmarkEnd w:id="45"/>
      <w:r>
        <w:t>Monitorovanie čistých príjmov</w:t>
      </w:r>
      <w:bookmarkEnd w:id="46"/>
    </w:p>
    <w:p w14:paraId="1D3BCCDD" w14:textId="016A98AB" w:rsidR="00070252" w:rsidRPr="0009064E" w:rsidRDefault="00070252" w:rsidP="00070252">
      <w:pPr>
        <w:jc w:val="both"/>
      </w:pPr>
      <w:r w:rsidRPr="0009064E">
        <w:t>Riadiaci orgán zabezpečí príslušné kontrolné postupy monitorovania čistých príjmov z</w:t>
      </w:r>
      <w:r w:rsidR="00A75416">
        <w:t> </w:t>
      </w:r>
      <w:r w:rsidRPr="0009064E">
        <w:t xml:space="preserve">projektu, ktoré spĺňajú kritériá článku. 61 ods. 1 až 6 </w:t>
      </w:r>
      <w:r w:rsidR="004062DC">
        <w:t xml:space="preserve">všeobecného </w:t>
      </w:r>
      <w:r w:rsidRPr="0009064E">
        <w:t>nariadenia .</w:t>
      </w:r>
    </w:p>
    <w:p w14:paraId="1A2EF1CF" w14:textId="77777777" w:rsidR="00070252" w:rsidRPr="0009064E" w:rsidRDefault="00070252" w:rsidP="00070252">
      <w:pPr>
        <w:jc w:val="both"/>
      </w:pPr>
    </w:p>
    <w:p w14:paraId="15FF5C88" w14:textId="5DB8D05C" w:rsidR="00070252" w:rsidRPr="0009064E" w:rsidRDefault="00070252" w:rsidP="00070252">
      <w:pPr>
        <w:jc w:val="both"/>
      </w:pPr>
      <w:r w:rsidRPr="0009064E">
        <w:t xml:space="preserve">Pri projektoch generujúcich príjem v zmysle čl. 61 </w:t>
      </w:r>
      <w:r w:rsidR="004062DC">
        <w:t>všeobecného n</w:t>
      </w:r>
      <w:r w:rsidRPr="0009064E">
        <w:t>ariadenia  monitorujeme tzv. „čisté príjmy“. Čisté príjmy projektu definujeme ako rozdiel medzi príjmami (v pôsobnosti článku 61) zvýšenými o prípadnú zostatkovú hodnotu investície (pri projektoch podľa 61(3)) v poslednom roku referenčného obdobia a prevádzkovými výdavkami projektu v rámci celého referenčného obdobia.</w:t>
      </w:r>
    </w:p>
    <w:p w14:paraId="008D8814" w14:textId="77777777" w:rsidR="00070252" w:rsidRPr="0009064E" w:rsidRDefault="00070252" w:rsidP="00070252">
      <w:pPr>
        <w:jc w:val="both"/>
      </w:pPr>
    </w:p>
    <w:p w14:paraId="50AA235C" w14:textId="77777777" w:rsidR="00070252" w:rsidRPr="0009064E" w:rsidRDefault="00070252" w:rsidP="00070252">
      <w:pPr>
        <w:jc w:val="both"/>
      </w:pPr>
      <w:r w:rsidRPr="0009064E">
        <w:t>Prípadná zostatková hodnota v poslednom referenčnom roku finančnej analýzy vystupuje ako príjem a je potrebné ju zahrnúť do výpočtu finančnej medzery.</w:t>
      </w:r>
    </w:p>
    <w:p w14:paraId="2A1B4DD3" w14:textId="161E3FDA" w:rsidR="00070252" w:rsidRPr="0009064E" w:rsidRDefault="00070252" w:rsidP="00070252">
      <w:pPr>
        <w:jc w:val="both"/>
      </w:pPr>
      <w:r w:rsidRPr="0009064E">
        <w:t xml:space="preserve">Monitorované prevádzkové výdavky - zahŕňajú všetky výdavky predpokladané pre nákup tovaru a služieb, pretože sa spotrebúvajú v každom účtovnom období (priame výrobné náklady, administratívne výdavky, výdavky na tržby a distribúciu). Z prevádzkových výdavkov musia byť vyňaté všetky položky, ktoré nezvyšujú efektívne peňažné výdavky – nie sú v cashflow projektu (napr. odpisy, rezervy pre nepredvídané straty, rezervy na budúce </w:t>
      </w:r>
      <w:r w:rsidRPr="0009064E">
        <w:lastRenderedPageBreak/>
        <w:t>náklady) a finančné náklady- platby úrokov. Súčasťou prevádzkových výdavkov ale môžu byť aj výdavky vzniknuté počas prevádzkovej fázy projektu (napr. obnova zariadenia s</w:t>
      </w:r>
      <w:r w:rsidR="00A75416">
        <w:t> </w:t>
      </w:r>
      <w:r w:rsidRPr="0009064E">
        <w:t>kratšou životnosťou, mimoriadna údržba).</w:t>
      </w:r>
    </w:p>
    <w:p w14:paraId="74856EF1" w14:textId="77777777" w:rsidR="00070252" w:rsidRPr="0009064E" w:rsidRDefault="00070252" w:rsidP="00070252">
      <w:pPr>
        <w:jc w:val="both"/>
      </w:pPr>
    </w:p>
    <w:p w14:paraId="3DFE04D8" w14:textId="77777777" w:rsidR="00070252" w:rsidRPr="0009064E" w:rsidRDefault="00070252" w:rsidP="00070252">
      <w:pPr>
        <w:jc w:val="both"/>
        <w:rPr>
          <w:b/>
        </w:rPr>
      </w:pPr>
      <w:r w:rsidRPr="0009064E">
        <w:rPr>
          <w:b/>
        </w:rPr>
        <w:t xml:space="preserve">Monitorované príjmy v (pôsobnosti čl. 61) </w:t>
      </w:r>
    </w:p>
    <w:p w14:paraId="550C9E85" w14:textId="77777777" w:rsidR="00070252" w:rsidRPr="0009064E" w:rsidRDefault="00070252" w:rsidP="00070252">
      <w:pPr>
        <w:jc w:val="both"/>
        <w:rPr>
          <w:rStyle w:val="longtext1"/>
          <w:rFonts w:ascii="Arial" w:hAnsi="Arial" w:cs="Arial"/>
          <w:shd w:val="clear" w:color="auto" w:fill="FFFFFF"/>
        </w:rPr>
      </w:pPr>
      <w:r w:rsidRPr="0009064E">
        <w:t>Príjmy realizované v rámci projektu možno rozdeliť na peňažné príjmy podľa článku 61 a iné peňažné príjmy. Do výpočtu finančnej medzery sú zaradené iba príjmy zodpovedajúce definícii článku 61, tzn. peňažné príjmy priamo hradené užívateľmi za tovar a / alebo služby poskytované investičným projektom, napríklad poplatky za používanie infraštruktúry, predaj alebo prenájom pozemkov alebo budov alebo poplatky za poskytovanie služieb</w:t>
      </w:r>
      <w:r w:rsidRPr="0009064E">
        <w:rPr>
          <w:rStyle w:val="longtext1"/>
          <w:rFonts w:ascii="Arial" w:hAnsi="Arial" w:cs="Arial"/>
          <w:color w:val="000000"/>
        </w:rPr>
        <w:t>;</w:t>
      </w:r>
    </w:p>
    <w:p w14:paraId="602A3C2A" w14:textId="77777777" w:rsidR="00070252" w:rsidRPr="0009064E" w:rsidRDefault="00070252" w:rsidP="00070252"/>
    <w:p w14:paraId="4F530E05" w14:textId="77777777" w:rsidR="00070252" w:rsidRPr="0009064E" w:rsidRDefault="00070252" w:rsidP="00070252">
      <w:pPr>
        <w:jc w:val="both"/>
      </w:pPr>
      <w:r w:rsidRPr="0009064E">
        <w:t>Iné peňažné príjmy – sú súkromné a verejné príspevky a / alebo finančné zisky, ktoré nepochádzajú z poplatkov, mýta atď. Tieto peňažné príjmy nespadajú pod článok 61 a nezahŕňajú sa do výpočtu finančnej medzery.</w:t>
      </w:r>
    </w:p>
    <w:p w14:paraId="404DABD6" w14:textId="77777777" w:rsidR="00A5714E" w:rsidRDefault="00A5714E" w:rsidP="00070252"/>
    <w:p w14:paraId="7EC5F84C" w14:textId="77777777" w:rsidR="00070252" w:rsidRPr="0009064E" w:rsidRDefault="00003C71" w:rsidP="0056666E">
      <w:pPr>
        <w:pageBreakBefore/>
      </w:pPr>
      <w:r>
        <w:lastRenderedPageBreak/>
        <w:t>Tab.</w:t>
      </w:r>
      <w:r w:rsidR="00070252" w:rsidRPr="0009064E">
        <w:t xml:space="preserve"> Príklady príjmov v súlade s čl. 61 a iných peňažných príjmov</w:t>
      </w:r>
    </w:p>
    <w:p w14:paraId="0BD3675C" w14:textId="77777777" w:rsidR="00070252" w:rsidRPr="0009064E" w:rsidRDefault="00070252" w:rsidP="0056666E">
      <w:pPr>
        <w:keepLines/>
      </w:pPr>
    </w:p>
    <w:tbl>
      <w:tblPr>
        <w:tblW w:w="0" w:type="auto"/>
        <w:tblInd w:w="-5" w:type="dxa"/>
        <w:tblLayout w:type="fixed"/>
        <w:tblLook w:val="0000" w:firstRow="0" w:lastRow="0" w:firstColumn="0" w:lastColumn="0" w:noHBand="0" w:noVBand="0"/>
      </w:tblPr>
      <w:tblGrid>
        <w:gridCol w:w="4605"/>
        <w:gridCol w:w="4615"/>
      </w:tblGrid>
      <w:tr w:rsidR="00070252" w:rsidRPr="0009064E" w14:paraId="6EA47316" w14:textId="77777777" w:rsidTr="0056666E">
        <w:tc>
          <w:tcPr>
            <w:tcW w:w="4605" w:type="dxa"/>
            <w:tcBorders>
              <w:top w:val="single" w:sz="4" w:space="0" w:color="000000"/>
              <w:left w:val="single" w:sz="4" w:space="0" w:color="000000"/>
              <w:bottom w:val="single" w:sz="4" w:space="0" w:color="000000"/>
            </w:tcBorders>
            <w:shd w:val="clear" w:color="auto" w:fill="C6D9F1"/>
          </w:tcPr>
          <w:p w14:paraId="4830EFB1" w14:textId="77777777" w:rsidR="00070252" w:rsidRPr="0009064E" w:rsidRDefault="00070252" w:rsidP="0056666E">
            <w:pPr>
              <w:keepLines/>
              <w:snapToGrid w:val="0"/>
              <w:rPr>
                <w:rStyle w:val="longtext1"/>
                <w:rFonts w:ascii="Arial" w:hAnsi="Arial" w:cs="Arial"/>
                <w:shd w:val="clear" w:color="auto" w:fill="FFFFFF"/>
              </w:rPr>
            </w:pPr>
            <w:r w:rsidRPr="0009064E">
              <w:rPr>
                <w:rStyle w:val="longtext1"/>
                <w:rFonts w:ascii="Arial" w:hAnsi="Arial" w:cs="Arial"/>
                <w:shd w:val="clear" w:color="auto" w:fill="FFFFFF"/>
              </w:rPr>
              <w:t>Príjmy v súlade s čl. 61</w:t>
            </w:r>
          </w:p>
        </w:tc>
        <w:tc>
          <w:tcPr>
            <w:tcW w:w="4615" w:type="dxa"/>
            <w:tcBorders>
              <w:top w:val="single" w:sz="4" w:space="0" w:color="000000"/>
              <w:left w:val="single" w:sz="4" w:space="0" w:color="000000"/>
              <w:bottom w:val="single" w:sz="4" w:space="0" w:color="000000"/>
              <w:right w:val="single" w:sz="4" w:space="0" w:color="000000"/>
            </w:tcBorders>
            <w:shd w:val="clear" w:color="auto" w:fill="C6D9F1"/>
          </w:tcPr>
          <w:p w14:paraId="186826C8" w14:textId="77777777" w:rsidR="00070252" w:rsidRPr="0009064E" w:rsidRDefault="00070252" w:rsidP="0056666E">
            <w:pPr>
              <w:keepLines/>
              <w:snapToGrid w:val="0"/>
              <w:rPr>
                <w:rStyle w:val="longtext1"/>
                <w:rFonts w:ascii="Arial" w:hAnsi="Arial" w:cs="Arial"/>
                <w:shd w:val="clear" w:color="auto" w:fill="FFFFFF"/>
              </w:rPr>
            </w:pPr>
            <w:r w:rsidRPr="0009064E">
              <w:rPr>
                <w:rStyle w:val="longtext1"/>
                <w:rFonts w:ascii="Arial" w:hAnsi="Arial" w:cs="Arial"/>
                <w:shd w:val="clear" w:color="auto" w:fill="FFFFFF"/>
              </w:rPr>
              <w:t>Iné peňažné príjmy</w:t>
            </w:r>
          </w:p>
        </w:tc>
      </w:tr>
      <w:tr w:rsidR="00070252" w:rsidRPr="0009064E" w14:paraId="0ACEBB35" w14:textId="77777777" w:rsidTr="0056666E">
        <w:tc>
          <w:tcPr>
            <w:tcW w:w="4605" w:type="dxa"/>
            <w:tcBorders>
              <w:top w:val="single" w:sz="4" w:space="0" w:color="000000"/>
              <w:left w:val="single" w:sz="4" w:space="0" w:color="000000"/>
              <w:bottom w:val="single" w:sz="4" w:space="0" w:color="000000"/>
            </w:tcBorders>
          </w:tcPr>
          <w:p w14:paraId="35E0082E" w14:textId="77777777" w:rsidR="00070252" w:rsidRPr="0009064E" w:rsidRDefault="00070252" w:rsidP="0056666E">
            <w:pPr>
              <w:keepLines/>
              <w:snapToGrid w:val="0"/>
              <w:rPr>
                <w:rStyle w:val="longtext1"/>
                <w:rFonts w:ascii="Arial" w:hAnsi="Arial" w:cs="Arial"/>
                <w:shd w:val="clear" w:color="auto" w:fill="FFFFFF"/>
              </w:rPr>
            </w:pPr>
            <w:r w:rsidRPr="0009064E">
              <w:rPr>
                <w:rStyle w:val="longtext1"/>
                <w:rFonts w:ascii="Arial" w:hAnsi="Arial" w:cs="Arial"/>
                <w:shd w:val="clear" w:color="auto" w:fill="FFFFFF"/>
              </w:rPr>
              <w:t>Mýto účtované vodičom za užívanie diaľnic</w:t>
            </w:r>
          </w:p>
        </w:tc>
        <w:tc>
          <w:tcPr>
            <w:tcW w:w="4615" w:type="dxa"/>
            <w:tcBorders>
              <w:top w:val="single" w:sz="4" w:space="0" w:color="000000"/>
              <w:left w:val="single" w:sz="4" w:space="0" w:color="000000"/>
              <w:bottom w:val="single" w:sz="4" w:space="0" w:color="000000"/>
              <w:right w:val="single" w:sz="4" w:space="0" w:color="000000"/>
            </w:tcBorders>
          </w:tcPr>
          <w:p w14:paraId="6EA6A9D8" w14:textId="77777777" w:rsidR="00070252" w:rsidRPr="0009064E" w:rsidRDefault="00070252" w:rsidP="0056666E">
            <w:pPr>
              <w:keepLines/>
              <w:snapToGrid w:val="0"/>
              <w:rPr>
                <w:rStyle w:val="longtext1"/>
                <w:rFonts w:ascii="Arial" w:hAnsi="Arial" w:cs="Arial"/>
                <w:shd w:val="clear" w:color="auto" w:fill="FFFFFF"/>
              </w:rPr>
            </w:pPr>
            <w:r w:rsidRPr="0009064E">
              <w:rPr>
                <w:rStyle w:val="longtext1"/>
                <w:rFonts w:ascii="Arial" w:hAnsi="Arial" w:cs="Arial"/>
                <w:shd w:val="clear" w:color="auto" w:fill="FFFFFF"/>
              </w:rPr>
              <w:t>Príjmy z predaja porazených stromov</w:t>
            </w:r>
          </w:p>
        </w:tc>
      </w:tr>
      <w:tr w:rsidR="00070252" w:rsidRPr="0009064E" w14:paraId="53B6DAD4" w14:textId="77777777" w:rsidTr="0056666E">
        <w:tc>
          <w:tcPr>
            <w:tcW w:w="4605" w:type="dxa"/>
            <w:tcBorders>
              <w:top w:val="single" w:sz="4" w:space="0" w:color="000000"/>
              <w:left w:val="single" w:sz="4" w:space="0" w:color="000000"/>
              <w:bottom w:val="single" w:sz="4" w:space="0" w:color="000000"/>
            </w:tcBorders>
          </w:tcPr>
          <w:p w14:paraId="37F09DEC" w14:textId="77777777" w:rsidR="00070252" w:rsidRPr="0009064E" w:rsidRDefault="00070252" w:rsidP="0056666E">
            <w:pPr>
              <w:keepLines/>
              <w:snapToGrid w:val="0"/>
              <w:rPr>
                <w:rStyle w:val="longtext1"/>
                <w:rFonts w:ascii="Arial" w:hAnsi="Arial" w:cs="Arial"/>
                <w:shd w:val="clear" w:color="auto" w:fill="FFFFFF"/>
              </w:rPr>
            </w:pPr>
            <w:r w:rsidRPr="0009064E">
              <w:rPr>
                <w:rStyle w:val="longtext1"/>
                <w:rFonts w:ascii="Arial" w:hAnsi="Arial" w:cs="Arial"/>
                <w:shd w:val="clear" w:color="auto" w:fill="FFFFFF"/>
              </w:rPr>
              <w:t>Cestovné lístky platené cestujúcimi</w:t>
            </w:r>
          </w:p>
        </w:tc>
        <w:tc>
          <w:tcPr>
            <w:tcW w:w="4615" w:type="dxa"/>
            <w:tcBorders>
              <w:top w:val="single" w:sz="4" w:space="0" w:color="000000"/>
              <w:left w:val="single" w:sz="4" w:space="0" w:color="000000"/>
              <w:bottom w:val="single" w:sz="4" w:space="0" w:color="000000"/>
              <w:right w:val="single" w:sz="4" w:space="0" w:color="000000"/>
            </w:tcBorders>
          </w:tcPr>
          <w:p w14:paraId="24E72D05" w14:textId="77777777" w:rsidR="00070252" w:rsidRPr="0009064E" w:rsidRDefault="00070252" w:rsidP="0056666E">
            <w:pPr>
              <w:keepLines/>
              <w:snapToGrid w:val="0"/>
              <w:rPr>
                <w:rStyle w:val="longtext1"/>
                <w:rFonts w:ascii="Arial" w:hAnsi="Arial" w:cs="Arial"/>
                <w:shd w:val="clear" w:color="auto" w:fill="FFFFFF"/>
              </w:rPr>
            </w:pPr>
            <w:r w:rsidRPr="0009064E">
              <w:rPr>
                <w:rStyle w:val="longtext1"/>
                <w:rFonts w:ascii="Arial" w:hAnsi="Arial" w:cs="Arial"/>
                <w:shd w:val="clear" w:color="auto" w:fill="FFFFFF"/>
              </w:rPr>
              <w:t>Dotácia od verejných orgánov na prevádzkové náklady príp. iné</w:t>
            </w:r>
          </w:p>
        </w:tc>
      </w:tr>
      <w:tr w:rsidR="00070252" w:rsidRPr="0009064E" w14:paraId="2DFF9867" w14:textId="77777777" w:rsidTr="0056666E">
        <w:tc>
          <w:tcPr>
            <w:tcW w:w="4605" w:type="dxa"/>
            <w:tcBorders>
              <w:top w:val="single" w:sz="4" w:space="0" w:color="000000"/>
              <w:left w:val="single" w:sz="4" w:space="0" w:color="000000"/>
              <w:bottom w:val="single" w:sz="4" w:space="0" w:color="000000"/>
            </w:tcBorders>
          </w:tcPr>
          <w:p w14:paraId="28F5D1D5" w14:textId="77777777" w:rsidR="00070252" w:rsidRPr="0009064E" w:rsidRDefault="00070252" w:rsidP="0056666E">
            <w:pPr>
              <w:keepLines/>
              <w:snapToGrid w:val="0"/>
              <w:rPr>
                <w:rStyle w:val="longtext1"/>
                <w:rFonts w:ascii="Arial" w:hAnsi="Arial" w:cs="Arial"/>
                <w:shd w:val="clear" w:color="auto" w:fill="FFFFFF"/>
              </w:rPr>
            </w:pPr>
            <w:r w:rsidRPr="0009064E">
              <w:rPr>
                <w:rStyle w:val="longtext1"/>
                <w:rFonts w:ascii="Arial" w:hAnsi="Arial" w:cs="Arial"/>
                <w:shd w:val="clear" w:color="auto" w:fill="FFFFFF"/>
              </w:rPr>
              <w:t>nájomné platené užívateľmi za užívanie</w:t>
            </w:r>
            <w:r w:rsidRPr="0009064E">
              <w:rPr>
                <w:rStyle w:val="longtext1"/>
                <w:rFonts w:ascii="Arial" w:hAnsi="Arial" w:cs="Arial"/>
                <w:shd w:val="clear" w:color="auto" w:fill="FFFFFF"/>
              </w:rPr>
              <w:br/>
              <w:t>budov a služieb v rámci projektu</w:t>
            </w:r>
          </w:p>
        </w:tc>
        <w:tc>
          <w:tcPr>
            <w:tcW w:w="4615" w:type="dxa"/>
            <w:tcBorders>
              <w:top w:val="single" w:sz="4" w:space="0" w:color="000000"/>
              <w:left w:val="single" w:sz="4" w:space="0" w:color="000000"/>
              <w:bottom w:val="single" w:sz="4" w:space="0" w:color="000000"/>
              <w:right w:val="single" w:sz="4" w:space="0" w:color="000000"/>
            </w:tcBorders>
          </w:tcPr>
          <w:p w14:paraId="797F918C" w14:textId="77777777" w:rsidR="00070252" w:rsidRPr="0009064E" w:rsidRDefault="00070252" w:rsidP="0056666E">
            <w:pPr>
              <w:keepLines/>
              <w:snapToGrid w:val="0"/>
              <w:rPr>
                <w:rStyle w:val="longtext1"/>
                <w:rFonts w:ascii="Arial" w:hAnsi="Arial" w:cs="Arial"/>
                <w:shd w:val="clear" w:color="auto" w:fill="FFFFFF"/>
              </w:rPr>
            </w:pPr>
            <w:r w:rsidRPr="0009064E">
              <w:rPr>
                <w:rStyle w:val="longtext1"/>
                <w:rFonts w:ascii="Arial" w:hAnsi="Arial" w:cs="Arial"/>
                <w:shd w:val="clear" w:color="auto" w:fill="FFFFFF"/>
              </w:rPr>
              <w:t>Úhrady hradené zdravotnými poisťovňami</w:t>
            </w:r>
            <w:r w:rsidRPr="0009064E">
              <w:rPr>
                <w:rStyle w:val="longtext1"/>
                <w:rFonts w:ascii="Arial" w:hAnsi="Arial" w:cs="Arial"/>
                <w:shd w:val="clear" w:color="auto" w:fill="FFFFFF"/>
              </w:rPr>
              <w:br/>
              <w:t>z príspevkov verejného zdravotného poistenia</w:t>
            </w:r>
          </w:p>
        </w:tc>
      </w:tr>
      <w:tr w:rsidR="00070252" w:rsidRPr="0009064E" w14:paraId="67E75D50" w14:textId="77777777" w:rsidTr="0056666E">
        <w:tc>
          <w:tcPr>
            <w:tcW w:w="4605" w:type="dxa"/>
            <w:tcBorders>
              <w:top w:val="single" w:sz="4" w:space="0" w:color="000000"/>
              <w:left w:val="single" w:sz="4" w:space="0" w:color="000000"/>
              <w:bottom w:val="single" w:sz="4" w:space="0" w:color="000000"/>
            </w:tcBorders>
          </w:tcPr>
          <w:p w14:paraId="41867AAA" w14:textId="77777777" w:rsidR="00070252" w:rsidRPr="0009064E" w:rsidRDefault="00070252" w:rsidP="0056666E">
            <w:pPr>
              <w:keepLines/>
              <w:snapToGrid w:val="0"/>
              <w:rPr>
                <w:rStyle w:val="longtext1"/>
                <w:rFonts w:ascii="Arial" w:hAnsi="Arial" w:cs="Arial"/>
                <w:shd w:val="clear" w:color="auto" w:fill="FFFFFF"/>
              </w:rPr>
            </w:pPr>
            <w:r w:rsidRPr="0009064E">
              <w:rPr>
                <w:rStyle w:val="longtext1"/>
                <w:rFonts w:ascii="Arial" w:hAnsi="Arial" w:cs="Arial"/>
                <w:shd w:val="clear" w:color="auto" w:fill="FFFFFF"/>
              </w:rPr>
              <w:t>Školiace poplatky, vstupné</w:t>
            </w:r>
          </w:p>
        </w:tc>
        <w:tc>
          <w:tcPr>
            <w:tcW w:w="4615" w:type="dxa"/>
            <w:tcBorders>
              <w:top w:val="single" w:sz="4" w:space="0" w:color="000000"/>
              <w:left w:val="single" w:sz="4" w:space="0" w:color="000000"/>
              <w:bottom w:val="single" w:sz="4" w:space="0" w:color="000000"/>
              <w:right w:val="single" w:sz="4" w:space="0" w:color="000000"/>
            </w:tcBorders>
          </w:tcPr>
          <w:p w14:paraId="5F1C9E07" w14:textId="77777777" w:rsidR="00070252" w:rsidRPr="0009064E" w:rsidRDefault="00070252" w:rsidP="0056666E">
            <w:pPr>
              <w:keepLines/>
              <w:snapToGrid w:val="0"/>
              <w:rPr>
                <w:rStyle w:val="longtext1"/>
                <w:rFonts w:ascii="Arial" w:hAnsi="Arial" w:cs="Arial"/>
                <w:shd w:val="clear" w:color="auto" w:fill="FFFFFF"/>
              </w:rPr>
            </w:pPr>
            <w:r w:rsidRPr="0009064E">
              <w:rPr>
                <w:rStyle w:val="longtext1"/>
                <w:rFonts w:ascii="Arial" w:hAnsi="Arial" w:cs="Arial"/>
                <w:shd w:val="clear" w:color="auto" w:fill="FFFFFF"/>
              </w:rPr>
              <w:t>Súkromné dary</w:t>
            </w:r>
          </w:p>
        </w:tc>
      </w:tr>
      <w:tr w:rsidR="00070252" w:rsidRPr="0009064E" w14:paraId="07831758" w14:textId="77777777" w:rsidTr="0056666E">
        <w:tc>
          <w:tcPr>
            <w:tcW w:w="4605" w:type="dxa"/>
            <w:tcBorders>
              <w:top w:val="single" w:sz="4" w:space="0" w:color="000000"/>
              <w:left w:val="single" w:sz="4" w:space="0" w:color="000000"/>
              <w:bottom w:val="single" w:sz="4" w:space="0" w:color="000000"/>
            </w:tcBorders>
          </w:tcPr>
          <w:p w14:paraId="31F3C00C" w14:textId="77777777" w:rsidR="00070252" w:rsidRPr="0009064E" w:rsidRDefault="00070252" w:rsidP="0056666E">
            <w:pPr>
              <w:keepLines/>
              <w:snapToGrid w:val="0"/>
              <w:rPr>
                <w:rStyle w:val="longtext1"/>
                <w:rFonts w:ascii="Arial" w:hAnsi="Arial" w:cs="Arial"/>
                <w:shd w:val="clear" w:color="auto" w:fill="FFFFFF"/>
              </w:rPr>
            </w:pPr>
            <w:r w:rsidRPr="0009064E">
              <w:rPr>
                <w:rStyle w:val="longtext1"/>
                <w:rFonts w:ascii="Arial" w:hAnsi="Arial" w:cs="Arial"/>
                <w:shd w:val="clear" w:color="auto" w:fill="FFFFFF"/>
              </w:rPr>
              <w:t>Prípadná zostatková hodnota v poslednom referenčnom roku finančnej analýzy 61(3)</w:t>
            </w:r>
          </w:p>
        </w:tc>
        <w:tc>
          <w:tcPr>
            <w:tcW w:w="4615" w:type="dxa"/>
            <w:tcBorders>
              <w:top w:val="single" w:sz="4" w:space="0" w:color="000000"/>
              <w:left w:val="single" w:sz="4" w:space="0" w:color="000000"/>
              <w:bottom w:val="single" w:sz="4" w:space="0" w:color="000000"/>
              <w:right w:val="single" w:sz="4" w:space="0" w:color="000000"/>
            </w:tcBorders>
          </w:tcPr>
          <w:p w14:paraId="6F1B5B1B" w14:textId="77777777" w:rsidR="00070252" w:rsidRPr="0009064E" w:rsidRDefault="00070252" w:rsidP="0056666E">
            <w:pPr>
              <w:keepLines/>
              <w:snapToGrid w:val="0"/>
              <w:rPr>
                <w:rStyle w:val="longtext1"/>
                <w:rFonts w:ascii="Arial" w:hAnsi="Arial" w:cs="Arial"/>
                <w:shd w:val="clear" w:color="auto" w:fill="FFFFFF"/>
              </w:rPr>
            </w:pPr>
          </w:p>
        </w:tc>
      </w:tr>
    </w:tbl>
    <w:p w14:paraId="4B233A40" w14:textId="77777777" w:rsidR="00070252" w:rsidRPr="0009064E" w:rsidRDefault="00070252" w:rsidP="00070252"/>
    <w:p w14:paraId="217E7455" w14:textId="6B95C11C" w:rsidR="00070252" w:rsidRPr="0009064E" w:rsidRDefault="00070252" w:rsidP="00070252">
      <w:pPr>
        <w:jc w:val="both"/>
      </w:pPr>
      <w:r w:rsidRPr="0009064E">
        <w:t>Avšak RO má možnosť definitívne rozhodnúť o zohľadnení iných peňažných príjmov pri</w:t>
      </w:r>
      <w:r w:rsidR="00A75416">
        <w:t> </w:t>
      </w:r>
      <w:r w:rsidRPr="0009064E">
        <w:t>stanovení výšky NFP. Európska komisia obligatórne nevyžaduje zohľadnenie a monitorovanie týchto príjmov, ale doporučuje posúdenie týchto príjmov najmä ak dosahujú podstatných hodnôt, tak aby bolo maximalizované využitie</w:t>
      </w:r>
      <w:r w:rsidR="00B548A6">
        <w:t xml:space="preserve"> EŠIF</w:t>
      </w:r>
      <w:r w:rsidRPr="0009064E">
        <w:t xml:space="preserve">  (v súlade s princípom zdravého finančného riadenia).Riadiaci orgán musí potom nastaviť spôsob zohľadnenia týchto iných peňažných príjmov, t. j či budú zahrnuté do výpočtu finančnej medzery.</w:t>
      </w:r>
      <w:r w:rsidR="008D55E2">
        <w:t xml:space="preserve"> </w:t>
      </w:r>
      <w:r w:rsidRPr="0009064E">
        <w:t>Hodnotu iných peňažných príjmov môže stanoviť RO ako podstatnú, ak napr. dosiahnu peňažné príjmy stanovený percentuálny podiel voči celkovým príjmom projektu (stanovený vo Výzve na</w:t>
      </w:r>
      <w:r w:rsidR="00A75416">
        <w:t> </w:t>
      </w:r>
      <w:r w:rsidRPr="0009064E">
        <w:t>predkladanie ŽoNFP).</w:t>
      </w:r>
    </w:p>
    <w:p w14:paraId="0B419482" w14:textId="77777777" w:rsidR="00070252" w:rsidRPr="0009064E" w:rsidRDefault="00070252" w:rsidP="00070252">
      <w:pPr>
        <w:jc w:val="both"/>
      </w:pPr>
    </w:p>
    <w:p w14:paraId="6DEAF878" w14:textId="77777777" w:rsidR="00070252" w:rsidRPr="0009064E" w:rsidRDefault="00070252" w:rsidP="00070252">
      <w:pPr>
        <w:jc w:val="both"/>
      </w:pPr>
      <w:r w:rsidRPr="0009064E">
        <w:t>Výšku príjmov a výdavkov monitorovaného obdobia musí prijímateľ náležite dokladovať prostredníctvom analytickej evidencie príjmov a výdavkov viažucich sa na realizovaný projekt.</w:t>
      </w:r>
    </w:p>
    <w:p w14:paraId="6A4B0B1A" w14:textId="77777777" w:rsidR="00070252" w:rsidRPr="0009064E" w:rsidRDefault="00070252" w:rsidP="00070252">
      <w:pPr>
        <w:jc w:val="both"/>
      </w:pPr>
    </w:p>
    <w:p w14:paraId="5BF5D9DB" w14:textId="6B1E35F9" w:rsidR="00070252" w:rsidRPr="0009064E" w:rsidRDefault="00070252" w:rsidP="00070252">
      <w:pPr>
        <w:jc w:val="both"/>
        <w:rPr>
          <w:b/>
        </w:rPr>
      </w:pPr>
      <w:r w:rsidRPr="0009064E">
        <w:t>Ceny investičných výdavkov, prevádzkových výdavkov, príjmov ako aj ostatných faktorov musia byť obsiahnuté v analýze CBA bez dane z pridanej hodnoty. DPH môže byť vstupom CBA analýzy len v prípadoch, keď nie je refundovateľná (podľa slovenských daňových zákonov). Žiadateľ by mal špecifikovať v žiadosti, či je registrovaný ako platiteľ DPH alebo nie. DPH by mala byť obsiahnutá v CBA, ak žiadateľ nie je registrovaný ako platiteľ DPH. Ak je DPH refundovateľná príjmy aj výdavky by sa mali zakladať na číselných hodnotách bez</w:t>
      </w:r>
      <w:r w:rsidR="00A75416">
        <w:t> </w:t>
      </w:r>
      <w:r w:rsidRPr="0009064E">
        <w:t xml:space="preserve">DPH. </w:t>
      </w:r>
      <w:r w:rsidRPr="0009064E">
        <w:rPr>
          <w:b/>
        </w:rPr>
        <w:t>V prípade, že žiadateľ má v projekte oba druhy aktivít (podliehajúce DPH a nepodliehajúce DPH) musí jednoznačne deklarovať riadiacemu orgánu pri predložení finančnej anal</w:t>
      </w:r>
      <w:r w:rsidR="009337EA">
        <w:rPr>
          <w:b/>
        </w:rPr>
        <w:t>ýzy ich rozdelenie, aby sa predi</w:t>
      </w:r>
      <w:r w:rsidRPr="0009064E">
        <w:rPr>
          <w:b/>
        </w:rPr>
        <w:t>šlo následnému prepočtu finančnej medzery a vratkám.</w:t>
      </w:r>
    </w:p>
    <w:p w14:paraId="01B3989B" w14:textId="77777777" w:rsidR="00070252" w:rsidRPr="0009064E" w:rsidRDefault="00070252" w:rsidP="00070252">
      <w:pPr>
        <w:jc w:val="both"/>
      </w:pPr>
    </w:p>
    <w:p w14:paraId="61F210F4" w14:textId="01097364" w:rsidR="00070252" w:rsidRPr="0009064E" w:rsidRDefault="00070252" w:rsidP="00070252">
      <w:pPr>
        <w:jc w:val="both"/>
      </w:pPr>
      <w:r w:rsidRPr="0009064E">
        <w:t xml:space="preserve">Riadiaci orgán zabezpečí, aby príjmy (v pôsobnosti článku 61) ako aj prevádzkové výdavky projektu boli dôsledne vedené a kontrolovateľné v účtovníctve prijímateľa v zmysle zákona </w:t>
      </w:r>
      <w:r w:rsidR="00A3048A">
        <w:t>292/2014 o príspevku poskytovanom z európskych štrukturálnych a investičných fondov a o zmene a doplnení niektorých zákonov</w:t>
      </w:r>
      <w:r w:rsidRPr="0009064E">
        <w:t>. Riadiaci orgán sleduje výšku skutočných čistých príjmov prostredníctvom</w:t>
      </w:r>
      <w:r w:rsidR="004A42F9">
        <w:t xml:space="preserve"> </w:t>
      </w:r>
      <w:r w:rsidR="00C374A0">
        <w:t xml:space="preserve">výročných </w:t>
      </w:r>
      <w:r w:rsidRPr="0009064E">
        <w:t xml:space="preserve">  monitorovacích správ a záverečnej monitorovacej správy počas realizácie projektu a prostredníctvom následn</w:t>
      </w:r>
      <w:r w:rsidR="00C374A0">
        <w:t>ých</w:t>
      </w:r>
      <w:r w:rsidRPr="0009064E">
        <w:t xml:space="preserve"> monitorovac</w:t>
      </w:r>
      <w:r w:rsidR="00C374A0">
        <w:t>ích</w:t>
      </w:r>
      <w:r w:rsidRPr="0009064E">
        <w:t xml:space="preserve"> správ po</w:t>
      </w:r>
      <w:r w:rsidR="00A75416">
        <w:t> </w:t>
      </w:r>
      <w:r w:rsidRPr="0009064E">
        <w:t>ukončení realizácie projektu .</w:t>
      </w:r>
    </w:p>
    <w:p w14:paraId="1E8145A6" w14:textId="77777777" w:rsidR="00070252" w:rsidRPr="0009064E" w:rsidRDefault="00070252" w:rsidP="00070252">
      <w:pPr>
        <w:jc w:val="both"/>
      </w:pPr>
    </w:p>
    <w:p w14:paraId="6059B616" w14:textId="29DC739C" w:rsidR="00070252" w:rsidRPr="00013A2E" w:rsidRDefault="00070252" w:rsidP="00070252">
      <w:pPr>
        <w:jc w:val="both"/>
      </w:pPr>
      <w:r w:rsidRPr="0009064E">
        <w:t>Identifikované čisté príjmy a následné postupy by mali byť diferencované v závislosti na</w:t>
      </w:r>
      <w:r w:rsidR="00A75416">
        <w:t> </w:t>
      </w:r>
      <w:r w:rsidRPr="0009064E">
        <w:t>kategórii projektov generujúcich príjmy (v závislosti od možnosti odhadu príjmov ex-ante):</w:t>
      </w:r>
    </w:p>
    <w:p w14:paraId="6CAB6074" w14:textId="094BFF57" w:rsidR="00070252" w:rsidRPr="0009064E" w:rsidRDefault="00070252" w:rsidP="00FB63A1">
      <w:pPr>
        <w:pStyle w:val="Odsekzoznamu"/>
        <w:numPr>
          <w:ilvl w:val="1"/>
          <w:numId w:val="52"/>
        </w:numPr>
        <w:spacing w:before="200" w:after="200"/>
        <w:ind w:left="850" w:hanging="425"/>
        <w:jc w:val="both"/>
      </w:pPr>
      <w:r w:rsidRPr="0009064E">
        <w:t xml:space="preserve">kategória projektov uvedených v článku. 61, ods. 3 </w:t>
      </w:r>
      <w:r w:rsidR="004062DC">
        <w:t xml:space="preserve">všeobecného </w:t>
      </w:r>
      <w:r w:rsidRPr="0009064E">
        <w:t>nariadenia , pri ktorých boli príjmy odhadnuté prijímateľom ex ante vo fáze žiadosti o NFP,</w:t>
      </w:r>
    </w:p>
    <w:p w14:paraId="05A022A7" w14:textId="438F7403" w:rsidR="00070252" w:rsidRDefault="00070252" w:rsidP="00FB63A1">
      <w:pPr>
        <w:pStyle w:val="Odsekzoznamu"/>
        <w:numPr>
          <w:ilvl w:val="1"/>
          <w:numId w:val="52"/>
        </w:numPr>
        <w:spacing w:before="200" w:after="200"/>
        <w:ind w:left="850" w:hanging="425"/>
        <w:jc w:val="both"/>
      </w:pPr>
      <w:r w:rsidRPr="0009064E">
        <w:lastRenderedPageBreak/>
        <w:t xml:space="preserve">kategórie projektov uvedených v článku. 61, odsek. 6 </w:t>
      </w:r>
      <w:r w:rsidR="004062DC">
        <w:t xml:space="preserve">všeobecného </w:t>
      </w:r>
      <w:r w:rsidRPr="0009064E">
        <w:t>nariadenia , pri ktorých nemožno objektívne odhadnúť príjmy vopred.</w:t>
      </w:r>
    </w:p>
    <w:p w14:paraId="6B5E1258" w14:textId="77777777" w:rsidR="00070252" w:rsidRDefault="00F94F1D" w:rsidP="00F94F1D">
      <w:pPr>
        <w:pStyle w:val="MPCKO2"/>
        <w:ind w:left="532" w:hanging="532"/>
      </w:pPr>
      <w:bookmarkStart w:id="47" w:name="_Toc406160867"/>
      <w:bookmarkStart w:id="48" w:name="_Toc406160957"/>
      <w:bookmarkStart w:id="49" w:name="_Toc527539381"/>
      <w:r>
        <w:t>4</w:t>
      </w:r>
      <w:r w:rsidR="00070252">
        <w:t>.1  Klasifikácia projektov s ohľadom na možnosti objektívneho odhadu príjmu vopred</w:t>
      </w:r>
      <w:bookmarkEnd w:id="47"/>
      <w:bookmarkEnd w:id="48"/>
      <w:bookmarkEnd w:id="49"/>
    </w:p>
    <w:p w14:paraId="12F2A438" w14:textId="77777777" w:rsidR="00070252" w:rsidRPr="008F0420" w:rsidRDefault="00070252" w:rsidP="00070252"/>
    <w:p w14:paraId="0192C1B4" w14:textId="77777777" w:rsidR="00070252" w:rsidRDefault="00070252" w:rsidP="00070252">
      <w:pPr>
        <w:jc w:val="both"/>
        <w:textAlignment w:val="top"/>
        <w:rPr>
          <w:color w:val="000000"/>
        </w:rPr>
      </w:pPr>
      <w:r w:rsidRPr="00977AA2">
        <w:rPr>
          <w:color w:val="000000"/>
        </w:rPr>
        <w:t>Možnosť odhadnúť príjmy vopred je ovplyvnená faktormi, ktoré majú vplyv na výšku realizovaných príjmov. Na stanovenie výšky príjmov vplýva:</w:t>
      </w:r>
    </w:p>
    <w:p w14:paraId="761DC332" w14:textId="77777777" w:rsidR="007C2172" w:rsidRPr="00977AA2" w:rsidRDefault="007C2172" w:rsidP="00070252">
      <w:pPr>
        <w:jc w:val="both"/>
        <w:textAlignment w:val="top"/>
        <w:rPr>
          <w:color w:val="000000"/>
        </w:rPr>
      </w:pPr>
    </w:p>
    <w:p w14:paraId="6ED646D4" w14:textId="77777777" w:rsidR="00070252" w:rsidRPr="00977AA2" w:rsidRDefault="00070252" w:rsidP="00F26B1B">
      <w:pPr>
        <w:pStyle w:val="Odsekzoznamu"/>
        <w:numPr>
          <w:ilvl w:val="0"/>
          <w:numId w:val="24"/>
        </w:numPr>
        <w:jc w:val="both"/>
        <w:textAlignment w:val="top"/>
        <w:rPr>
          <w:color w:val="000000"/>
        </w:rPr>
      </w:pPr>
      <w:r w:rsidRPr="00977AA2">
        <w:rPr>
          <w:b/>
          <w:color w:val="000000"/>
        </w:rPr>
        <w:t>Výška poplatkov / nájomného / cien (ďalej len "poplatky</w:t>
      </w:r>
      <w:r w:rsidRPr="00977AA2">
        <w:rPr>
          <w:color w:val="000000"/>
        </w:rPr>
        <w:t>") - poplatky sú určované</w:t>
      </w:r>
    </w:p>
    <w:p w14:paraId="2D682D86" w14:textId="716274E6" w:rsidR="00070252" w:rsidRPr="007C2172" w:rsidRDefault="00070252" w:rsidP="007C2172">
      <w:pPr>
        <w:pStyle w:val="Odsekzoznamu"/>
        <w:jc w:val="both"/>
        <w:textAlignment w:val="top"/>
        <w:rPr>
          <w:color w:val="000000"/>
        </w:rPr>
      </w:pPr>
      <w:r w:rsidRPr="007C2172">
        <w:rPr>
          <w:color w:val="000000"/>
        </w:rPr>
        <w:t>strategickým rozhodnutím realizátora Investície, prípadne politickými rozhodnutiami (napr. poplatky za spracovanie odpadu účtované užívateľom alebo mýto na</w:t>
      </w:r>
      <w:r w:rsidR="00A75416">
        <w:rPr>
          <w:color w:val="000000"/>
        </w:rPr>
        <w:t> </w:t>
      </w:r>
      <w:r w:rsidRPr="007C2172">
        <w:rPr>
          <w:color w:val="000000"/>
        </w:rPr>
        <w:t>diaľniciach), očakávanými zmenami regulačného rámca (napr. použitie zásady "znečisťovateľ platí" môže zmeniť účtované poplatky);</w:t>
      </w:r>
    </w:p>
    <w:p w14:paraId="10A746EC" w14:textId="692B8547" w:rsidR="00070252" w:rsidRPr="007C2172" w:rsidRDefault="00070252" w:rsidP="00F26B1B">
      <w:pPr>
        <w:pStyle w:val="Odsekzoznamu"/>
        <w:numPr>
          <w:ilvl w:val="0"/>
          <w:numId w:val="24"/>
        </w:numPr>
        <w:jc w:val="both"/>
        <w:textAlignment w:val="top"/>
        <w:rPr>
          <w:color w:val="000000"/>
        </w:rPr>
      </w:pPr>
      <w:r w:rsidRPr="007C2172">
        <w:rPr>
          <w:b/>
          <w:color w:val="000000"/>
        </w:rPr>
        <w:t>počtu užívateľov a / alebo množstva tovaru / služieb</w:t>
      </w:r>
      <w:r w:rsidRPr="007C2172">
        <w:rPr>
          <w:color w:val="000000"/>
        </w:rPr>
        <w:t xml:space="preserve"> poskytovaných v rámci projektu -počet užívateľov závisí na všetkých faktoroch ovplyvňujúcich dopyt po</w:t>
      </w:r>
      <w:r w:rsidR="00A75416">
        <w:rPr>
          <w:color w:val="000000"/>
        </w:rPr>
        <w:t> </w:t>
      </w:r>
      <w:r w:rsidRPr="007C2172">
        <w:rPr>
          <w:color w:val="000000"/>
        </w:rPr>
        <w:t>tovaroch / službách, ktoré sú poskytované v rámci príslušného investičného projektu.</w:t>
      </w:r>
    </w:p>
    <w:p w14:paraId="7C588C05" w14:textId="77777777" w:rsidR="00070252" w:rsidRPr="00977AA2" w:rsidRDefault="00070252" w:rsidP="00070252"/>
    <w:p w14:paraId="6C00962C" w14:textId="77777777" w:rsidR="00070252" w:rsidRPr="00977AA2" w:rsidRDefault="00070252" w:rsidP="00070252">
      <w:pPr>
        <w:jc w:val="both"/>
        <w:rPr>
          <w:color w:val="000000"/>
        </w:rPr>
      </w:pPr>
      <w:r w:rsidRPr="00977AA2">
        <w:rPr>
          <w:color w:val="000000"/>
        </w:rPr>
        <w:t>Možnosť objektívne odhadnúť príjmy vopred je teda daná faktormi, na. ktorých závisia poplatky a dopyt. Aby bol schopný realizátor investície vopred odhadnúť výšku očakávaných príjmov, musí poznať výšku ceny, ktorú bude za užívanie výstupu projektu požadovať, ako aj očakávaný počet užívateľov.</w:t>
      </w:r>
    </w:p>
    <w:p w14:paraId="6D8E07A6" w14:textId="77777777" w:rsidR="00070252" w:rsidRPr="00977AA2" w:rsidRDefault="00070252" w:rsidP="00070252">
      <w:pPr>
        <w:jc w:val="both"/>
        <w:rPr>
          <w:color w:val="000000"/>
        </w:rPr>
      </w:pPr>
    </w:p>
    <w:p w14:paraId="7CC85A45" w14:textId="77777777" w:rsidR="00070252" w:rsidRDefault="00070252" w:rsidP="00070252">
      <w:pPr>
        <w:jc w:val="both"/>
      </w:pPr>
      <w:r w:rsidRPr="00977AA2">
        <w:rPr>
          <w:color w:val="000000"/>
        </w:rPr>
        <w:t>Príjmy nemôžu byť objektívne odhadnuté vopred u niektorých projektov, u ktorých kľúčovým rysom je inovácia, takže dopyt nie je možné doložiť (je to inovácia samotná, ktorá sama o sebe vytvára dopyt). Inými slovami, vzhľadom na nedostatok údajov a predchádzajúcich skúseností je možné formulovať odhady, ale budú príliš subjektívne.</w:t>
      </w:r>
    </w:p>
    <w:p w14:paraId="2D3C09B8" w14:textId="77777777" w:rsidR="00070252" w:rsidRDefault="00070252" w:rsidP="00070252"/>
    <w:p w14:paraId="734DAD09" w14:textId="77777777" w:rsidR="00070252" w:rsidRDefault="00003C71" w:rsidP="00070252">
      <w:r>
        <w:t>Tab.</w:t>
      </w:r>
      <w:r w:rsidR="00070252">
        <w:t xml:space="preserve"> Klasifikácia príjmov z hľadiska možností odhadnúť ich vopred a súvisiacich faktorov</w:t>
      </w:r>
    </w:p>
    <w:p w14:paraId="05F42045" w14:textId="77777777" w:rsidR="00070252" w:rsidRDefault="00070252" w:rsidP="00070252"/>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3129"/>
        <w:gridCol w:w="2966"/>
      </w:tblGrid>
      <w:tr w:rsidR="00034644" w:rsidRPr="00D034E9" w14:paraId="55F3CF51" w14:textId="77777777" w:rsidTr="006A5294">
        <w:tc>
          <w:tcPr>
            <w:tcW w:w="2802" w:type="dxa"/>
            <w:tcBorders>
              <w:right w:val="nil"/>
            </w:tcBorders>
            <w:shd w:val="clear" w:color="auto" w:fill="C6D9F1"/>
          </w:tcPr>
          <w:p w14:paraId="01869D0F" w14:textId="77777777" w:rsidR="00070252" w:rsidRPr="00D034E9" w:rsidRDefault="00070252" w:rsidP="006A5294">
            <w:pPr>
              <w:pStyle w:val="Zoznamsodrkami"/>
              <w:numPr>
                <w:ilvl w:val="0"/>
                <w:numId w:val="0"/>
              </w:numPr>
              <w:jc w:val="center"/>
              <w:rPr>
                <w:b/>
                <w:lang w:val="sk-SK" w:eastAsia="en-GB"/>
              </w:rPr>
            </w:pPr>
            <w:r w:rsidRPr="00D034E9">
              <w:rPr>
                <w:b/>
                <w:lang w:val="sk-SK" w:eastAsia="en-GB"/>
              </w:rPr>
              <w:t>Možnosť</w:t>
            </w:r>
            <w:r w:rsidR="00D034E9" w:rsidRPr="00D034E9">
              <w:rPr>
                <w:b/>
                <w:lang w:val="sk-SK" w:eastAsia="en-GB"/>
              </w:rPr>
              <w:t xml:space="preserve"> </w:t>
            </w:r>
            <w:r w:rsidRPr="00D034E9">
              <w:rPr>
                <w:b/>
                <w:lang w:val="sk-SK" w:eastAsia="en-GB"/>
              </w:rPr>
              <w:t>odhadu</w:t>
            </w:r>
            <w:r w:rsidR="00D034E9" w:rsidRPr="00D034E9">
              <w:rPr>
                <w:b/>
                <w:lang w:val="sk-SK" w:eastAsia="en-GB"/>
              </w:rPr>
              <w:t xml:space="preserve"> </w:t>
            </w:r>
            <w:r w:rsidRPr="00D034E9">
              <w:rPr>
                <w:b/>
                <w:lang w:val="sk-SK" w:eastAsia="en-GB"/>
              </w:rPr>
              <w:t>príjmov</w:t>
            </w:r>
          </w:p>
        </w:tc>
        <w:tc>
          <w:tcPr>
            <w:tcW w:w="3129" w:type="dxa"/>
            <w:tcBorders>
              <w:top w:val="single" w:sz="4" w:space="0" w:color="auto"/>
              <w:left w:val="nil"/>
              <w:bottom w:val="single" w:sz="4" w:space="0" w:color="auto"/>
              <w:right w:val="nil"/>
            </w:tcBorders>
            <w:shd w:val="clear" w:color="auto" w:fill="C6D9F1"/>
          </w:tcPr>
          <w:p w14:paraId="2443FF73" w14:textId="77777777" w:rsidR="00070252" w:rsidRPr="00D034E9" w:rsidRDefault="00070252" w:rsidP="006A5294">
            <w:pPr>
              <w:pStyle w:val="Zoznamsodrkami"/>
              <w:numPr>
                <w:ilvl w:val="0"/>
                <w:numId w:val="0"/>
              </w:numPr>
              <w:jc w:val="center"/>
              <w:rPr>
                <w:lang w:val="sk-SK" w:eastAsia="en-GB"/>
              </w:rPr>
            </w:pPr>
            <w:r w:rsidRPr="00D034E9">
              <w:rPr>
                <w:b/>
                <w:lang w:val="sk-SK" w:eastAsia="en-GB"/>
              </w:rPr>
              <w:t>Poplatky</w:t>
            </w:r>
          </w:p>
        </w:tc>
        <w:tc>
          <w:tcPr>
            <w:tcW w:w="2966" w:type="dxa"/>
            <w:tcBorders>
              <w:left w:val="nil"/>
              <w:bottom w:val="single" w:sz="4" w:space="0" w:color="auto"/>
            </w:tcBorders>
            <w:shd w:val="clear" w:color="auto" w:fill="C6D9F1"/>
          </w:tcPr>
          <w:p w14:paraId="5FAB9EB1" w14:textId="77777777" w:rsidR="00070252" w:rsidRPr="00D034E9" w:rsidRDefault="00070252" w:rsidP="006A5294">
            <w:pPr>
              <w:pStyle w:val="Zoznamsodrkami"/>
              <w:numPr>
                <w:ilvl w:val="0"/>
                <w:numId w:val="0"/>
              </w:numPr>
              <w:jc w:val="center"/>
              <w:rPr>
                <w:b/>
                <w:lang w:val="sk-SK" w:eastAsia="en-GB"/>
              </w:rPr>
            </w:pPr>
            <w:r w:rsidRPr="00D034E9">
              <w:rPr>
                <w:b/>
                <w:lang w:val="sk-SK" w:eastAsia="en-GB"/>
              </w:rPr>
              <w:t>Odhadovaný</w:t>
            </w:r>
            <w:r w:rsidR="00D034E9" w:rsidRPr="00D034E9">
              <w:rPr>
                <w:b/>
                <w:lang w:val="sk-SK" w:eastAsia="en-GB"/>
              </w:rPr>
              <w:t xml:space="preserve"> </w:t>
            </w:r>
            <w:r w:rsidRPr="00D034E9">
              <w:rPr>
                <w:b/>
                <w:lang w:val="sk-SK" w:eastAsia="en-GB"/>
              </w:rPr>
              <w:t>dopyt</w:t>
            </w:r>
          </w:p>
        </w:tc>
      </w:tr>
      <w:tr w:rsidR="00070252" w:rsidRPr="00D034E9" w14:paraId="01E274B1" w14:textId="77777777" w:rsidTr="0056666E">
        <w:trPr>
          <w:trHeight w:val="400"/>
        </w:trPr>
        <w:tc>
          <w:tcPr>
            <w:tcW w:w="2802" w:type="dxa"/>
            <w:vMerge w:val="restart"/>
            <w:tcBorders>
              <w:right w:val="nil"/>
            </w:tcBorders>
          </w:tcPr>
          <w:p w14:paraId="056544E0" w14:textId="77777777" w:rsidR="00070252" w:rsidRPr="00D034E9" w:rsidRDefault="00070252" w:rsidP="006A5294">
            <w:pPr>
              <w:pStyle w:val="Zoznamsodrkami"/>
              <w:numPr>
                <w:ilvl w:val="0"/>
                <w:numId w:val="0"/>
              </w:numPr>
              <w:jc w:val="left"/>
              <w:rPr>
                <w:lang w:val="sk-SK" w:eastAsia="en-GB"/>
              </w:rPr>
            </w:pPr>
            <w:r w:rsidRPr="00D034E9">
              <w:rPr>
                <w:lang w:val="sk-SK" w:eastAsia="en-GB"/>
              </w:rPr>
              <w:t>Odhad</w:t>
            </w:r>
            <w:r w:rsidR="00D034E9" w:rsidRPr="00D034E9">
              <w:rPr>
                <w:lang w:val="sk-SK" w:eastAsia="en-GB"/>
              </w:rPr>
              <w:t xml:space="preserve"> </w:t>
            </w:r>
            <w:r w:rsidRPr="00D034E9">
              <w:rPr>
                <w:lang w:val="sk-SK" w:eastAsia="en-GB"/>
              </w:rPr>
              <w:t>príjmov</w:t>
            </w:r>
            <w:r w:rsidR="00D034E9" w:rsidRPr="00D034E9">
              <w:rPr>
                <w:lang w:val="sk-SK" w:eastAsia="en-GB"/>
              </w:rPr>
              <w:t xml:space="preserve"> </w:t>
            </w:r>
            <w:r w:rsidRPr="00D034E9">
              <w:rPr>
                <w:lang w:val="sk-SK" w:eastAsia="en-GB"/>
              </w:rPr>
              <w:t>vopred</w:t>
            </w:r>
            <w:r w:rsidR="00D034E9" w:rsidRPr="00D034E9">
              <w:rPr>
                <w:lang w:val="sk-SK" w:eastAsia="en-GB"/>
              </w:rPr>
              <w:t xml:space="preserve"> </w:t>
            </w:r>
            <w:r w:rsidRPr="00D034E9">
              <w:rPr>
                <w:b/>
                <w:lang w:val="sk-SK" w:eastAsia="en-GB"/>
              </w:rPr>
              <w:t>je</w:t>
            </w:r>
            <w:r w:rsidR="00D034E9" w:rsidRPr="00D034E9">
              <w:rPr>
                <w:b/>
                <w:lang w:val="sk-SK" w:eastAsia="en-GB"/>
              </w:rPr>
              <w:t xml:space="preserve"> </w:t>
            </w:r>
            <w:r w:rsidRPr="00D034E9">
              <w:rPr>
                <w:lang w:val="sk-SK" w:eastAsia="en-GB"/>
              </w:rPr>
              <w:t>objektívne</w:t>
            </w:r>
            <w:r w:rsidR="00D034E9" w:rsidRPr="00D034E9">
              <w:rPr>
                <w:lang w:val="sk-SK" w:eastAsia="en-GB"/>
              </w:rPr>
              <w:t xml:space="preserve"> </w:t>
            </w:r>
            <w:r w:rsidRPr="00D034E9">
              <w:rPr>
                <w:lang w:val="sk-SK" w:eastAsia="en-GB"/>
              </w:rPr>
              <w:t>možný (čl.61(3))</w:t>
            </w:r>
          </w:p>
        </w:tc>
        <w:tc>
          <w:tcPr>
            <w:tcW w:w="3129" w:type="dxa"/>
            <w:tcBorders>
              <w:top w:val="single" w:sz="4" w:space="0" w:color="auto"/>
              <w:left w:val="nil"/>
              <w:bottom w:val="nil"/>
              <w:right w:val="nil"/>
            </w:tcBorders>
          </w:tcPr>
          <w:p w14:paraId="190FEED0" w14:textId="77777777" w:rsidR="00070252" w:rsidRPr="00D034E9" w:rsidRDefault="00070252" w:rsidP="006A5294">
            <w:pPr>
              <w:pStyle w:val="Zoznamsodrkami"/>
              <w:numPr>
                <w:ilvl w:val="0"/>
                <w:numId w:val="0"/>
              </w:numPr>
              <w:jc w:val="center"/>
              <w:rPr>
                <w:lang w:val="sk-SK" w:eastAsia="en-GB"/>
              </w:rPr>
            </w:pPr>
            <w:r w:rsidRPr="00D034E9">
              <w:rPr>
                <w:lang w:val="sk-SK" w:eastAsia="en-GB"/>
              </w:rPr>
              <w:t>Jasne</w:t>
            </w:r>
            <w:r w:rsidR="00D034E9" w:rsidRPr="00D034E9">
              <w:rPr>
                <w:lang w:val="sk-SK" w:eastAsia="en-GB"/>
              </w:rPr>
              <w:t xml:space="preserve"> </w:t>
            </w:r>
            <w:r w:rsidRPr="00D034E9">
              <w:rPr>
                <w:lang w:val="sk-SK" w:eastAsia="en-GB"/>
              </w:rPr>
              <w:t>stanovená</w:t>
            </w:r>
            <w:r w:rsidR="00D034E9" w:rsidRPr="00D034E9">
              <w:rPr>
                <w:lang w:val="sk-SK" w:eastAsia="en-GB"/>
              </w:rPr>
              <w:t xml:space="preserve"> </w:t>
            </w:r>
            <w:r w:rsidRPr="00D034E9">
              <w:rPr>
                <w:lang w:val="sk-SK" w:eastAsia="en-GB"/>
              </w:rPr>
              <w:t>cenová</w:t>
            </w:r>
            <w:r w:rsidR="00D034E9" w:rsidRPr="00D034E9">
              <w:rPr>
                <w:lang w:val="sk-SK" w:eastAsia="en-GB"/>
              </w:rPr>
              <w:t xml:space="preserve"> </w:t>
            </w:r>
            <w:r w:rsidRPr="00D034E9">
              <w:rPr>
                <w:lang w:val="sk-SK" w:eastAsia="en-GB"/>
              </w:rPr>
              <w:t>stratégia</w:t>
            </w:r>
          </w:p>
        </w:tc>
        <w:tc>
          <w:tcPr>
            <w:tcW w:w="2966" w:type="dxa"/>
            <w:tcBorders>
              <w:top w:val="single" w:sz="4" w:space="0" w:color="auto"/>
              <w:left w:val="nil"/>
              <w:bottom w:val="nil"/>
              <w:right w:val="single" w:sz="4" w:space="0" w:color="auto"/>
            </w:tcBorders>
            <w:shd w:val="clear" w:color="auto" w:fill="auto"/>
          </w:tcPr>
          <w:p w14:paraId="13496633" w14:textId="77777777" w:rsidR="00070252" w:rsidRPr="00D034E9" w:rsidRDefault="00070252" w:rsidP="006A5294">
            <w:pPr>
              <w:pStyle w:val="Zoznamsodrkami"/>
              <w:numPr>
                <w:ilvl w:val="0"/>
                <w:numId w:val="0"/>
              </w:numPr>
              <w:jc w:val="center"/>
              <w:rPr>
                <w:lang w:val="sk-SK" w:eastAsia="en-GB"/>
              </w:rPr>
            </w:pPr>
            <w:r w:rsidRPr="00D034E9">
              <w:rPr>
                <w:lang w:val="sk-SK" w:eastAsia="en-GB"/>
              </w:rPr>
              <w:t>Dostupné</w:t>
            </w:r>
            <w:r w:rsidR="00D034E9" w:rsidRPr="00D034E9">
              <w:rPr>
                <w:lang w:val="sk-SK" w:eastAsia="en-GB"/>
              </w:rPr>
              <w:t xml:space="preserve"> </w:t>
            </w:r>
            <w:r w:rsidRPr="00D034E9">
              <w:rPr>
                <w:lang w:val="sk-SK" w:eastAsia="en-GB"/>
              </w:rPr>
              <w:t>modely</w:t>
            </w:r>
            <w:r w:rsidR="00D034E9" w:rsidRPr="00D034E9">
              <w:rPr>
                <w:lang w:val="sk-SK" w:eastAsia="en-GB"/>
              </w:rPr>
              <w:t xml:space="preserve"> </w:t>
            </w:r>
            <w:r w:rsidRPr="00D034E9">
              <w:rPr>
                <w:lang w:val="sk-SK" w:eastAsia="en-GB"/>
              </w:rPr>
              <w:t>finančnej</w:t>
            </w:r>
            <w:r w:rsidR="00D034E9" w:rsidRPr="00D034E9">
              <w:rPr>
                <w:lang w:val="sk-SK" w:eastAsia="en-GB"/>
              </w:rPr>
              <w:t xml:space="preserve"> </w:t>
            </w:r>
            <w:r w:rsidRPr="00D034E9">
              <w:rPr>
                <w:lang w:val="sk-SK" w:eastAsia="en-GB"/>
              </w:rPr>
              <w:t>analýzy a údaje</w:t>
            </w:r>
          </w:p>
        </w:tc>
      </w:tr>
      <w:tr w:rsidR="00070252" w:rsidRPr="00D034E9" w14:paraId="306B5923" w14:textId="77777777" w:rsidTr="0056666E">
        <w:trPr>
          <w:trHeight w:val="400"/>
        </w:trPr>
        <w:tc>
          <w:tcPr>
            <w:tcW w:w="2802" w:type="dxa"/>
            <w:vMerge/>
            <w:tcBorders>
              <w:right w:val="nil"/>
            </w:tcBorders>
          </w:tcPr>
          <w:p w14:paraId="67A36CAF" w14:textId="77777777" w:rsidR="00070252" w:rsidRPr="00D034E9" w:rsidRDefault="00070252" w:rsidP="006A5294">
            <w:pPr>
              <w:pStyle w:val="Zoznamsodrkami"/>
              <w:numPr>
                <w:ilvl w:val="0"/>
                <w:numId w:val="0"/>
              </w:numPr>
              <w:jc w:val="left"/>
              <w:rPr>
                <w:lang w:val="sk-SK" w:eastAsia="en-GB"/>
              </w:rPr>
            </w:pPr>
          </w:p>
        </w:tc>
        <w:tc>
          <w:tcPr>
            <w:tcW w:w="3129" w:type="dxa"/>
            <w:tcBorders>
              <w:top w:val="nil"/>
              <w:left w:val="nil"/>
              <w:bottom w:val="single" w:sz="4" w:space="0" w:color="auto"/>
              <w:right w:val="nil"/>
            </w:tcBorders>
          </w:tcPr>
          <w:p w14:paraId="038D733C" w14:textId="77777777" w:rsidR="00070252" w:rsidRPr="00D034E9" w:rsidRDefault="00070252" w:rsidP="006A5294">
            <w:pPr>
              <w:pStyle w:val="Zoznamsodrkami"/>
              <w:numPr>
                <w:ilvl w:val="0"/>
                <w:numId w:val="0"/>
              </w:numPr>
              <w:jc w:val="center"/>
              <w:rPr>
                <w:lang w:val="sk-SK" w:eastAsia="en-GB"/>
              </w:rPr>
            </w:pPr>
            <w:r w:rsidRPr="00D034E9">
              <w:rPr>
                <w:lang w:val="sk-SK" w:eastAsia="en-GB"/>
              </w:rPr>
              <w:t>Predvídateľná</w:t>
            </w:r>
            <w:r w:rsidR="00D034E9" w:rsidRPr="00D034E9">
              <w:rPr>
                <w:lang w:val="sk-SK" w:eastAsia="en-GB"/>
              </w:rPr>
              <w:t xml:space="preserve"> </w:t>
            </w:r>
            <w:r w:rsidRPr="00D034E9">
              <w:rPr>
                <w:lang w:val="sk-SK" w:eastAsia="en-GB"/>
              </w:rPr>
              <w:t>politika</w:t>
            </w:r>
          </w:p>
        </w:tc>
        <w:tc>
          <w:tcPr>
            <w:tcW w:w="2966" w:type="dxa"/>
            <w:tcBorders>
              <w:top w:val="nil"/>
              <w:left w:val="nil"/>
              <w:bottom w:val="single" w:sz="4" w:space="0" w:color="auto"/>
              <w:right w:val="single" w:sz="4" w:space="0" w:color="auto"/>
            </w:tcBorders>
            <w:shd w:val="clear" w:color="auto" w:fill="auto"/>
          </w:tcPr>
          <w:p w14:paraId="648A805D" w14:textId="77777777" w:rsidR="00070252" w:rsidRPr="00D034E9" w:rsidRDefault="00070252" w:rsidP="006A5294">
            <w:pPr>
              <w:pStyle w:val="Zoznamsodrkami"/>
              <w:numPr>
                <w:ilvl w:val="0"/>
                <w:numId w:val="0"/>
              </w:numPr>
              <w:jc w:val="center"/>
              <w:rPr>
                <w:lang w:val="sk-SK" w:eastAsia="en-GB"/>
              </w:rPr>
            </w:pPr>
            <w:r w:rsidRPr="00D034E9">
              <w:rPr>
                <w:lang w:val="sk-SK" w:eastAsia="en-GB"/>
              </w:rPr>
              <w:t>Odborné</w:t>
            </w:r>
            <w:r w:rsidR="00D034E9" w:rsidRPr="00D034E9">
              <w:rPr>
                <w:lang w:val="sk-SK" w:eastAsia="en-GB"/>
              </w:rPr>
              <w:t xml:space="preserve"> </w:t>
            </w:r>
            <w:r w:rsidRPr="00D034E9">
              <w:rPr>
                <w:lang w:val="sk-SK" w:eastAsia="en-GB"/>
              </w:rPr>
              <w:t>stanoviská</w:t>
            </w:r>
            <w:r w:rsidR="00D034E9" w:rsidRPr="00D034E9">
              <w:rPr>
                <w:lang w:val="sk-SK" w:eastAsia="en-GB"/>
              </w:rPr>
              <w:t xml:space="preserve"> </w:t>
            </w:r>
            <w:r w:rsidRPr="00D034E9">
              <w:rPr>
                <w:lang w:val="sk-SK" w:eastAsia="en-GB"/>
              </w:rPr>
              <w:t>na</w:t>
            </w:r>
            <w:r w:rsidR="00D034E9" w:rsidRPr="00D034E9">
              <w:rPr>
                <w:lang w:val="sk-SK" w:eastAsia="en-GB"/>
              </w:rPr>
              <w:t xml:space="preserve"> </w:t>
            </w:r>
            <w:r w:rsidRPr="00D034E9">
              <w:rPr>
                <w:lang w:val="sk-SK" w:eastAsia="en-GB"/>
              </w:rPr>
              <w:t>základe</w:t>
            </w:r>
            <w:r w:rsidR="00D034E9" w:rsidRPr="00D034E9">
              <w:rPr>
                <w:lang w:val="sk-SK" w:eastAsia="en-GB"/>
              </w:rPr>
              <w:t xml:space="preserve"> </w:t>
            </w:r>
            <w:r w:rsidRPr="00D034E9">
              <w:rPr>
                <w:lang w:val="sk-SK" w:eastAsia="en-GB"/>
              </w:rPr>
              <w:t>modelov a údajov</w:t>
            </w:r>
          </w:p>
        </w:tc>
      </w:tr>
      <w:tr w:rsidR="00070252" w:rsidRPr="00D034E9" w14:paraId="3298EFB5" w14:textId="77777777" w:rsidTr="0056666E">
        <w:trPr>
          <w:trHeight w:val="1404"/>
        </w:trPr>
        <w:tc>
          <w:tcPr>
            <w:tcW w:w="2802" w:type="dxa"/>
            <w:tcBorders>
              <w:right w:val="nil"/>
            </w:tcBorders>
          </w:tcPr>
          <w:p w14:paraId="21475607" w14:textId="77777777" w:rsidR="00070252" w:rsidRPr="00D034E9" w:rsidRDefault="00070252" w:rsidP="006A5294">
            <w:pPr>
              <w:pStyle w:val="Zoznamsodrkami"/>
              <w:numPr>
                <w:ilvl w:val="0"/>
                <w:numId w:val="0"/>
              </w:numPr>
              <w:jc w:val="left"/>
              <w:rPr>
                <w:lang w:val="sk-SK" w:eastAsia="en-GB"/>
              </w:rPr>
            </w:pPr>
            <w:r w:rsidRPr="00D034E9">
              <w:rPr>
                <w:lang w:val="sk-SK" w:eastAsia="en-GB"/>
              </w:rPr>
              <w:t>Odhad</w:t>
            </w:r>
            <w:r w:rsidR="00D034E9" w:rsidRPr="00D034E9">
              <w:rPr>
                <w:lang w:val="sk-SK" w:eastAsia="en-GB"/>
              </w:rPr>
              <w:t xml:space="preserve"> </w:t>
            </w:r>
            <w:r w:rsidRPr="00D034E9">
              <w:rPr>
                <w:lang w:val="sk-SK" w:eastAsia="en-GB"/>
              </w:rPr>
              <w:t>príjmov</w:t>
            </w:r>
            <w:r w:rsidR="00D034E9" w:rsidRPr="00D034E9">
              <w:rPr>
                <w:lang w:val="sk-SK" w:eastAsia="en-GB"/>
              </w:rPr>
              <w:t xml:space="preserve"> </w:t>
            </w:r>
            <w:r w:rsidRPr="00D034E9">
              <w:rPr>
                <w:lang w:val="sk-SK" w:eastAsia="en-GB"/>
              </w:rPr>
              <w:t>vopred</w:t>
            </w:r>
            <w:r w:rsidR="00D034E9" w:rsidRPr="00D034E9">
              <w:rPr>
                <w:lang w:val="sk-SK" w:eastAsia="en-GB"/>
              </w:rPr>
              <w:t xml:space="preserve"> </w:t>
            </w:r>
            <w:r w:rsidRPr="00D034E9">
              <w:rPr>
                <w:b/>
                <w:lang w:val="sk-SK" w:eastAsia="en-GB"/>
              </w:rPr>
              <w:t>nie je</w:t>
            </w:r>
            <w:r w:rsidR="00D034E9" w:rsidRPr="00D034E9">
              <w:rPr>
                <w:b/>
                <w:lang w:val="sk-SK" w:eastAsia="en-GB"/>
              </w:rPr>
              <w:t xml:space="preserve"> </w:t>
            </w:r>
            <w:r w:rsidRPr="00D034E9">
              <w:rPr>
                <w:lang w:val="sk-SK" w:eastAsia="en-GB"/>
              </w:rPr>
              <w:t>objektívne</w:t>
            </w:r>
            <w:r w:rsidR="00D034E9" w:rsidRPr="00D034E9">
              <w:rPr>
                <w:lang w:val="sk-SK" w:eastAsia="en-GB"/>
              </w:rPr>
              <w:t xml:space="preserve"> </w:t>
            </w:r>
            <w:r w:rsidRPr="00D034E9">
              <w:rPr>
                <w:lang w:val="sk-SK" w:eastAsia="en-GB"/>
              </w:rPr>
              <w:t>možný (čl. 61(6)).</w:t>
            </w:r>
          </w:p>
        </w:tc>
        <w:tc>
          <w:tcPr>
            <w:tcW w:w="3129" w:type="dxa"/>
            <w:tcBorders>
              <w:top w:val="single" w:sz="4" w:space="0" w:color="auto"/>
              <w:left w:val="nil"/>
              <w:bottom w:val="single" w:sz="4" w:space="0" w:color="auto"/>
              <w:right w:val="nil"/>
            </w:tcBorders>
          </w:tcPr>
          <w:p w14:paraId="48BC1ADE" w14:textId="77777777" w:rsidR="00070252" w:rsidRPr="00D034E9" w:rsidRDefault="00070252" w:rsidP="006A5294">
            <w:pPr>
              <w:pStyle w:val="Zoznamsodrkami"/>
              <w:numPr>
                <w:ilvl w:val="0"/>
                <w:numId w:val="0"/>
              </w:numPr>
              <w:jc w:val="center"/>
              <w:rPr>
                <w:lang w:val="sk-SK" w:eastAsia="en-GB"/>
              </w:rPr>
            </w:pPr>
            <w:r w:rsidRPr="00D034E9">
              <w:rPr>
                <w:lang w:val="sk-SK" w:eastAsia="en-GB"/>
              </w:rPr>
              <w:t>Nedostatok údajov –nový</w:t>
            </w:r>
            <w:r w:rsidR="00D034E9" w:rsidRPr="00D034E9">
              <w:rPr>
                <w:lang w:val="sk-SK" w:eastAsia="en-GB"/>
              </w:rPr>
              <w:t xml:space="preserve"> </w:t>
            </w:r>
            <w:r w:rsidRPr="00D034E9">
              <w:rPr>
                <w:lang w:val="sk-SK" w:eastAsia="en-GB"/>
              </w:rPr>
              <w:t>dopyt</w:t>
            </w:r>
            <w:r w:rsidR="00D034E9" w:rsidRPr="00D034E9">
              <w:rPr>
                <w:lang w:val="sk-SK" w:eastAsia="en-GB"/>
              </w:rPr>
              <w:t xml:space="preserve"> </w:t>
            </w:r>
            <w:r w:rsidRPr="00D034E9">
              <w:rPr>
                <w:lang w:val="sk-SK" w:eastAsia="en-GB"/>
              </w:rPr>
              <w:t>vytváraný ponukou</w:t>
            </w:r>
          </w:p>
        </w:tc>
        <w:tc>
          <w:tcPr>
            <w:tcW w:w="2966" w:type="dxa"/>
            <w:tcBorders>
              <w:top w:val="single" w:sz="4" w:space="0" w:color="auto"/>
              <w:left w:val="nil"/>
            </w:tcBorders>
          </w:tcPr>
          <w:p w14:paraId="735F85B2" w14:textId="77777777" w:rsidR="00070252" w:rsidRPr="00D034E9" w:rsidRDefault="00070252" w:rsidP="006A5294">
            <w:pPr>
              <w:pStyle w:val="Zoznamsodrkami"/>
              <w:numPr>
                <w:ilvl w:val="0"/>
                <w:numId w:val="0"/>
              </w:numPr>
              <w:jc w:val="center"/>
              <w:rPr>
                <w:lang w:val="sk-SK" w:eastAsia="en-GB"/>
              </w:rPr>
            </w:pPr>
            <w:r w:rsidRPr="00D034E9">
              <w:rPr>
                <w:lang w:val="sk-SK" w:eastAsia="en-GB"/>
              </w:rPr>
              <w:t>Nedostatok</w:t>
            </w:r>
            <w:r w:rsidR="00D034E9" w:rsidRPr="00D034E9">
              <w:rPr>
                <w:lang w:val="sk-SK" w:eastAsia="en-GB"/>
              </w:rPr>
              <w:t xml:space="preserve"> </w:t>
            </w:r>
            <w:r w:rsidRPr="00D034E9">
              <w:rPr>
                <w:lang w:val="sk-SK" w:eastAsia="en-GB"/>
              </w:rPr>
              <w:t>údajov – odborné</w:t>
            </w:r>
            <w:r w:rsidR="00D034E9" w:rsidRPr="00D034E9">
              <w:rPr>
                <w:lang w:val="sk-SK" w:eastAsia="en-GB"/>
              </w:rPr>
              <w:t xml:space="preserve"> </w:t>
            </w:r>
            <w:r w:rsidRPr="00D034E9">
              <w:rPr>
                <w:lang w:val="sk-SK" w:eastAsia="en-GB"/>
              </w:rPr>
              <w:t>stanoviská</w:t>
            </w:r>
            <w:r w:rsidR="00D034E9" w:rsidRPr="00D034E9">
              <w:rPr>
                <w:lang w:val="sk-SK" w:eastAsia="en-GB"/>
              </w:rPr>
              <w:t xml:space="preserve"> </w:t>
            </w:r>
            <w:r w:rsidRPr="00D034E9">
              <w:rPr>
                <w:lang w:val="sk-SK" w:eastAsia="en-GB"/>
              </w:rPr>
              <w:t>sú príliš subjektívne</w:t>
            </w:r>
          </w:p>
        </w:tc>
      </w:tr>
    </w:tbl>
    <w:p w14:paraId="3030B7EA" w14:textId="77777777" w:rsidR="00070252" w:rsidRDefault="00F94F1D" w:rsidP="00A75416">
      <w:pPr>
        <w:pStyle w:val="MPCKO2"/>
        <w:ind w:left="532" w:hanging="532"/>
      </w:pPr>
      <w:bookmarkStart w:id="50" w:name="_Toc527539382"/>
      <w:bookmarkStart w:id="51" w:name="_Toc406160868"/>
      <w:bookmarkStart w:id="52" w:name="_Toc406160958"/>
      <w:r>
        <w:lastRenderedPageBreak/>
        <w:t>4</w:t>
      </w:r>
      <w:r w:rsidR="00070252" w:rsidRPr="00F94F1D">
        <w:t>.2</w:t>
      </w:r>
      <w:r w:rsidR="00070252" w:rsidRPr="00F94F1D">
        <w:tab/>
      </w:r>
      <w:r>
        <w:t>M</w:t>
      </w:r>
      <w:r w:rsidR="00070252" w:rsidRPr="00F94F1D">
        <w:t>onitorovanie čistých príjmov v prípade projektov uvedených v článku. 61, ods. 3</w:t>
      </w:r>
      <w:r w:rsidR="007A50D8">
        <w:t xml:space="preserve"> všeobecného</w:t>
      </w:r>
      <w:r w:rsidR="00070252" w:rsidRPr="00F94F1D">
        <w:t xml:space="preserve"> nariadenia</w:t>
      </w:r>
      <w:bookmarkEnd w:id="50"/>
      <w:r w:rsidR="00070252" w:rsidRPr="00F94F1D">
        <w:t xml:space="preserve"> </w:t>
      </w:r>
      <w:bookmarkEnd w:id="51"/>
      <w:bookmarkEnd w:id="52"/>
    </w:p>
    <w:p w14:paraId="580C5895" w14:textId="77777777" w:rsidR="00070252" w:rsidRDefault="00070252" w:rsidP="0056666E">
      <w:pPr>
        <w:keepNext/>
        <w:ind w:left="480"/>
        <w:rPr>
          <w:rStyle w:val="longtext1"/>
          <w:rFonts w:ascii="Arial" w:eastAsiaTheme="majorEastAsia" w:hAnsi="Arial" w:cs="Arial"/>
          <w:b/>
          <w:bCs/>
          <w:color w:val="365F91" w:themeColor="accent1" w:themeShade="BF"/>
          <w:shd w:val="clear" w:color="auto" w:fill="FFFFFF"/>
          <w:lang w:eastAsia="en-US"/>
        </w:rPr>
      </w:pPr>
    </w:p>
    <w:p w14:paraId="6CAF3E64" w14:textId="77777777" w:rsidR="00070252" w:rsidRPr="00977AA2" w:rsidRDefault="00070252" w:rsidP="00070252">
      <w:pPr>
        <w:jc w:val="both"/>
      </w:pPr>
      <w:r w:rsidRPr="00977AA2">
        <w:t>Na určenie NFP pre projekty vytvárajúce príjmy, pri ktorých je možné príjmy objektívne odhadnúť vopred, sa používa metóda "finančnej medzery". Metóda finančnej medzery zohľadňuje pri výpočte čisté príjmy a vyjadruje tú časť investičných výdavkov, ktoré nemôžu byť financované samotným projektom a musia byť preto financované formou NFP.</w:t>
      </w:r>
    </w:p>
    <w:p w14:paraId="19F9829C" w14:textId="77777777" w:rsidR="00070252" w:rsidRPr="00977AA2" w:rsidRDefault="00070252" w:rsidP="00070252">
      <w:pPr>
        <w:jc w:val="both"/>
      </w:pPr>
    </w:p>
    <w:p w14:paraId="14144CF4" w14:textId="3323434A" w:rsidR="00070252" w:rsidRPr="00977AA2" w:rsidRDefault="00070252" w:rsidP="00070252">
      <w:pPr>
        <w:jc w:val="both"/>
      </w:pPr>
      <w:r w:rsidRPr="00977AA2">
        <w:t>Obdobím monitorovania čistých príjmov pre projekty, kde je možné odhadnúť príjmy vopred je obdobie udržateľnosti projektu, najneskôr však do predloženia dokladov pre uzavretie programu (t.</w:t>
      </w:r>
      <w:r w:rsidR="00A77D2F">
        <w:t xml:space="preserve"> </w:t>
      </w:r>
      <w:r w:rsidRPr="00977AA2">
        <w:t xml:space="preserve">j. </w:t>
      </w:r>
      <w:r w:rsidR="00A1377D">
        <w:t>15.02.2025</w:t>
      </w:r>
      <w:r w:rsidRPr="00977AA2">
        <w:t>), podľa toho čo nastane skôr.</w:t>
      </w:r>
    </w:p>
    <w:p w14:paraId="69D8DB8B" w14:textId="77777777" w:rsidR="00070252" w:rsidRPr="00977AA2" w:rsidRDefault="00070252" w:rsidP="00070252">
      <w:pPr>
        <w:jc w:val="both"/>
      </w:pPr>
    </w:p>
    <w:p w14:paraId="3F6B5876" w14:textId="77777777" w:rsidR="00070252" w:rsidRPr="00977AA2" w:rsidRDefault="00070252" w:rsidP="00070252">
      <w:pPr>
        <w:jc w:val="both"/>
      </w:pPr>
    </w:p>
    <w:p w14:paraId="142D6F1A" w14:textId="604CDADD" w:rsidR="00070252" w:rsidRPr="00977AA2" w:rsidRDefault="00070252" w:rsidP="00070252">
      <w:pPr>
        <w:jc w:val="both"/>
      </w:pPr>
      <w:r w:rsidRPr="00977AA2">
        <w:t xml:space="preserve">Konkrétny spôsob nastavenia monitorovania príjmov po ukončení realizácie projektu je v kompetencií riadiaceho orgánu. Postupy pre monitorovanie príjmov projektov podľa článku. 61 ods. 3 </w:t>
      </w:r>
      <w:r w:rsidR="004062DC">
        <w:t xml:space="preserve">všeobecného </w:t>
      </w:r>
      <w:r w:rsidRPr="00977AA2">
        <w:t>nariadenia  by mali poskytnúť informácie ohľadom týchto aspektov:</w:t>
      </w:r>
    </w:p>
    <w:p w14:paraId="2E0BEFD2" w14:textId="77777777" w:rsidR="00070252" w:rsidRPr="00977AA2" w:rsidRDefault="00070252" w:rsidP="00070252">
      <w:pPr>
        <w:jc w:val="both"/>
      </w:pPr>
    </w:p>
    <w:p w14:paraId="1AFC07AF" w14:textId="50A97396" w:rsidR="00070252" w:rsidRPr="00977AA2" w:rsidRDefault="00070252" w:rsidP="00070252">
      <w:pPr>
        <w:ind w:firstLine="709"/>
        <w:jc w:val="both"/>
      </w:pPr>
      <w:r w:rsidRPr="00977AA2">
        <w:t>či existujú ďalšie nové príjmy, ktoré neboli zohľadnené pri analýze, vypracovanej vo</w:t>
      </w:r>
      <w:r w:rsidR="00A75416">
        <w:t> </w:t>
      </w:r>
      <w:r w:rsidRPr="00977AA2">
        <w:t xml:space="preserve">fáze konania žiadosti o NFP, pri výpočte finančnej medzery, ktoré spĺňajú podmienky príjmov uvedených v článku. 61, odsek. 3 </w:t>
      </w:r>
      <w:r w:rsidR="004062DC">
        <w:t xml:space="preserve">všeobecného </w:t>
      </w:r>
      <w:r w:rsidRPr="00977AA2">
        <w:t>nariadenia , prípadné úspory prevádzkových výdavkov vytvorených projektom</w:t>
      </w:r>
    </w:p>
    <w:p w14:paraId="51BF877C" w14:textId="77777777" w:rsidR="00070252" w:rsidRPr="00977AA2" w:rsidRDefault="00070252" w:rsidP="00070252"/>
    <w:p w14:paraId="3BBD81C1" w14:textId="77777777" w:rsidR="00070252" w:rsidRPr="008F0420" w:rsidRDefault="00070252" w:rsidP="00070252">
      <w:r w:rsidRPr="00977AA2">
        <w:t>a / alebo</w:t>
      </w:r>
    </w:p>
    <w:p w14:paraId="70279D8E" w14:textId="77777777" w:rsidR="00070252" w:rsidRPr="008F0420" w:rsidRDefault="00070252" w:rsidP="00070252"/>
    <w:p w14:paraId="3AD445A0" w14:textId="77777777" w:rsidR="00070252" w:rsidRPr="00977AA2" w:rsidRDefault="00070252" w:rsidP="00070252">
      <w:pPr>
        <w:ind w:firstLine="709"/>
      </w:pPr>
      <w:r w:rsidRPr="00977AA2">
        <w:t>došlo k výrazným zmenám v použitej tarifnej (cenovej) politike od momentu vydania rozhodnutia o poskytnutí NFP</w:t>
      </w:r>
      <w:r w:rsidR="00A75416">
        <w:t>.</w:t>
      </w:r>
    </w:p>
    <w:p w14:paraId="7C7FDA78" w14:textId="77777777" w:rsidR="00070252" w:rsidRPr="00977AA2" w:rsidRDefault="00070252" w:rsidP="00070252"/>
    <w:p w14:paraId="4FED3B82" w14:textId="77777777" w:rsidR="00070252" w:rsidRPr="00977AA2" w:rsidRDefault="00070252" w:rsidP="00070252">
      <w:pPr>
        <w:jc w:val="both"/>
      </w:pPr>
      <w:r w:rsidRPr="00977AA2">
        <w:t>Pri projektoch generujúcich príjmy podľa článku 61 (3) je plne v kompetencií RO, aby zadefinoval na úrovni Výzvy na predkladanie ŽoNFP a následne v zmluve o poskytnutí NFP tzv. „</w:t>
      </w:r>
      <w:r w:rsidRPr="00977AA2">
        <w:rPr>
          <w:b/>
        </w:rPr>
        <w:t>výraznú  zmenu podmienok pre projekty generujúce príjem podľa čl. 61 (3)</w:t>
      </w:r>
      <w:r w:rsidRPr="00977AA2">
        <w:t>“, ktorá spôsobí potrebu rekalkulácie finančnej medzery a tým aj úpravu NFP. Bez zadefinovania pojmu „výrazná zmena podmienok pre projekty generujúce príjem“ podľa čl. 61 (3) nie je možné aplikovať ustanovenia zmluvy o poskytnutí NFP  týkajúce sa projektov generujúcich príjmy.</w:t>
      </w:r>
    </w:p>
    <w:p w14:paraId="5B10C543" w14:textId="77777777" w:rsidR="00070252" w:rsidRPr="00977AA2" w:rsidRDefault="00070252" w:rsidP="00070252">
      <w:pPr>
        <w:jc w:val="both"/>
      </w:pPr>
      <w:r w:rsidRPr="00977AA2">
        <w:rPr>
          <w:rFonts w:ascii="Arial" w:hAnsi="Arial" w:cs="Arial"/>
          <w:color w:val="000000"/>
        </w:rPr>
        <w:br/>
      </w:r>
    </w:p>
    <w:p w14:paraId="2D6C8FC8" w14:textId="77777777" w:rsidR="00070252" w:rsidRPr="00977AA2" w:rsidRDefault="00070252" w:rsidP="00070252">
      <w:pPr>
        <w:jc w:val="both"/>
        <w:textAlignment w:val="top"/>
      </w:pPr>
      <w:r w:rsidRPr="00977AA2">
        <w:t xml:space="preserve">Pre projekty, ktoré sú predmetom čl. 61(3) sa rekalkulácia finančnej medzery vyžaduje v prípadoch </w:t>
      </w:r>
      <w:r w:rsidRPr="00977AA2">
        <w:rPr>
          <w:b/>
        </w:rPr>
        <w:t>výraznej  zmeny podmienok, ktorá nastane v prípade</w:t>
      </w:r>
      <w:r w:rsidRPr="00977AA2">
        <w:t xml:space="preserve"> :</w:t>
      </w:r>
    </w:p>
    <w:p w14:paraId="38D4A979" w14:textId="0FC40F0C" w:rsidR="00070252" w:rsidRPr="00977AA2" w:rsidRDefault="00070252" w:rsidP="00F26B1B">
      <w:pPr>
        <w:pStyle w:val="Odsekzoznamu"/>
        <w:numPr>
          <w:ilvl w:val="1"/>
          <w:numId w:val="25"/>
        </w:numPr>
        <w:spacing w:before="200" w:after="200"/>
        <w:ind w:left="850" w:hanging="425"/>
        <w:jc w:val="both"/>
      </w:pPr>
      <w:r w:rsidRPr="007C2172">
        <w:rPr>
          <w:szCs w:val="20"/>
        </w:rPr>
        <w:t xml:space="preserve">ak sú identifikované nové  </w:t>
      </w:r>
      <w:r w:rsidRPr="00977AA2">
        <w:t>zdroje</w:t>
      </w:r>
      <w:r w:rsidRPr="007C2172">
        <w:rPr>
          <w:szCs w:val="20"/>
        </w:rPr>
        <w:t xml:space="preserve"> príjmov</w:t>
      </w:r>
      <w:r w:rsidRPr="00977AA2">
        <w:t xml:space="preserve"> generované projektom , ktoré neboli zohľadnené  pri kalkulácií finančnej medzery ex ante</w:t>
      </w:r>
      <w:r w:rsidR="008D55E2">
        <w:t xml:space="preserve"> </w:t>
      </w:r>
      <w:r w:rsidRPr="007C2172">
        <w:rPr>
          <w:szCs w:val="20"/>
        </w:rPr>
        <w:t xml:space="preserve">(napr. </w:t>
      </w:r>
      <w:r w:rsidRPr="00977AA2">
        <w:t>nespoplatnená</w:t>
      </w:r>
      <w:r w:rsidR="008D55E2">
        <w:t xml:space="preserve"> </w:t>
      </w:r>
      <w:r w:rsidRPr="00977AA2">
        <w:t>cesta</w:t>
      </w:r>
      <w:r w:rsidRPr="007C2172">
        <w:rPr>
          <w:szCs w:val="20"/>
        </w:rPr>
        <w:t>, na</w:t>
      </w:r>
      <w:r w:rsidR="00A75416">
        <w:rPr>
          <w:szCs w:val="20"/>
        </w:rPr>
        <w:t> </w:t>
      </w:r>
      <w:r w:rsidRPr="007C2172">
        <w:rPr>
          <w:szCs w:val="20"/>
        </w:rPr>
        <w:t xml:space="preserve">ktorej </w:t>
      </w:r>
      <w:r w:rsidRPr="00977AA2">
        <w:t>sa začalo vyberať</w:t>
      </w:r>
      <w:r w:rsidRPr="007C2172">
        <w:rPr>
          <w:szCs w:val="20"/>
        </w:rPr>
        <w:t xml:space="preserve"> mýto neskôr alebo sa vyskytol prenájom priestorov a služieb,) alebo</w:t>
      </w:r>
    </w:p>
    <w:p w14:paraId="51765B2D" w14:textId="77777777" w:rsidR="00070252" w:rsidRPr="00EF7B45" w:rsidRDefault="00070252" w:rsidP="00F26B1B">
      <w:pPr>
        <w:pStyle w:val="Odsekzoznamu"/>
        <w:numPr>
          <w:ilvl w:val="1"/>
          <w:numId w:val="25"/>
        </w:numPr>
        <w:spacing w:before="200" w:after="200"/>
        <w:ind w:left="850" w:hanging="425"/>
        <w:jc w:val="both"/>
        <w:rPr>
          <w:szCs w:val="20"/>
        </w:rPr>
      </w:pPr>
      <w:r w:rsidRPr="007C2172">
        <w:rPr>
          <w:szCs w:val="20"/>
        </w:rPr>
        <w:t>dochádza k</w:t>
      </w:r>
      <w:r w:rsidRPr="00EF7B45">
        <w:rPr>
          <w:szCs w:val="20"/>
        </w:rPr>
        <w:t xml:space="preserve"> podstatným</w:t>
      </w:r>
      <w:r w:rsidRPr="007C2172">
        <w:rPr>
          <w:szCs w:val="20"/>
        </w:rPr>
        <w:t xml:space="preserve"> zmenám v</w:t>
      </w:r>
      <w:r w:rsidR="00F43E9A" w:rsidRPr="007C2172">
        <w:rPr>
          <w:szCs w:val="20"/>
        </w:rPr>
        <w:t> </w:t>
      </w:r>
      <w:r w:rsidRPr="00EF7B45">
        <w:rPr>
          <w:szCs w:val="20"/>
        </w:rPr>
        <w:t>tarifnej</w:t>
      </w:r>
      <w:r w:rsidR="00F43E9A" w:rsidRPr="00EF7B45">
        <w:rPr>
          <w:szCs w:val="20"/>
        </w:rPr>
        <w:t xml:space="preserve"> </w:t>
      </w:r>
      <w:r w:rsidRPr="00EF7B45">
        <w:rPr>
          <w:szCs w:val="20"/>
        </w:rPr>
        <w:t>politike (napr. výrazná zmena taríf za používanie ciest)</w:t>
      </w:r>
      <w:r w:rsidRPr="007C2172">
        <w:rPr>
          <w:szCs w:val="20"/>
        </w:rPr>
        <w:t xml:space="preserve">, ktorá </w:t>
      </w:r>
      <w:r w:rsidRPr="00EF7B45">
        <w:rPr>
          <w:szCs w:val="20"/>
        </w:rPr>
        <w:t>vyžaduje</w:t>
      </w:r>
      <w:r w:rsidR="00F43E9A" w:rsidRPr="00EF7B45">
        <w:rPr>
          <w:szCs w:val="20"/>
        </w:rPr>
        <w:t xml:space="preserve"> </w:t>
      </w:r>
      <w:r w:rsidRPr="00EF7B45">
        <w:rPr>
          <w:szCs w:val="20"/>
        </w:rPr>
        <w:t>prepočet</w:t>
      </w:r>
      <w:r w:rsidRPr="007C2172">
        <w:rPr>
          <w:szCs w:val="20"/>
        </w:rPr>
        <w:t xml:space="preserve"> finančnej medzery.</w:t>
      </w:r>
    </w:p>
    <w:p w14:paraId="4494AD7B" w14:textId="77777777" w:rsidR="00070252" w:rsidRPr="00977AA2" w:rsidRDefault="00070252" w:rsidP="00070252">
      <w:pPr>
        <w:textAlignment w:val="top"/>
      </w:pPr>
    </w:p>
    <w:p w14:paraId="16D02340" w14:textId="77777777" w:rsidR="00070252" w:rsidRPr="008F0420" w:rsidRDefault="00070252" w:rsidP="00070252">
      <w:pPr>
        <w:jc w:val="both"/>
      </w:pPr>
      <w:r w:rsidRPr="00977AA2">
        <w:rPr>
          <w:szCs w:val="20"/>
        </w:rPr>
        <w:t xml:space="preserve">V každom prípade zmeny v dopyte alebo iných externých ekonomických </w:t>
      </w:r>
      <w:r w:rsidRPr="00977AA2">
        <w:t>faktoroch</w:t>
      </w:r>
      <w:r w:rsidRPr="00977AA2">
        <w:rPr>
          <w:szCs w:val="20"/>
        </w:rPr>
        <w:t xml:space="preserve"> (napr. </w:t>
      </w:r>
      <w:r w:rsidRPr="00977AA2">
        <w:t>nepredvídateľná</w:t>
      </w:r>
      <w:r w:rsidR="00F43E9A">
        <w:t xml:space="preserve"> </w:t>
      </w:r>
      <w:r w:rsidRPr="00977AA2">
        <w:t>cenová</w:t>
      </w:r>
      <w:r w:rsidR="00F43E9A">
        <w:t xml:space="preserve"> </w:t>
      </w:r>
      <w:r w:rsidRPr="00977AA2">
        <w:t>inflácia</w:t>
      </w:r>
      <w:r w:rsidRPr="00977AA2">
        <w:rPr>
          <w:szCs w:val="20"/>
        </w:rPr>
        <w:t xml:space="preserve">) </w:t>
      </w:r>
      <w:r w:rsidRPr="00977AA2">
        <w:t>nevyžadujú prepočet finančnej medzery</w:t>
      </w:r>
      <w:r w:rsidRPr="00977AA2">
        <w:rPr>
          <w:szCs w:val="20"/>
        </w:rPr>
        <w:t xml:space="preserve"> a </w:t>
      </w:r>
      <w:r w:rsidRPr="00977AA2">
        <w:t>zníženie NFP.</w:t>
      </w:r>
    </w:p>
    <w:p w14:paraId="49E50060" w14:textId="77777777" w:rsidR="00070252" w:rsidRPr="008F0420" w:rsidRDefault="00070252" w:rsidP="00070252">
      <w:pPr>
        <w:jc w:val="both"/>
      </w:pPr>
    </w:p>
    <w:p w14:paraId="714C5091" w14:textId="77777777" w:rsidR="00070252" w:rsidRPr="00977AA2" w:rsidRDefault="00070252" w:rsidP="00070252">
      <w:pPr>
        <w:jc w:val="both"/>
      </w:pPr>
      <w:r w:rsidRPr="00977AA2">
        <w:lastRenderedPageBreak/>
        <w:t xml:space="preserve">V prípade, ak monitorovanie odhalí značné rozdiely medzi vopred odhadnutými príjmami ex - ante a príjmami, ktoré boli nakoniec realizované a jedná sa o tie isté zdroje príjmov, ktoré vstupovali do výpočtu finančnej medzery ex ante, </w:t>
      </w:r>
      <w:r w:rsidRPr="00977AA2">
        <w:rPr>
          <w:b/>
        </w:rPr>
        <w:t>nevyžaduje sa</w:t>
      </w:r>
      <w:r w:rsidR="00D034E9">
        <w:rPr>
          <w:b/>
        </w:rPr>
        <w:t xml:space="preserve"> </w:t>
      </w:r>
      <w:r w:rsidRPr="00977AA2">
        <w:t>rekalkulácia finančnej medzery. Je na rozhodnutí RO, či sprísni podmienky a  bude v prípadoch výrazného  navýšenia pôvodných zdrojov príjmov v záujme princípu „zdravého finančného riadenia“ vyžadovať od prijímateľa rekalkuláciu finančnej medzery.</w:t>
      </w:r>
    </w:p>
    <w:p w14:paraId="17BBC7E2" w14:textId="77777777" w:rsidR="00070252" w:rsidRPr="00977AA2" w:rsidRDefault="00070252" w:rsidP="00070252">
      <w:pPr>
        <w:jc w:val="both"/>
      </w:pPr>
    </w:p>
    <w:p w14:paraId="19EFF0A9" w14:textId="51FA364E" w:rsidR="00070252" w:rsidRPr="00977AA2" w:rsidRDefault="00070252" w:rsidP="00070252">
      <w:pPr>
        <w:jc w:val="both"/>
      </w:pPr>
      <w:r w:rsidRPr="00977AA2">
        <w:t xml:space="preserve">Riadiaci orgán zabezpečí vykonanie rekalkulácie finančnej medzery v takom prípade,  ak sa vyskytnú nové zdroje príjmov, ktoré pôvodne nevstupovali do výpočtu finančnej medzery ex - ante resp. ak sa podstatne zmení tarifná  politika. CKO v tomto prípade  odporúča RO, aby zadefinoval </w:t>
      </w:r>
      <w:r w:rsidRPr="00977AA2">
        <w:rPr>
          <w:b/>
        </w:rPr>
        <w:t>odchýlku</w:t>
      </w:r>
      <w:r w:rsidRPr="00977AA2">
        <w:t xml:space="preserve"> v miere finančnej medzery spôsobenú buď novými zdrojmi príjmov, resp. podstatnou zmenou tarifnej  politiky, ktorá si vyžiada takúto rekalkuláciu. Určenie percentuálnej výšky tejto odchýlky je v kompetencii RO. V prípade, ak miera finančnej medzery ex - ante na začiatku projektu a odchýlka v miere finančnej medzery pri zohľadnení nových zdrojov príjmov, resp. zmeny v tarifnej  politike presiahne túto odchýlku (pre </w:t>
      </w:r>
      <w:r w:rsidRPr="00977AA2">
        <w:rPr>
          <w:b/>
        </w:rPr>
        <w:t>ilustráciu napr. 10</w:t>
      </w:r>
      <w:r w:rsidR="00BE7BF3">
        <w:rPr>
          <w:b/>
        </w:rPr>
        <w:t xml:space="preserve"> </w:t>
      </w:r>
      <w:r w:rsidRPr="00977AA2">
        <w:rPr>
          <w:b/>
        </w:rPr>
        <w:t>%</w:t>
      </w:r>
      <w:r w:rsidRPr="00977AA2">
        <w:t>,) potom prijímateľ vykoná prepočet finančnej analýzy. RO vykoná kontrolu doručenej rekalkulácie finančnej analýzy (na základe údajov v zmluve o poskytnutí NFP, monitorovacích správ, žiadostí o platbu) a písomne potvrdí správnosť rekalkulácie, resp. upraví údaje uvedené v analýze.</w:t>
      </w:r>
    </w:p>
    <w:p w14:paraId="24F048C8" w14:textId="77777777" w:rsidR="00070252" w:rsidRPr="00977AA2" w:rsidRDefault="00070252" w:rsidP="00070252">
      <w:pPr>
        <w:jc w:val="both"/>
      </w:pPr>
    </w:p>
    <w:p w14:paraId="3124DBC7" w14:textId="6F81F2C2" w:rsidR="00070252" w:rsidRPr="00977AA2" w:rsidRDefault="00070252" w:rsidP="00070252">
      <w:pPr>
        <w:jc w:val="both"/>
      </w:pPr>
      <w:r w:rsidRPr="00977AA2">
        <w:t>Na základe rekalkulácie zistená zmena vo finančnej medzere (zúžená finančná medzera) sa musí premietnuť aj do výšky poskytnutého NFP. RO zašle prijímateľovi návrh dodatku k zmluve o poskytnutí NFP a následne žiadosť o vrátenie finančných prostriedkov. Prijímateľ je povinný oznámiť RO v súlade so zmluvou o poskytnutí NFP vrátenie rozdielu NFPex-ante – NFP1 prostredníctvom formulára „oznámenie o vysporiadaní finančných vzťahov“</w:t>
      </w:r>
      <w:r w:rsidR="00BF1D80">
        <w:t xml:space="preserve"> </w:t>
      </w:r>
      <w:r w:rsidR="00BF1D80" w:rsidRPr="00BF1D80">
        <w:t xml:space="preserve">definovanom Systémom finančného riadenia štrukturálnych fondov, Kohézneho fondu a Európskeho námorného a rybárskeho fondu na programové obdobie 2014 </w:t>
      </w:r>
      <w:r w:rsidR="00BF1D80">
        <w:t>–</w:t>
      </w:r>
      <w:r w:rsidR="00BF1D80" w:rsidRPr="00BF1D80">
        <w:t xml:space="preserve"> 2020</w:t>
      </w:r>
      <w:r w:rsidR="00BF1D80">
        <w:t xml:space="preserve"> </w:t>
      </w:r>
      <w:r w:rsidRPr="00977AA2">
        <w:t>(NFP</w:t>
      </w:r>
      <w:r w:rsidR="007D05AB">
        <w:t xml:space="preserve"> </w:t>
      </w:r>
      <w:r w:rsidRPr="00977AA2">
        <w:t>exante je NFP schválené v procese žiadosti o NFP, NFP1 – je NFP po rekalkulácií finančnej medzery spôsobenej výraznou zmenou podmienok zadefinovaných RO), ktorý RO zaeviduje do</w:t>
      </w:r>
      <w:r w:rsidR="00A75416">
        <w:t> </w:t>
      </w:r>
      <w:r w:rsidRPr="00977AA2">
        <w:t>systému ITMS.</w:t>
      </w:r>
    </w:p>
    <w:p w14:paraId="6E1020D4" w14:textId="77777777" w:rsidR="00070252" w:rsidRPr="00977AA2" w:rsidRDefault="00070252" w:rsidP="00070252">
      <w:pPr>
        <w:jc w:val="both"/>
      </w:pPr>
    </w:p>
    <w:p w14:paraId="7BC8666A" w14:textId="674AED8B" w:rsidR="00070252" w:rsidRPr="00977AA2" w:rsidRDefault="00070252" w:rsidP="00070252">
      <w:pPr>
        <w:jc w:val="both"/>
      </w:pPr>
      <w:r w:rsidRPr="00977AA2">
        <w:t>Prijímateľ je povinný vrátiť do 50</w:t>
      </w:r>
      <w:r w:rsidR="0006287A">
        <w:t xml:space="preserve"> pracovných</w:t>
      </w:r>
      <w:r w:rsidRPr="00977AA2">
        <w:t xml:space="preserve"> dní primeranú časť NFP, potom ako mu bol doručený podpísaný dodatok s novo vypočítanou výškou NFP a písomné vyzvanie na vrátenie finančných prostriedkov zo strany riadiaceho orgánu (žiadosť o vrátenie finančných prostriedkov). </w:t>
      </w:r>
      <w:r w:rsidRPr="00977AA2">
        <w:rPr>
          <w:bCs/>
        </w:rPr>
        <w:t>Ak už bol poskytn</w:t>
      </w:r>
      <w:r w:rsidR="00AA1C1A">
        <w:rPr>
          <w:bCs/>
        </w:rPr>
        <w:t>utý celý NFP v súlade so zmluvou</w:t>
      </w:r>
      <w:r w:rsidRPr="00977AA2">
        <w:rPr>
          <w:bCs/>
        </w:rPr>
        <w:t xml:space="preserve"> o poskytnutí NFP zo</w:t>
      </w:r>
      <w:r w:rsidR="00A75416">
        <w:rPr>
          <w:bCs/>
        </w:rPr>
        <w:t> </w:t>
      </w:r>
      <w:r w:rsidRPr="00977AA2">
        <w:rPr>
          <w:bCs/>
        </w:rPr>
        <w:t xml:space="preserve">strany RO, nie je potrebné uzatvárať dodatok k zmluve. Prijímateľ je povinný vrátiť poskytnutý NFP alebo jeho časť vo výške zodpovedajúcej rozdielu medzi NFP vypočítaným na základe metódy finančnej medzery pri žiadosti o NFP a NFP vypočítaným rekalkuláciou finančnej medzery. Dodatok k zmluve sa uzatvára iba vtedy, pokiaľ ešte nebola vyplatená celá suma NFP. </w:t>
      </w:r>
      <w:r w:rsidRPr="00977AA2">
        <w:t xml:space="preserve"> Prijímateľ je povinný vrátiť  prostriedky Európskej únie na osobitný účet Ministerstva financií SR č. </w:t>
      </w:r>
      <w:r w:rsidR="00A76BD0">
        <w:t>7000536317</w:t>
      </w:r>
      <w:r w:rsidRPr="00977AA2">
        <w:t xml:space="preserve"> vedený v Štátnej pokladnici a prostriedky štátneho rozpočtu na príjmový účet platobnej jednotky.</w:t>
      </w:r>
    </w:p>
    <w:p w14:paraId="520DE505" w14:textId="77777777" w:rsidR="00070252" w:rsidRPr="00977AA2" w:rsidRDefault="00070252" w:rsidP="00070252">
      <w:pPr>
        <w:jc w:val="both"/>
      </w:pPr>
    </w:p>
    <w:p w14:paraId="7A17DC09" w14:textId="77777777" w:rsidR="00070252" w:rsidRPr="003128A0" w:rsidRDefault="00070252" w:rsidP="00070252">
      <w:pPr>
        <w:jc w:val="both"/>
        <w:textAlignment w:val="top"/>
        <w:rPr>
          <w:color w:val="888888"/>
        </w:rPr>
      </w:pPr>
      <w:r w:rsidRPr="0056666E">
        <w:t>V prípade, že prijímateľ nepodpíše dodatok k zmluve a riadne a včas nevráti nadmerný NFP, RO postupuje ako v prípade projektovej nezrovnalosti s finančným dopadom.</w:t>
      </w:r>
    </w:p>
    <w:p w14:paraId="006142B4" w14:textId="77777777" w:rsidR="00070252" w:rsidRPr="00FB4864" w:rsidRDefault="00070252" w:rsidP="00070252">
      <w:pPr>
        <w:jc w:val="both"/>
      </w:pPr>
    </w:p>
    <w:p w14:paraId="2E48A991" w14:textId="070236CA" w:rsidR="00070252" w:rsidRDefault="00070252" w:rsidP="00070252">
      <w:pPr>
        <w:jc w:val="both"/>
      </w:pPr>
      <w:r w:rsidRPr="00977AA2">
        <w:rPr>
          <w:rFonts w:ascii="Arial" w:hAnsi="Arial" w:cs="Arial"/>
          <w:b/>
          <w:sz w:val="20"/>
          <w:szCs w:val="20"/>
        </w:rPr>
        <w:t>Príklad</w:t>
      </w:r>
      <w:r w:rsidRPr="00977AA2">
        <w:rPr>
          <w:rFonts w:ascii="Arial" w:hAnsi="Arial" w:cs="Arial"/>
          <w:sz w:val="20"/>
          <w:szCs w:val="20"/>
        </w:rPr>
        <w:t xml:space="preserve">: </w:t>
      </w:r>
      <w:r w:rsidRPr="00977AA2">
        <w:t>Ak vplyvom výraznej  zmeny podmienok zadefinovaných RO sa miera finančnej medzery zníži o viac ako dané percento (napr.10</w:t>
      </w:r>
      <w:r w:rsidR="00BE7BF3">
        <w:t xml:space="preserve"> </w:t>
      </w:r>
      <w:r w:rsidRPr="00977AA2">
        <w:t>%), prijímateľ musí uskutočniť rekalkuláciu finančnej medzery.</w:t>
      </w:r>
    </w:p>
    <w:p w14:paraId="349DDFAB" w14:textId="77777777" w:rsidR="00070252" w:rsidRDefault="00070252" w:rsidP="00070252"/>
    <w:p w14:paraId="279A69A1" w14:textId="77777777" w:rsidR="00070252" w:rsidRDefault="00070252" w:rsidP="00070252"/>
    <w:p w14:paraId="69D31C67" w14:textId="77777777" w:rsidR="00070252" w:rsidRDefault="00070252" w:rsidP="00070252"/>
    <w:p w14:paraId="62F5903B" w14:textId="77777777" w:rsidR="00070252" w:rsidRDefault="00070252" w:rsidP="00070252">
      <w:pPr>
        <w:rPr>
          <w:rFonts w:ascii="Arial" w:hAnsi="Arial" w:cs="Arial"/>
          <w:sz w:val="20"/>
          <w:szCs w:val="20"/>
        </w:rPr>
      </w:pPr>
    </w:p>
    <w:p w14:paraId="01AB0818" w14:textId="77777777" w:rsidR="00070252" w:rsidRDefault="00F978F2" w:rsidP="00070252">
      <w:pPr>
        <w:rPr>
          <w:rFonts w:ascii="Arial" w:hAnsi="Arial" w:cs="Arial"/>
          <w:sz w:val="20"/>
          <w:szCs w:val="20"/>
        </w:rPr>
      </w:pPr>
      <w:r>
        <w:rPr>
          <w:noProof/>
        </w:rPr>
        <mc:AlternateContent>
          <mc:Choice Requires="wps">
            <w:drawing>
              <wp:anchor distT="0" distB="0" distL="114935" distR="114935" simplePos="0" relativeHeight="251644928" behindDoc="0" locked="0" layoutInCell="1" allowOverlap="1" wp14:anchorId="1F0D8616" wp14:editId="64DDC538">
                <wp:simplePos x="0" y="0"/>
                <wp:positionH relativeFrom="column">
                  <wp:posOffset>890905</wp:posOffset>
                </wp:positionH>
                <wp:positionV relativeFrom="paragraph">
                  <wp:posOffset>-175895</wp:posOffset>
                </wp:positionV>
                <wp:extent cx="3450590" cy="421640"/>
                <wp:effectExtent l="0" t="0" r="16510" b="16510"/>
                <wp:wrapNone/>
                <wp:docPr id="16" name="Blok textu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0590" cy="421640"/>
                        </a:xfrm>
                        <a:prstGeom prst="rect">
                          <a:avLst/>
                        </a:prstGeom>
                        <a:solidFill>
                          <a:srgbClr val="FFFFFF"/>
                        </a:solidFill>
                        <a:ln w="6350">
                          <a:solidFill>
                            <a:srgbClr val="000000"/>
                          </a:solidFill>
                          <a:miter lim="800000"/>
                          <a:headEnd/>
                          <a:tailEnd/>
                        </a:ln>
                      </wps:spPr>
                      <wps:txbx>
                        <w:txbxContent>
                          <w:p w14:paraId="176CE411" w14:textId="77777777" w:rsidR="00AE22FA" w:rsidRDefault="00AE22FA" w:rsidP="00070252">
                            <w:pPr>
                              <w:rPr>
                                <w:sz w:val="40"/>
                                <w:szCs w:val="40"/>
                              </w:rPr>
                            </w:pPr>
                            <w:r>
                              <w:rPr>
                                <w:sz w:val="40"/>
                                <w:szCs w:val="40"/>
                              </w:rPr>
                              <w:t xml:space="preserve">     (R</w:t>
                            </w:r>
                            <w:r>
                              <w:t xml:space="preserve">exante – </w:t>
                            </w:r>
                            <w:r>
                              <w:rPr>
                                <w:sz w:val="40"/>
                                <w:szCs w:val="40"/>
                              </w:rPr>
                              <w:t>R</w:t>
                            </w:r>
                            <w:r>
                              <w:t>1</w:t>
                            </w:r>
                            <w:r>
                              <w:rPr>
                                <w:sz w:val="40"/>
                                <w:szCs w:val="40"/>
                              </w:rPr>
                              <w:t>) / R</w:t>
                            </w:r>
                            <w:r>
                              <w:t>exante</w:t>
                            </w:r>
                            <w:r>
                              <w:rPr>
                                <w:sz w:val="40"/>
                                <w:szCs w:val="40"/>
                              </w:rPr>
                              <w:t>&gt; 0,1</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0D8616" id="_x0000_t202" coordsize="21600,21600" o:spt="202" path="m,l,21600r21600,l21600,xe">
                <v:stroke joinstyle="miter"/>
                <v:path gradientshapeok="t" o:connecttype="rect"/>
              </v:shapetype>
              <v:shape id="Blok textu 16" o:spid="_x0000_s1026" type="#_x0000_t202" style="position:absolute;margin-left:70.15pt;margin-top:-13.85pt;width:271.7pt;height:33.2pt;z-index:2516449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" strokeweight=".5pt">
                <v:textbox inset="7.45pt,3.85pt,7.45pt,3.85pt">
                  <w:txbxContent>
                    <w:p w14:paraId="176CE411" w14:textId="77777777" w:rsidR="00AE22FA" w:rsidRDefault="00AE22FA" w:rsidP="00070252">
                      <w:pPr>
                        <w:rPr>
                          <w:sz w:val="40"/>
                          <w:szCs w:val="40"/>
                        </w:rPr>
                      </w:pPr>
                      <w:r>
                        <w:rPr>
                          <w:sz w:val="40"/>
                          <w:szCs w:val="40"/>
                        </w:rPr>
                        <w:t xml:space="preserve">     (R</w:t>
                      </w:r>
                      <w:r>
                        <w:t xml:space="preserve">exante – </w:t>
                      </w:r>
                      <w:r>
                        <w:rPr>
                          <w:sz w:val="40"/>
                          <w:szCs w:val="40"/>
                        </w:rPr>
                        <w:t>R</w:t>
                      </w:r>
                      <w:r>
                        <w:t>1</w:t>
                      </w:r>
                      <w:r>
                        <w:rPr>
                          <w:sz w:val="40"/>
                          <w:szCs w:val="40"/>
                        </w:rPr>
                        <w:t>) / R</w:t>
                      </w:r>
                      <w:r>
                        <w:t>exante</w:t>
                      </w:r>
                      <w:r>
                        <w:rPr>
                          <w:sz w:val="40"/>
                          <w:szCs w:val="40"/>
                        </w:rPr>
                        <w:t>&gt; 0,1</w:t>
                      </w:r>
                    </w:p>
                  </w:txbxContent>
                </v:textbox>
              </v:shape>
            </w:pict>
          </mc:Fallback>
        </mc:AlternateContent>
      </w:r>
    </w:p>
    <w:p w14:paraId="19624056" w14:textId="77777777" w:rsidR="00070252" w:rsidRDefault="00F978F2" w:rsidP="00070252">
      <w:pPr>
        <w:rPr>
          <w:rFonts w:ascii="Arial" w:hAnsi="Arial" w:cs="Arial"/>
          <w:sz w:val="20"/>
          <w:szCs w:val="20"/>
        </w:rPr>
      </w:pPr>
      <w:r>
        <w:rPr>
          <w:noProof/>
        </w:rPr>
        <mc:AlternateContent>
          <mc:Choice Requires="wps">
            <w:drawing>
              <wp:anchor distT="0" distB="0" distL="114300" distR="114300" simplePos="0" relativeHeight="251658240" behindDoc="0" locked="0" layoutInCell="1" allowOverlap="1" wp14:anchorId="2AE3DD45" wp14:editId="02AC7770">
                <wp:simplePos x="0" y="0"/>
                <wp:positionH relativeFrom="column">
                  <wp:posOffset>2653030</wp:posOffset>
                </wp:positionH>
                <wp:positionV relativeFrom="paragraph">
                  <wp:posOffset>99695</wp:posOffset>
                </wp:positionV>
                <wp:extent cx="2048510" cy="732790"/>
                <wp:effectExtent l="0" t="0" r="85090" b="67310"/>
                <wp:wrapNone/>
                <wp:docPr id="15" name="Rovná spojovacia šípka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48510" cy="732790"/>
                        </a:xfrm>
                        <a:prstGeom prst="straightConnector1">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14CB1D1F" id="_x0000_t32" coordsize="21600,21600" o:spt="32" o:oned="t" path="m,l21600,21600e" filled="f">
                <v:path arrowok="t" fillok="f" o:connecttype="none"/>
                <o:lock v:ext="edit" shapetype="t"/>
              </v:shapetype>
              <v:shape id="Rovná spojovacia šípka 15" o:spid="_x0000_s1026" type="#_x0000_t32" style="position:absolute;margin-left:208.9pt;margin-top:7.85pt;width:161.3pt;height:57.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" strokeweight=".26mm">
                <v:stroke endarrow="block" joinstyle="miter"/>
              </v:shape>
            </w:pict>
          </mc:Fallback>
        </mc:AlternateContent>
      </w:r>
      <w:r>
        <w:rPr>
          <w:noProof/>
        </w:rPr>
        <mc:AlternateContent>
          <mc:Choice Requires="wps">
            <w:drawing>
              <wp:anchor distT="0" distB="0" distL="114300" distR="114300" simplePos="0" relativeHeight="251662336" behindDoc="0" locked="0" layoutInCell="1" allowOverlap="1" wp14:anchorId="2D6EAF39" wp14:editId="0A44E5A5">
                <wp:simplePos x="0" y="0"/>
                <wp:positionH relativeFrom="column">
                  <wp:posOffset>1071880</wp:posOffset>
                </wp:positionH>
                <wp:positionV relativeFrom="paragraph">
                  <wp:posOffset>99695</wp:posOffset>
                </wp:positionV>
                <wp:extent cx="1629410" cy="668655"/>
                <wp:effectExtent l="38100" t="0" r="27940" b="55245"/>
                <wp:wrapNone/>
                <wp:docPr id="14" name="Rovná spojovacia šípk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629410" cy="668655"/>
                        </a:xfrm>
                        <a:prstGeom prst="straightConnector1">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1EB5988C" id="Rovná spojovacia šípka 14" o:spid="_x0000_s1026" type="#_x0000_t32" style="position:absolute;margin-left:84.4pt;margin-top:7.85pt;width:128.3pt;height:52.65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" strokeweight=".26mm">
                <v:stroke endarrow="block" joinstyle="miter"/>
              </v:shape>
            </w:pict>
          </mc:Fallback>
        </mc:AlternateContent>
      </w:r>
    </w:p>
    <w:p w14:paraId="694ADEE3" w14:textId="77777777" w:rsidR="00070252" w:rsidRDefault="00070252" w:rsidP="00070252">
      <w:pPr>
        <w:rPr>
          <w:rFonts w:ascii="Arial" w:hAnsi="Arial" w:cs="Arial"/>
          <w:sz w:val="20"/>
          <w:szCs w:val="20"/>
        </w:rPr>
      </w:pPr>
    </w:p>
    <w:p w14:paraId="78558B6B" w14:textId="77777777" w:rsidR="00070252" w:rsidRDefault="00070252" w:rsidP="00070252">
      <w:pPr>
        <w:rPr>
          <w:rFonts w:ascii="Arial" w:hAnsi="Arial" w:cs="Arial"/>
          <w:sz w:val="20"/>
          <w:szCs w:val="20"/>
        </w:rPr>
      </w:pPr>
    </w:p>
    <w:p w14:paraId="04D289BA" w14:textId="77777777" w:rsidR="00070252" w:rsidRDefault="00070252" w:rsidP="00070252">
      <w:pPr>
        <w:rPr>
          <w:rFonts w:ascii="Arial" w:hAnsi="Arial" w:cs="Arial"/>
          <w:sz w:val="20"/>
          <w:szCs w:val="20"/>
        </w:rPr>
      </w:pPr>
    </w:p>
    <w:p w14:paraId="1BFA4FCE" w14:textId="77777777" w:rsidR="00070252" w:rsidRDefault="00070252" w:rsidP="00070252">
      <w:pPr>
        <w:rPr>
          <w:rFonts w:ascii="Arial" w:hAnsi="Arial" w:cs="Arial"/>
          <w:sz w:val="20"/>
          <w:szCs w:val="20"/>
        </w:rPr>
      </w:pPr>
    </w:p>
    <w:p w14:paraId="6CD46441" w14:textId="77777777" w:rsidR="00070252" w:rsidRDefault="00F978F2" w:rsidP="00070252">
      <w:pPr>
        <w:rPr>
          <w:rFonts w:ascii="Arial" w:hAnsi="Arial" w:cs="Arial"/>
          <w:sz w:val="20"/>
          <w:szCs w:val="20"/>
        </w:rPr>
      </w:pPr>
      <w:r>
        <w:rPr>
          <w:noProof/>
        </w:rPr>
        <mc:AlternateContent>
          <mc:Choice Requires="wps">
            <w:drawing>
              <wp:anchor distT="0" distB="0" distL="114935" distR="114935" simplePos="0" relativeHeight="251648000" behindDoc="0" locked="0" layoutInCell="1" allowOverlap="1" wp14:anchorId="102A9D72" wp14:editId="4DE6E239">
                <wp:simplePos x="0" y="0"/>
                <wp:positionH relativeFrom="column">
                  <wp:posOffset>-407035</wp:posOffset>
                </wp:positionH>
                <wp:positionV relativeFrom="paragraph">
                  <wp:posOffset>38100</wp:posOffset>
                </wp:positionV>
                <wp:extent cx="3012440" cy="770890"/>
                <wp:effectExtent l="0" t="0" r="16510" b="10160"/>
                <wp:wrapNone/>
                <wp:docPr id="13" name="Blok textu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2440" cy="770890"/>
                        </a:xfrm>
                        <a:prstGeom prst="rect">
                          <a:avLst/>
                        </a:prstGeom>
                        <a:solidFill>
                          <a:srgbClr val="FFFFFF"/>
                        </a:solidFill>
                        <a:ln w="6350">
                          <a:solidFill>
                            <a:srgbClr val="000000"/>
                          </a:solidFill>
                          <a:miter lim="800000"/>
                          <a:headEnd/>
                          <a:tailEnd/>
                        </a:ln>
                      </wps:spPr>
                      <wps:txbx>
                        <w:txbxContent>
                          <w:p w14:paraId="183B9B13" w14:textId="77777777" w:rsidR="00AE22FA" w:rsidRDefault="00AE22FA" w:rsidP="00070252">
                            <w:r>
                              <w:t>Ak áno – treba vrátiť rozdiel:</w:t>
                            </w:r>
                          </w:p>
                          <w:p w14:paraId="41B8EC63" w14:textId="77777777" w:rsidR="00AE22FA" w:rsidRDefault="00AE22FA" w:rsidP="00070252">
                            <w:r>
                              <w:rPr>
                                <w:sz w:val="40"/>
                                <w:szCs w:val="40"/>
                              </w:rPr>
                              <w:t>NFP</w:t>
                            </w:r>
                            <w:r>
                              <w:t xml:space="preserve">exante – </w:t>
                            </w:r>
                            <w:r>
                              <w:rPr>
                                <w:sz w:val="40"/>
                                <w:szCs w:val="40"/>
                              </w:rPr>
                              <w:t>NFP</w:t>
                            </w:r>
                            <w:r>
                              <w:t>1</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2A9D72" id="Blok textu 13" o:spid="_x0000_s1027" type="#_x0000_t202" style="position:absolute;margin-left:-32.05pt;margin-top:3pt;width:237.2pt;height:60.7pt;z-index:25164800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" strokeweight=".5pt">
                <v:textbox inset="7.45pt,3.85pt,7.45pt,3.85pt">
                  <w:txbxContent>
                    <w:p w14:paraId="183B9B13" w14:textId="77777777" w:rsidR="00AE22FA" w:rsidRDefault="00AE22FA" w:rsidP="00070252">
                      <w:r>
                        <w:t>Ak áno – treba vrátiť rozdiel:</w:t>
                      </w:r>
                    </w:p>
                    <w:p w14:paraId="41B8EC63" w14:textId="77777777" w:rsidR="00AE22FA" w:rsidRDefault="00AE22FA" w:rsidP="00070252">
                      <w:r>
                        <w:rPr>
                          <w:sz w:val="40"/>
                          <w:szCs w:val="40"/>
                        </w:rPr>
                        <w:t>NFP</w:t>
                      </w:r>
                      <w:r>
                        <w:t xml:space="preserve">exante – </w:t>
                      </w:r>
                      <w:r>
                        <w:rPr>
                          <w:sz w:val="40"/>
                          <w:szCs w:val="40"/>
                        </w:rPr>
                        <w:t>NFP</w:t>
                      </w:r>
                      <w:r>
                        <w:t>1</w:t>
                      </w:r>
                    </w:p>
                  </w:txbxContent>
                </v:textbox>
              </v:shape>
            </w:pict>
          </mc:Fallback>
        </mc:AlternateContent>
      </w:r>
      <w:r>
        <w:rPr>
          <w:noProof/>
        </w:rPr>
        <mc:AlternateContent>
          <mc:Choice Requires="wps">
            <w:drawing>
              <wp:anchor distT="0" distB="0" distL="114935" distR="114935" simplePos="0" relativeHeight="251651072" behindDoc="0" locked="0" layoutInCell="1" allowOverlap="1" wp14:anchorId="2D818D4F" wp14:editId="5E16D90D">
                <wp:simplePos x="0" y="0"/>
                <wp:positionH relativeFrom="column">
                  <wp:posOffset>3138805</wp:posOffset>
                </wp:positionH>
                <wp:positionV relativeFrom="paragraph">
                  <wp:posOffset>102235</wp:posOffset>
                </wp:positionV>
                <wp:extent cx="3060065" cy="770890"/>
                <wp:effectExtent l="0" t="0" r="26035" b="10160"/>
                <wp:wrapNone/>
                <wp:docPr id="12" name="Blok textu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0065" cy="770890"/>
                        </a:xfrm>
                        <a:prstGeom prst="rect">
                          <a:avLst/>
                        </a:prstGeom>
                        <a:solidFill>
                          <a:srgbClr val="FFFFFF"/>
                        </a:solidFill>
                        <a:ln w="6350">
                          <a:solidFill>
                            <a:srgbClr val="000000"/>
                          </a:solidFill>
                          <a:miter lim="800000"/>
                          <a:headEnd/>
                          <a:tailEnd/>
                        </a:ln>
                      </wps:spPr>
                      <wps:txbx>
                        <w:txbxContent>
                          <w:p w14:paraId="44BE4E37" w14:textId="77777777" w:rsidR="00AE22FA" w:rsidRDefault="00AE22FA" w:rsidP="00070252">
                            <w:r>
                              <w:t>Ak nie – nie je potrebné vrátiť</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818D4F" id="Blok textu 12" o:spid="_x0000_s1028" type="#_x0000_t202" style="position:absolute;margin-left:247.15pt;margin-top:8.05pt;width:240.95pt;height:60.7pt;z-index:25165107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" strokeweight=".5pt">
                <v:textbox inset="7.45pt,3.85pt,7.45pt,3.85pt">
                  <w:txbxContent>
                    <w:p w14:paraId="44BE4E37" w14:textId="77777777" w:rsidR="00AE22FA" w:rsidRDefault="00AE22FA" w:rsidP="00070252">
                      <w:r>
                        <w:t>Ak nie – nie je potrebné vrátiť</w:t>
                      </w:r>
                    </w:p>
                  </w:txbxContent>
                </v:textbox>
              </v:shape>
            </w:pict>
          </mc:Fallback>
        </mc:AlternateContent>
      </w:r>
    </w:p>
    <w:p w14:paraId="2B170A53" w14:textId="77777777" w:rsidR="00070252" w:rsidRDefault="00070252" w:rsidP="00070252">
      <w:pPr>
        <w:rPr>
          <w:rFonts w:ascii="Arial" w:hAnsi="Arial" w:cs="Arial"/>
          <w:sz w:val="20"/>
          <w:szCs w:val="20"/>
        </w:rPr>
      </w:pPr>
    </w:p>
    <w:p w14:paraId="2DF3DD9B" w14:textId="77777777" w:rsidR="00070252" w:rsidRDefault="00070252" w:rsidP="00070252">
      <w:pPr>
        <w:rPr>
          <w:rFonts w:ascii="Arial" w:hAnsi="Arial" w:cs="Arial"/>
          <w:sz w:val="20"/>
          <w:szCs w:val="20"/>
        </w:rPr>
      </w:pPr>
    </w:p>
    <w:p w14:paraId="7F8959C6" w14:textId="77777777" w:rsidR="00070252" w:rsidRDefault="00070252" w:rsidP="00070252">
      <w:pPr>
        <w:rPr>
          <w:rFonts w:ascii="Arial" w:hAnsi="Arial" w:cs="Arial"/>
          <w:sz w:val="20"/>
          <w:szCs w:val="20"/>
        </w:rPr>
      </w:pPr>
    </w:p>
    <w:p w14:paraId="5345F24C" w14:textId="77777777" w:rsidR="00070252" w:rsidRDefault="00070252" w:rsidP="00070252"/>
    <w:p w14:paraId="3D6D20B5" w14:textId="77777777" w:rsidR="00070252" w:rsidRDefault="00070252" w:rsidP="00070252">
      <w:pPr>
        <w:jc w:val="both"/>
      </w:pPr>
    </w:p>
    <w:p w14:paraId="1E8C8417" w14:textId="77777777" w:rsidR="00070252" w:rsidRPr="00977AA2" w:rsidRDefault="00070252" w:rsidP="00070252">
      <w:pPr>
        <w:jc w:val="both"/>
      </w:pPr>
      <w:r w:rsidRPr="00977AA2">
        <w:t xml:space="preserve">R ex ante – miera finančnej medzery vypočítaná pri finančnej analýze ex ante, vo fáze žiadosť </w:t>
      </w:r>
    </w:p>
    <w:p w14:paraId="0FB43303" w14:textId="77777777" w:rsidR="00070252" w:rsidRPr="00977AA2" w:rsidRDefault="00070252" w:rsidP="00070252">
      <w:pPr>
        <w:jc w:val="both"/>
      </w:pPr>
      <w:r w:rsidRPr="00977AA2">
        <w:t>o NFP</w:t>
      </w:r>
    </w:p>
    <w:p w14:paraId="0F15A69A" w14:textId="77777777" w:rsidR="00070252" w:rsidRPr="00977AA2" w:rsidRDefault="00070252" w:rsidP="00070252">
      <w:pPr>
        <w:jc w:val="both"/>
      </w:pPr>
    </w:p>
    <w:p w14:paraId="4CA51160" w14:textId="77777777" w:rsidR="00070252" w:rsidRPr="00977AA2" w:rsidRDefault="00070252" w:rsidP="00070252">
      <w:pPr>
        <w:jc w:val="both"/>
      </w:pPr>
      <w:r w:rsidRPr="00977AA2">
        <w:t>R1 - nový ukazovateľ miery finančnej medzery vypočítaný na základe sledovania čistých príjmov z projektu (zmena spôsobená novými zdrojmi príjmov, resp. výraznou  zmenou tarifnej politiky)</w:t>
      </w:r>
    </w:p>
    <w:p w14:paraId="739868E3" w14:textId="77777777" w:rsidR="00070252" w:rsidRPr="00977AA2" w:rsidRDefault="00070252" w:rsidP="00070252">
      <w:pPr>
        <w:jc w:val="both"/>
      </w:pPr>
    </w:p>
    <w:p w14:paraId="38FCC493" w14:textId="47DFB8F2" w:rsidR="00070252" w:rsidRPr="00977AA2" w:rsidRDefault="00070252" w:rsidP="00070252">
      <w:pPr>
        <w:jc w:val="both"/>
      </w:pPr>
      <w:r w:rsidRPr="00977AA2">
        <w:t>Hodnoty rozdielov vo finančnej medzere počas obdobia monitorovania čistých príjmov sa nekumulujú. To znamená, že ak sa napríklad v prvom roku zistí odchýlka 2</w:t>
      </w:r>
      <w:r w:rsidR="00FB4864">
        <w:t xml:space="preserve"> </w:t>
      </w:r>
      <w:r w:rsidRPr="00977AA2">
        <w:t>% a v</w:t>
      </w:r>
      <w:r w:rsidR="00FB4864">
        <w:t> </w:t>
      </w:r>
      <w:r w:rsidRPr="00977AA2">
        <w:t>druhom</w:t>
      </w:r>
      <w:r w:rsidR="00FB4864">
        <w:br/>
      </w:r>
      <w:r w:rsidRPr="00977AA2">
        <w:t xml:space="preserve"> 9</w:t>
      </w:r>
      <w:r w:rsidR="00FB4864">
        <w:t xml:space="preserve"> </w:t>
      </w:r>
      <w:r w:rsidRPr="00977AA2">
        <w:t>%, tieto hodnoty sa nesčítavajú. Prijímateľ uskutoční rekalkuláciu finančnej analýzy v tom čase, kedy došlo k prekročeniu tejto odchýlky vo finančnej medzere.</w:t>
      </w:r>
    </w:p>
    <w:p w14:paraId="540E1BD6" w14:textId="77777777" w:rsidR="00070252" w:rsidRPr="00977AA2" w:rsidRDefault="00070252" w:rsidP="00070252">
      <w:pPr>
        <w:jc w:val="both"/>
      </w:pPr>
    </w:p>
    <w:p w14:paraId="3C4EB1D1" w14:textId="77777777" w:rsidR="00070252" w:rsidRPr="00977AA2" w:rsidRDefault="00070252" w:rsidP="00070252">
      <w:pPr>
        <w:jc w:val="both"/>
      </w:pPr>
      <w:r w:rsidRPr="00977AA2">
        <w:t>Riadiaci orgán môže zaviazať prijímateľa aby predkladal so záverečnou monitorovacou správou o realizácií projektu aj prepočet finančnej medzery podľa skutočne dosiahnutých hodnôt čistých príjmov.</w:t>
      </w:r>
    </w:p>
    <w:p w14:paraId="320866EF" w14:textId="77777777" w:rsidR="00070252" w:rsidRPr="00977AA2" w:rsidRDefault="00070252" w:rsidP="00070252">
      <w:pPr>
        <w:jc w:val="both"/>
      </w:pPr>
    </w:p>
    <w:p w14:paraId="0761A7A9" w14:textId="77777777" w:rsidR="00070252" w:rsidRPr="00977AA2" w:rsidRDefault="00070252" w:rsidP="00070252">
      <w:pPr>
        <w:jc w:val="both"/>
      </w:pPr>
      <w:r w:rsidRPr="00977AA2">
        <w:t>Druhým odporúčaným obdobím na konfrontáciu finančnej medzery podľa skutočných hodnôt je posledná následná monitorovacia správa (resp. uzatváranie programu – podľa toho čo nastane skôr).</w:t>
      </w:r>
    </w:p>
    <w:p w14:paraId="4869A0C9" w14:textId="77777777" w:rsidR="00070252" w:rsidRPr="00977AA2" w:rsidRDefault="00070252" w:rsidP="00070252">
      <w:pPr>
        <w:jc w:val="both"/>
      </w:pPr>
    </w:p>
    <w:p w14:paraId="174A272C" w14:textId="25A6D79E" w:rsidR="00070252" w:rsidRPr="00977AA2" w:rsidRDefault="00070252" w:rsidP="00070252">
      <w:pPr>
        <w:jc w:val="both"/>
      </w:pPr>
      <w:r w:rsidRPr="00977AA2">
        <w:t>Pr.: V našom ilustračnom príklade navýšime príjmy každý rok o 2 mi</w:t>
      </w:r>
      <w:r w:rsidR="00BE7BF3">
        <w:t>l.</w:t>
      </w:r>
      <w:r w:rsidRPr="00977AA2">
        <w:t xml:space="preserve"> EUR. Výška spolufinancovania zo zdrojov EÚ je 85</w:t>
      </w:r>
      <w:r w:rsidR="00FB4864">
        <w:t xml:space="preserve"> </w:t>
      </w:r>
      <w:r w:rsidRPr="00977AA2">
        <w:t xml:space="preserve">%. Monitorovanie odhalilo, že okrem pôvodných zdrojov príjmov sa vyskytli ešte dodatočné nové zdroje príjmov pôvodne nezohľadnené vo finančnej analýze ex - ante, ktoré spôsobili  značné rozdiely medzi vopred odhadnutými čistými príjmami a čistými príjmami, ktoré budú nakoniec realizované (RO nadstavil </w:t>
      </w:r>
      <w:r w:rsidRPr="00977AA2">
        <w:rPr>
          <w:b/>
        </w:rPr>
        <w:t>výraznú  zmenu podmienok</w:t>
      </w:r>
      <w:r w:rsidRPr="00977AA2">
        <w:t xml:space="preserve"> ako prekročenie hranice 10</w:t>
      </w:r>
      <w:r w:rsidR="00FB4864">
        <w:t xml:space="preserve"> </w:t>
      </w:r>
      <w:r w:rsidRPr="00977AA2">
        <w:t>% medzi mierou finančnej medzery ex - ante a mierou finančnej medzery spôsobenou novými zdrojmi príjmov, resp. zmenou tarifnej politiky), preto musí riadiaci orgán upraviť výpočet NFP. Dochádza k zníženiu oprávnených výdavkov týkajúcich sa projektu (keďže čisté príjmy sú vyššie, ako sa pôvodne odhadovalo) a opätovnej realokácii pomerného príspevku z fondov EU na iné projekty v rámci operačného programu.</w:t>
      </w:r>
    </w:p>
    <w:p w14:paraId="12CD88E5" w14:textId="77777777" w:rsidR="00070252" w:rsidRPr="00977AA2" w:rsidRDefault="00070252" w:rsidP="00070252"/>
    <w:p w14:paraId="72097EB9" w14:textId="77777777" w:rsidR="00070252" w:rsidRPr="00977AA2" w:rsidRDefault="00070252" w:rsidP="00070252">
      <w:r w:rsidRPr="00977AA2">
        <w:t xml:space="preserve">Údaje – zhrnutie:  </w:t>
      </w:r>
    </w:p>
    <w:p w14:paraId="714F6E9F" w14:textId="77777777" w:rsidR="00070252" w:rsidRPr="00977AA2" w:rsidRDefault="00070252" w:rsidP="00070252">
      <w:r w:rsidRPr="00977AA2">
        <w:t xml:space="preserve">EC (oprávnené výdavky projektu) = 180.500.000 EUR </w:t>
      </w:r>
    </w:p>
    <w:p w14:paraId="0F53CDDD" w14:textId="77777777" w:rsidR="00070252" w:rsidRPr="00977AA2" w:rsidRDefault="00070252" w:rsidP="00070252">
      <w:r w:rsidRPr="00977AA2">
        <w:t xml:space="preserve">DNR (diskontované čisté príjmy) = 163.135.766 EUR </w:t>
      </w:r>
    </w:p>
    <w:p w14:paraId="1D0D53C1" w14:textId="77777777" w:rsidR="00070252" w:rsidRPr="00977AA2" w:rsidRDefault="00070252" w:rsidP="00070252">
      <w:r w:rsidRPr="00977AA2">
        <w:lastRenderedPageBreak/>
        <w:t xml:space="preserve">DIC (diskontované investičné výdavky) = 228.380.125 EUR </w:t>
      </w:r>
    </w:p>
    <w:p w14:paraId="2352DCFF" w14:textId="2A7D487E" w:rsidR="00070252" w:rsidRPr="00977AA2" w:rsidRDefault="00070252" w:rsidP="00070252">
      <w:r w:rsidRPr="00977AA2">
        <w:t>Max CRpa (% spolufinancovania EU) = 85</w:t>
      </w:r>
      <w:r w:rsidR="00FB4864">
        <w:t xml:space="preserve"> </w:t>
      </w:r>
      <w:r w:rsidRPr="00977AA2">
        <w:t>%</w:t>
      </w:r>
    </w:p>
    <w:p w14:paraId="3CF4D9DC" w14:textId="77777777" w:rsidR="00070252" w:rsidRDefault="00070252" w:rsidP="00070252">
      <w:r w:rsidRPr="00977AA2">
        <w:t xml:space="preserve">DNR1 (diskontované čisté príjmy po zohľadnení </w:t>
      </w:r>
      <w:r w:rsidR="00514F85" w:rsidRPr="00977AA2">
        <w:t>reálnych</w:t>
      </w:r>
      <w:r w:rsidRPr="00977AA2">
        <w:t xml:space="preserve"> hodnôt nových zdrojov príjmov) = 191.897.729 EUR</w:t>
      </w:r>
    </w:p>
    <w:p w14:paraId="1856A1BE" w14:textId="77777777" w:rsidR="00070252" w:rsidRDefault="00070252" w:rsidP="00070252"/>
    <w:p w14:paraId="4E87C12D" w14:textId="2352D9B9" w:rsidR="00070252" w:rsidRDefault="00070252" w:rsidP="00070252">
      <w:r>
        <w:t>Tab: výpočet pri zmene miery finančnej medzery o viac ako 10</w:t>
      </w:r>
      <w:r w:rsidR="00FB4864">
        <w:t xml:space="preserve"> </w:t>
      </w:r>
      <w:r>
        <w:t>% (čísla sú ilustratívne)</w:t>
      </w:r>
    </w:p>
    <w:p w14:paraId="490ABC4E" w14:textId="77777777" w:rsidR="00070252" w:rsidRDefault="00070252" w:rsidP="00070252"/>
    <w:tbl>
      <w:tblPr>
        <w:tblW w:w="9514" w:type="dxa"/>
        <w:tblInd w:w="-5" w:type="dxa"/>
        <w:tblLayout w:type="fixed"/>
        <w:tblLook w:val="0000" w:firstRow="0" w:lastRow="0" w:firstColumn="0" w:lastColumn="0" w:noHBand="0" w:noVBand="0"/>
      </w:tblPr>
      <w:tblGrid>
        <w:gridCol w:w="2422"/>
        <w:gridCol w:w="2944"/>
        <w:gridCol w:w="1440"/>
        <w:gridCol w:w="1380"/>
        <w:gridCol w:w="1328"/>
      </w:tblGrid>
      <w:tr w:rsidR="00070252" w14:paraId="70D208CC" w14:textId="77777777" w:rsidTr="0056666E">
        <w:tc>
          <w:tcPr>
            <w:tcW w:w="2422" w:type="dxa"/>
            <w:vMerge w:val="restart"/>
            <w:tcBorders>
              <w:top w:val="single" w:sz="4" w:space="0" w:color="000000"/>
              <w:left w:val="single" w:sz="4" w:space="0" w:color="000000"/>
              <w:bottom w:val="single" w:sz="4" w:space="0" w:color="000000"/>
            </w:tcBorders>
            <w:shd w:val="clear" w:color="auto" w:fill="C6D9F1"/>
          </w:tcPr>
          <w:p w14:paraId="3BE6D7D3" w14:textId="77777777" w:rsidR="00070252" w:rsidRDefault="00070252" w:rsidP="006A5294">
            <w:pPr>
              <w:snapToGrid w:val="0"/>
              <w:jc w:val="center"/>
              <w:rPr>
                <w:rStyle w:val="longtext1"/>
                <w:rFonts w:ascii="Arial" w:hAnsi="Arial" w:cs="Arial"/>
                <w:shd w:val="clear" w:color="auto" w:fill="FFFFFF"/>
              </w:rPr>
            </w:pPr>
            <w:r>
              <w:rPr>
                <w:rStyle w:val="longtext1"/>
                <w:rFonts w:ascii="Arial" w:hAnsi="Arial" w:cs="Arial"/>
                <w:shd w:val="clear" w:color="auto" w:fill="FFFFFF"/>
              </w:rPr>
              <w:t>Ukazovateľ</w:t>
            </w:r>
          </w:p>
        </w:tc>
        <w:tc>
          <w:tcPr>
            <w:tcW w:w="7092" w:type="dxa"/>
            <w:gridSpan w:val="4"/>
            <w:tcBorders>
              <w:top w:val="single" w:sz="4" w:space="0" w:color="000000"/>
              <w:left w:val="single" w:sz="4" w:space="0" w:color="000000"/>
              <w:bottom w:val="single" w:sz="4" w:space="0" w:color="000000"/>
              <w:right w:val="single" w:sz="4" w:space="0" w:color="000000"/>
            </w:tcBorders>
            <w:shd w:val="clear" w:color="auto" w:fill="C6D9F1"/>
          </w:tcPr>
          <w:p w14:paraId="21F28B2D" w14:textId="77777777" w:rsidR="00070252" w:rsidRDefault="00070252" w:rsidP="006A5294">
            <w:pPr>
              <w:snapToGrid w:val="0"/>
              <w:jc w:val="center"/>
              <w:rPr>
                <w:rStyle w:val="longtext1"/>
                <w:rFonts w:ascii="Arial" w:hAnsi="Arial" w:cs="Arial"/>
                <w:shd w:val="clear" w:color="auto" w:fill="FFFFFF"/>
              </w:rPr>
            </w:pPr>
            <w:r>
              <w:rPr>
                <w:rStyle w:val="longtext1"/>
                <w:rFonts w:ascii="Arial" w:hAnsi="Arial" w:cs="Arial"/>
                <w:shd w:val="clear" w:color="auto" w:fill="FFFFFF"/>
              </w:rPr>
              <w:t>Výpočet</w:t>
            </w:r>
          </w:p>
        </w:tc>
      </w:tr>
      <w:tr w:rsidR="00034644" w14:paraId="45691ED0" w14:textId="77777777" w:rsidTr="006A5294">
        <w:tc>
          <w:tcPr>
            <w:tcW w:w="2422" w:type="dxa"/>
            <w:vMerge/>
            <w:tcBorders>
              <w:top w:val="single" w:sz="4" w:space="0" w:color="000000"/>
              <w:left w:val="single" w:sz="4" w:space="0" w:color="000000"/>
              <w:bottom w:val="single" w:sz="4" w:space="0" w:color="000000"/>
            </w:tcBorders>
            <w:shd w:val="clear" w:color="auto" w:fill="C6D9F1"/>
          </w:tcPr>
          <w:p w14:paraId="44A876F1" w14:textId="77777777" w:rsidR="00070252" w:rsidRDefault="00070252" w:rsidP="006A5294">
            <w:pPr>
              <w:snapToGrid w:val="0"/>
            </w:pPr>
          </w:p>
        </w:tc>
        <w:tc>
          <w:tcPr>
            <w:tcW w:w="4384" w:type="dxa"/>
            <w:gridSpan w:val="2"/>
            <w:tcBorders>
              <w:top w:val="single" w:sz="4" w:space="0" w:color="000000"/>
              <w:left w:val="single" w:sz="4" w:space="0" w:color="000000"/>
              <w:bottom w:val="single" w:sz="4" w:space="0" w:color="000000"/>
            </w:tcBorders>
            <w:shd w:val="clear" w:color="auto" w:fill="C6D9F1"/>
          </w:tcPr>
          <w:p w14:paraId="0DE7C6B5" w14:textId="77777777" w:rsidR="00070252" w:rsidRDefault="00070252" w:rsidP="006A5294">
            <w:pPr>
              <w:snapToGrid w:val="0"/>
              <w:jc w:val="center"/>
              <w:rPr>
                <w:rStyle w:val="longtext1"/>
                <w:rFonts w:ascii="Arial" w:hAnsi="Arial" w:cs="Arial"/>
                <w:shd w:val="clear" w:color="auto" w:fill="FFFFFF"/>
              </w:rPr>
            </w:pPr>
            <w:r>
              <w:rPr>
                <w:rStyle w:val="longtext1"/>
                <w:rFonts w:ascii="Arial" w:hAnsi="Arial" w:cs="Arial"/>
                <w:shd w:val="clear" w:color="auto" w:fill="FFFFFF"/>
              </w:rPr>
              <w:t>Pôvodné hodnoty</w:t>
            </w:r>
          </w:p>
        </w:tc>
        <w:tc>
          <w:tcPr>
            <w:tcW w:w="1380" w:type="dxa"/>
            <w:tcBorders>
              <w:top w:val="single" w:sz="4" w:space="0" w:color="000000"/>
              <w:left w:val="single" w:sz="4" w:space="0" w:color="000000"/>
              <w:bottom w:val="single" w:sz="4" w:space="0" w:color="000000"/>
            </w:tcBorders>
            <w:shd w:val="clear" w:color="auto" w:fill="C6D9F1"/>
          </w:tcPr>
          <w:p w14:paraId="0FBEC85A" w14:textId="77777777" w:rsidR="00070252" w:rsidRDefault="00070252" w:rsidP="006A5294">
            <w:pPr>
              <w:snapToGrid w:val="0"/>
              <w:rPr>
                <w:rStyle w:val="longtext1"/>
                <w:rFonts w:ascii="Arial" w:hAnsi="Arial" w:cs="Arial"/>
                <w:shd w:val="clear" w:color="auto" w:fill="FFFFFF"/>
              </w:rPr>
            </w:pPr>
            <w:r>
              <w:rPr>
                <w:rStyle w:val="longtext1"/>
                <w:rFonts w:ascii="Arial" w:hAnsi="Arial" w:cs="Arial"/>
                <w:shd w:val="clear" w:color="auto" w:fill="FFFFFF"/>
              </w:rPr>
              <w:t>Nové hodnoty</w:t>
            </w:r>
          </w:p>
        </w:tc>
        <w:tc>
          <w:tcPr>
            <w:tcW w:w="1328" w:type="dxa"/>
            <w:tcBorders>
              <w:top w:val="single" w:sz="4" w:space="0" w:color="000000"/>
              <w:left w:val="single" w:sz="4" w:space="0" w:color="000000"/>
              <w:bottom w:val="single" w:sz="4" w:space="0" w:color="000000"/>
              <w:right w:val="single" w:sz="4" w:space="0" w:color="000000"/>
            </w:tcBorders>
            <w:shd w:val="clear" w:color="auto" w:fill="C6D9F1"/>
          </w:tcPr>
          <w:p w14:paraId="2518D9D2" w14:textId="77777777" w:rsidR="00070252" w:rsidRDefault="00070252" w:rsidP="006A5294">
            <w:pPr>
              <w:snapToGrid w:val="0"/>
              <w:rPr>
                <w:rStyle w:val="longtext1"/>
                <w:rFonts w:ascii="Arial" w:hAnsi="Arial" w:cs="Arial"/>
                <w:shd w:val="clear" w:color="auto" w:fill="FFFFFF"/>
              </w:rPr>
            </w:pPr>
            <w:r>
              <w:rPr>
                <w:rStyle w:val="longtext1"/>
                <w:rFonts w:ascii="Arial" w:hAnsi="Arial" w:cs="Arial"/>
                <w:shd w:val="clear" w:color="auto" w:fill="FFFFFF"/>
              </w:rPr>
              <w:t>Rozdiel</w:t>
            </w:r>
          </w:p>
        </w:tc>
      </w:tr>
      <w:tr w:rsidR="00070252" w14:paraId="19E7639F" w14:textId="77777777" w:rsidTr="0056666E">
        <w:tc>
          <w:tcPr>
            <w:tcW w:w="2422" w:type="dxa"/>
            <w:tcBorders>
              <w:top w:val="single" w:sz="4" w:space="0" w:color="000000"/>
              <w:left w:val="single" w:sz="4" w:space="0" w:color="000000"/>
              <w:bottom w:val="single" w:sz="4" w:space="0" w:color="000000"/>
            </w:tcBorders>
          </w:tcPr>
          <w:p w14:paraId="6CCFDD03" w14:textId="77777777" w:rsidR="00070252" w:rsidRDefault="00070252" w:rsidP="006A5294">
            <w:pPr>
              <w:snapToGrid w:val="0"/>
              <w:rPr>
                <w:rStyle w:val="longtext1"/>
                <w:rFonts w:ascii="Arial" w:hAnsi="Arial" w:cs="Arial"/>
                <w:shd w:val="clear" w:color="auto" w:fill="FFFFFF"/>
              </w:rPr>
            </w:pPr>
            <w:r>
              <w:rPr>
                <w:rStyle w:val="longtext1"/>
                <w:rFonts w:ascii="Arial" w:hAnsi="Arial" w:cs="Arial"/>
                <w:shd w:val="clear" w:color="auto" w:fill="FFFFFF"/>
              </w:rPr>
              <w:t>Diskontované čisté príjmy</w:t>
            </w:r>
          </w:p>
        </w:tc>
        <w:tc>
          <w:tcPr>
            <w:tcW w:w="2944" w:type="dxa"/>
            <w:tcBorders>
              <w:top w:val="single" w:sz="4" w:space="0" w:color="000000"/>
              <w:left w:val="single" w:sz="4" w:space="0" w:color="000000"/>
              <w:bottom w:val="single" w:sz="4" w:space="0" w:color="000000"/>
            </w:tcBorders>
          </w:tcPr>
          <w:p w14:paraId="7D5EB8EB" w14:textId="77777777" w:rsidR="00070252" w:rsidRDefault="00070252" w:rsidP="006A5294">
            <w:pPr>
              <w:snapToGrid w:val="0"/>
              <w:rPr>
                <w:rStyle w:val="longtext1"/>
                <w:rFonts w:ascii="Arial" w:hAnsi="Arial" w:cs="Arial"/>
                <w:shd w:val="clear" w:color="auto" w:fill="FFFFFF"/>
              </w:rPr>
            </w:pPr>
            <w:r>
              <w:rPr>
                <w:rStyle w:val="longtext1"/>
                <w:rFonts w:ascii="Arial" w:hAnsi="Arial" w:cs="Arial"/>
                <w:shd w:val="clear" w:color="auto" w:fill="FFFFFF"/>
              </w:rPr>
              <w:t>DNR = DR +  DRV - DOC</w:t>
            </w:r>
          </w:p>
        </w:tc>
        <w:tc>
          <w:tcPr>
            <w:tcW w:w="1440" w:type="dxa"/>
            <w:tcBorders>
              <w:top w:val="single" w:sz="4" w:space="0" w:color="000000"/>
              <w:left w:val="single" w:sz="4" w:space="0" w:color="000000"/>
              <w:bottom w:val="single" w:sz="4" w:space="0" w:color="000000"/>
            </w:tcBorders>
          </w:tcPr>
          <w:p w14:paraId="35E900E3" w14:textId="77777777" w:rsidR="00070252" w:rsidRDefault="00070252" w:rsidP="006A5294">
            <w:pPr>
              <w:snapToGrid w:val="0"/>
              <w:rPr>
                <w:rStyle w:val="longtext1"/>
                <w:rFonts w:ascii="Arial" w:hAnsi="Arial" w:cs="Arial"/>
                <w:shd w:val="clear" w:color="auto" w:fill="FFFFFF"/>
              </w:rPr>
            </w:pPr>
            <w:r>
              <w:rPr>
                <w:rStyle w:val="longtext1"/>
                <w:rFonts w:ascii="Arial" w:hAnsi="Arial" w:cs="Arial"/>
                <w:shd w:val="clear" w:color="auto" w:fill="FFFFFF"/>
              </w:rPr>
              <w:t>163.135.766</w:t>
            </w:r>
          </w:p>
        </w:tc>
        <w:tc>
          <w:tcPr>
            <w:tcW w:w="1380" w:type="dxa"/>
            <w:tcBorders>
              <w:top w:val="single" w:sz="4" w:space="0" w:color="000000"/>
              <w:left w:val="single" w:sz="4" w:space="0" w:color="000000"/>
              <w:bottom w:val="single" w:sz="4" w:space="0" w:color="000000"/>
            </w:tcBorders>
          </w:tcPr>
          <w:p w14:paraId="46D3E57F" w14:textId="77777777" w:rsidR="00070252" w:rsidRPr="00DD40E1" w:rsidRDefault="00070252" w:rsidP="006A5294">
            <w:pPr>
              <w:snapToGrid w:val="0"/>
              <w:rPr>
                <w:rStyle w:val="longtext1"/>
                <w:rFonts w:ascii="Arial" w:hAnsi="Arial" w:cs="Arial"/>
                <w:shd w:val="clear" w:color="auto" w:fill="FFFFFF"/>
              </w:rPr>
            </w:pPr>
            <w:r w:rsidRPr="00DD40E1">
              <w:rPr>
                <w:rStyle w:val="longtext1"/>
                <w:rFonts w:ascii="Arial" w:hAnsi="Arial" w:cs="Arial"/>
                <w:shd w:val="clear" w:color="auto" w:fill="FFFFFF"/>
              </w:rPr>
              <w:t>191.897.729</w:t>
            </w:r>
          </w:p>
        </w:tc>
        <w:tc>
          <w:tcPr>
            <w:tcW w:w="1328" w:type="dxa"/>
            <w:tcBorders>
              <w:top w:val="single" w:sz="4" w:space="0" w:color="000000"/>
              <w:left w:val="single" w:sz="4" w:space="0" w:color="000000"/>
              <w:bottom w:val="single" w:sz="4" w:space="0" w:color="000000"/>
              <w:right w:val="single" w:sz="4" w:space="0" w:color="000000"/>
            </w:tcBorders>
          </w:tcPr>
          <w:p w14:paraId="4A181B98" w14:textId="77777777" w:rsidR="00070252" w:rsidRDefault="00070252" w:rsidP="006A5294">
            <w:pPr>
              <w:snapToGrid w:val="0"/>
              <w:rPr>
                <w:rStyle w:val="longtext1"/>
                <w:rFonts w:ascii="Arial" w:hAnsi="Arial" w:cs="Arial"/>
                <w:shd w:val="clear" w:color="auto" w:fill="FFFFFF"/>
              </w:rPr>
            </w:pPr>
          </w:p>
        </w:tc>
      </w:tr>
      <w:tr w:rsidR="00070252" w14:paraId="775C63D9" w14:textId="77777777" w:rsidTr="0056666E">
        <w:tc>
          <w:tcPr>
            <w:tcW w:w="2422" w:type="dxa"/>
            <w:tcBorders>
              <w:top w:val="single" w:sz="4" w:space="0" w:color="000000"/>
              <w:left w:val="single" w:sz="4" w:space="0" w:color="000000"/>
              <w:bottom w:val="single" w:sz="4" w:space="0" w:color="000000"/>
            </w:tcBorders>
          </w:tcPr>
          <w:p w14:paraId="5CE59696" w14:textId="77777777" w:rsidR="00070252" w:rsidRDefault="00070252" w:rsidP="006A5294">
            <w:pPr>
              <w:snapToGrid w:val="0"/>
              <w:rPr>
                <w:rStyle w:val="longtext1"/>
                <w:rFonts w:ascii="Arial" w:hAnsi="Arial" w:cs="Arial"/>
                <w:shd w:val="clear" w:color="auto" w:fill="FFFFFF"/>
              </w:rPr>
            </w:pPr>
            <w:r>
              <w:rPr>
                <w:rStyle w:val="longtext1"/>
                <w:rFonts w:ascii="Arial" w:hAnsi="Arial" w:cs="Arial"/>
                <w:shd w:val="clear" w:color="auto" w:fill="FFFFFF"/>
              </w:rPr>
              <w:t xml:space="preserve"> Miera finančnej medzery</w:t>
            </w:r>
          </w:p>
        </w:tc>
        <w:tc>
          <w:tcPr>
            <w:tcW w:w="2944" w:type="dxa"/>
            <w:tcBorders>
              <w:top w:val="single" w:sz="4" w:space="0" w:color="000000"/>
              <w:left w:val="single" w:sz="4" w:space="0" w:color="000000"/>
              <w:bottom w:val="single" w:sz="4" w:space="0" w:color="000000"/>
            </w:tcBorders>
          </w:tcPr>
          <w:p w14:paraId="6ECEF1CC" w14:textId="77777777" w:rsidR="00070252" w:rsidRDefault="00070252" w:rsidP="006A5294">
            <w:pPr>
              <w:snapToGrid w:val="0"/>
              <w:rPr>
                <w:rStyle w:val="longtext1"/>
                <w:rFonts w:ascii="Arial" w:hAnsi="Arial" w:cs="Arial"/>
                <w:shd w:val="clear" w:color="auto" w:fill="FFFFFF"/>
              </w:rPr>
            </w:pPr>
            <w:r>
              <w:rPr>
                <w:rStyle w:val="longtext1"/>
                <w:rFonts w:ascii="Arial" w:hAnsi="Arial" w:cs="Arial"/>
                <w:shd w:val="clear" w:color="auto" w:fill="FFFFFF"/>
              </w:rPr>
              <w:t xml:space="preserve">R = (DIC –DNR)/DIC </w:t>
            </w:r>
          </w:p>
        </w:tc>
        <w:tc>
          <w:tcPr>
            <w:tcW w:w="1440" w:type="dxa"/>
            <w:tcBorders>
              <w:top w:val="single" w:sz="4" w:space="0" w:color="000000"/>
              <w:left w:val="single" w:sz="4" w:space="0" w:color="000000"/>
              <w:bottom w:val="single" w:sz="4" w:space="0" w:color="000000"/>
            </w:tcBorders>
          </w:tcPr>
          <w:p w14:paraId="141F223D" w14:textId="77777777" w:rsidR="00070252" w:rsidRDefault="00070252" w:rsidP="006A5294">
            <w:pPr>
              <w:snapToGrid w:val="0"/>
              <w:rPr>
                <w:rStyle w:val="longtext1"/>
                <w:rFonts w:ascii="Arial" w:hAnsi="Arial" w:cs="Arial"/>
                <w:shd w:val="clear" w:color="auto" w:fill="FFFFFF"/>
              </w:rPr>
            </w:pPr>
            <w:r>
              <w:rPr>
                <w:rStyle w:val="longtext1"/>
                <w:rFonts w:ascii="Arial" w:hAnsi="Arial" w:cs="Arial"/>
                <w:shd w:val="clear" w:color="auto" w:fill="FFFFFF"/>
              </w:rPr>
              <w:t>0,29</w:t>
            </w:r>
          </w:p>
        </w:tc>
        <w:tc>
          <w:tcPr>
            <w:tcW w:w="1380" w:type="dxa"/>
            <w:tcBorders>
              <w:top w:val="single" w:sz="4" w:space="0" w:color="000000"/>
              <w:left w:val="single" w:sz="4" w:space="0" w:color="000000"/>
              <w:bottom w:val="single" w:sz="4" w:space="0" w:color="000000"/>
            </w:tcBorders>
          </w:tcPr>
          <w:p w14:paraId="09712CD8" w14:textId="77777777" w:rsidR="00070252" w:rsidRDefault="00070252" w:rsidP="006A5294">
            <w:pPr>
              <w:snapToGrid w:val="0"/>
              <w:rPr>
                <w:rStyle w:val="longtext1"/>
                <w:rFonts w:ascii="Arial" w:hAnsi="Arial" w:cs="Arial"/>
                <w:shd w:val="clear" w:color="auto" w:fill="FFFFFF"/>
              </w:rPr>
            </w:pPr>
            <w:r>
              <w:rPr>
                <w:rStyle w:val="longtext1"/>
                <w:rFonts w:ascii="Arial" w:hAnsi="Arial" w:cs="Arial"/>
                <w:shd w:val="clear" w:color="auto" w:fill="FFFFFF"/>
              </w:rPr>
              <w:t>0,16</w:t>
            </w:r>
          </w:p>
        </w:tc>
        <w:tc>
          <w:tcPr>
            <w:tcW w:w="1328" w:type="dxa"/>
            <w:tcBorders>
              <w:top w:val="single" w:sz="4" w:space="0" w:color="000000"/>
              <w:left w:val="single" w:sz="4" w:space="0" w:color="000000"/>
              <w:bottom w:val="single" w:sz="4" w:space="0" w:color="000000"/>
              <w:right w:val="single" w:sz="4" w:space="0" w:color="000000"/>
            </w:tcBorders>
          </w:tcPr>
          <w:p w14:paraId="55D2142A" w14:textId="77777777" w:rsidR="00070252" w:rsidRDefault="00070252" w:rsidP="006A5294">
            <w:pPr>
              <w:snapToGrid w:val="0"/>
              <w:rPr>
                <w:rStyle w:val="longtext1"/>
                <w:rFonts w:ascii="Arial" w:hAnsi="Arial" w:cs="Arial"/>
                <w:b/>
                <w:shd w:val="clear" w:color="auto" w:fill="FFFFFF"/>
              </w:rPr>
            </w:pPr>
            <w:r>
              <w:rPr>
                <w:rStyle w:val="longtext1"/>
                <w:rFonts w:ascii="Arial" w:hAnsi="Arial" w:cs="Arial"/>
                <w:b/>
                <w:shd w:val="clear" w:color="auto" w:fill="FFFFFF"/>
              </w:rPr>
              <w:t>0,13</w:t>
            </w:r>
          </w:p>
        </w:tc>
      </w:tr>
      <w:tr w:rsidR="00070252" w14:paraId="478E10E0" w14:textId="77777777" w:rsidTr="0056666E">
        <w:tc>
          <w:tcPr>
            <w:tcW w:w="2422" w:type="dxa"/>
            <w:tcBorders>
              <w:top w:val="single" w:sz="4" w:space="0" w:color="000000"/>
              <w:left w:val="single" w:sz="4" w:space="0" w:color="000000"/>
              <w:bottom w:val="single" w:sz="4" w:space="0" w:color="000000"/>
            </w:tcBorders>
          </w:tcPr>
          <w:p w14:paraId="2E6F7ECF" w14:textId="77777777" w:rsidR="00070252" w:rsidRDefault="00070252" w:rsidP="006A5294">
            <w:pPr>
              <w:snapToGrid w:val="0"/>
              <w:rPr>
                <w:rStyle w:val="longtext1"/>
                <w:rFonts w:ascii="Arial" w:hAnsi="Arial" w:cs="Arial"/>
                <w:shd w:val="clear" w:color="auto" w:fill="FFFFFF"/>
              </w:rPr>
            </w:pPr>
            <w:r>
              <w:rPr>
                <w:rStyle w:val="longtext1"/>
                <w:rFonts w:ascii="Arial" w:hAnsi="Arial" w:cs="Arial"/>
                <w:shd w:val="clear" w:color="auto" w:fill="FFFFFF"/>
              </w:rPr>
              <w:t>modifikovaný základ pre výpočet NFP</w:t>
            </w:r>
          </w:p>
        </w:tc>
        <w:tc>
          <w:tcPr>
            <w:tcW w:w="2944" w:type="dxa"/>
            <w:tcBorders>
              <w:top w:val="single" w:sz="4" w:space="0" w:color="000000"/>
              <w:left w:val="single" w:sz="4" w:space="0" w:color="000000"/>
              <w:bottom w:val="single" w:sz="4" w:space="0" w:color="000000"/>
            </w:tcBorders>
          </w:tcPr>
          <w:p w14:paraId="06609229" w14:textId="77777777" w:rsidR="00070252" w:rsidRDefault="00070252" w:rsidP="006A5294">
            <w:pPr>
              <w:snapToGrid w:val="0"/>
              <w:rPr>
                <w:rStyle w:val="longtext1"/>
                <w:rFonts w:ascii="Arial" w:hAnsi="Arial" w:cs="Arial"/>
                <w:shd w:val="clear" w:color="auto" w:fill="FFFFFF"/>
              </w:rPr>
            </w:pPr>
            <w:r>
              <w:rPr>
                <w:rStyle w:val="longtext1"/>
                <w:rFonts w:ascii="Arial" w:hAnsi="Arial" w:cs="Arial"/>
                <w:shd w:val="clear" w:color="auto" w:fill="FFFFFF"/>
              </w:rPr>
              <w:t xml:space="preserve">NDA = R * EC </w:t>
            </w:r>
          </w:p>
        </w:tc>
        <w:tc>
          <w:tcPr>
            <w:tcW w:w="1440" w:type="dxa"/>
            <w:tcBorders>
              <w:top w:val="single" w:sz="4" w:space="0" w:color="000000"/>
              <w:left w:val="single" w:sz="4" w:space="0" w:color="000000"/>
              <w:bottom w:val="single" w:sz="4" w:space="0" w:color="000000"/>
            </w:tcBorders>
          </w:tcPr>
          <w:p w14:paraId="41D3E2E5" w14:textId="77777777" w:rsidR="00070252" w:rsidRDefault="00070252" w:rsidP="006A5294">
            <w:pPr>
              <w:snapToGrid w:val="0"/>
              <w:rPr>
                <w:rStyle w:val="longtext1"/>
                <w:rFonts w:ascii="Arial" w:hAnsi="Arial" w:cs="Arial"/>
                <w:shd w:val="clear" w:color="auto" w:fill="FFFFFF"/>
              </w:rPr>
            </w:pPr>
            <w:r>
              <w:rPr>
                <w:rStyle w:val="longtext1"/>
                <w:rFonts w:ascii="Arial" w:hAnsi="Arial" w:cs="Arial"/>
                <w:shd w:val="clear" w:color="auto" w:fill="FFFFFF"/>
              </w:rPr>
              <w:t>51.565.813</w:t>
            </w:r>
          </w:p>
        </w:tc>
        <w:tc>
          <w:tcPr>
            <w:tcW w:w="1380" w:type="dxa"/>
            <w:tcBorders>
              <w:top w:val="single" w:sz="4" w:space="0" w:color="000000"/>
              <w:left w:val="single" w:sz="4" w:space="0" w:color="000000"/>
              <w:bottom w:val="single" w:sz="4" w:space="0" w:color="000000"/>
            </w:tcBorders>
          </w:tcPr>
          <w:p w14:paraId="78B44746" w14:textId="77777777" w:rsidR="00070252" w:rsidRDefault="00070252" w:rsidP="006A5294">
            <w:pPr>
              <w:snapToGrid w:val="0"/>
              <w:rPr>
                <w:rStyle w:val="longtext1"/>
                <w:rFonts w:ascii="Arial" w:hAnsi="Arial" w:cs="Arial"/>
                <w:shd w:val="clear" w:color="auto" w:fill="FFFFFF"/>
              </w:rPr>
            </w:pPr>
            <w:r>
              <w:rPr>
                <w:rStyle w:val="longtext1"/>
                <w:rFonts w:ascii="Arial" w:hAnsi="Arial" w:cs="Arial"/>
                <w:shd w:val="clear" w:color="auto" w:fill="FFFFFF"/>
              </w:rPr>
              <w:t>28.833.824</w:t>
            </w:r>
          </w:p>
        </w:tc>
        <w:tc>
          <w:tcPr>
            <w:tcW w:w="1328" w:type="dxa"/>
            <w:tcBorders>
              <w:top w:val="single" w:sz="4" w:space="0" w:color="000000"/>
              <w:left w:val="single" w:sz="4" w:space="0" w:color="000000"/>
              <w:bottom w:val="single" w:sz="4" w:space="0" w:color="000000"/>
              <w:right w:val="single" w:sz="4" w:space="0" w:color="000000"/>
            </w:tcBorders>
          </w:tcPr>
          <w:p w14:paraId="371F51B3" w14:textId="77777777" w:rsidR="00070252" w:rsidRPr="00DD40E1" w:rsidRDefault="00070252" w:rsidP="006A5294">
            <w:pPr>
              <w:snapToGrid w:val="0"/>
              <w:rPr>
                <w:rStyle w:val="longtext1"/>
                <w:rFonts w:ascii="Arial" w:hAnsi="Arial" w:cs="Arial"/>
                <w:b/>
                <w:shd w:val="clear" w:color="auto" w:fill="FFFFFF"/>
              </w:rPr>
            </w:pPr>
            <w:r w:rsidRPr="00DD40E1">
              <w:rPr>
                <w:rStyle w:val="longtext1"/>
                <w:rFonts w:ascii="Arial" w:hAnsi="Arial" w:cs="Arial"/>
                <w:b/>
                <w:shd w:val="clear" w:color="auto" w:fill="FFFFFF"/>
              </w:rPr>
              <w:t>22.731.988</w:t>
            </w:r>
          </w:p>
        </w:tc>
      </w:tr>
      <w:tr w:rsidR="00070252" w14:paraId="4456BC43" w14:textId="77777777" w:rsidTr="0056666E">
        <w:tc>
          <w:tcPr>
            <w:tcW w:w="2422" w:type="dxa"/>
            <w:tcBorders>
              <w:top w:val="single" w:sz="4" w:space="0" w:color="000000"/>
              <w:left w:val="single" w:sz="4" w:space="0" w:color="000000"/>
              <w:bottom w:val="single" w:sz="4" w:space="0" w:color="000000"/>
            </w:tcBorders>
          </w:tcPr>
          <w:p w14:paraId="302A3AD7" w14:textId="77777777" w:rsidR="00070252" w:rsidRDefault="00070252" w:rsidP="006A5294">
            <w:pPr>
              <w:snapToGrid w:val="0"/>
              <w:rPr>
                <w:rStyle w:val="longtext1"/>
                <w:rFonts w:ascii="Arial" w:hAnsi="Arial" w:cs="Arial"/>
                <w:shd w:val="clear" w:color="auto" w:fill="FFFFFF"/>
              </w:rPr>
            </w:pPr>
            <w:r>
              <w:rPr>
                <w:rStyle w:val="longtext1"/>
                <w:rFonts w:ascii="Arial" w:hAnsi="Arial" w:cs="Arial"/>
                <w:shd w:val="clear" w:color="auto" w:fill="FFFFFF"/>
              </w:rPr>
              <w:t>výška príspevku EU</w:t>
            </w:r>
          </w:p>
        </w:tc>
        <w:tc>
          <w:tcPr>
            <w:tcW w:w="2944" w:type="dxa"/>
            <w:tcBorders>
              <w:top w:val="single" w:sz="4" w:space="0" w:color="000000"/>
              <w:left w:val="single" w:sz="4" w:space="0" w:color="000000"/>
              <w:bottom w:val="single" w:sz="4" w:space="0" w:color="000000"/>
            </w:tcBorders>
          </w:tcPr>
          <w:p w14:paraId="5F201F4C" w14:textId="3C7760C7" w:rsidR="00070252" w:rsidRDefault="00070252" w:rsidP="006A5294">
            <w:pPr>
              <w:snapToGrid w:val="0"/>
              <w:rPr>
                <w:rStyle w:val="longtext1"/>
                <w:rFonts w:ascii="Arial" w:hAnsi="Arial" w:cs="Arial"/>
                <w:shd w:val="clear" w:color="auto" w:fill="FFFFFF"/>
              </w:rPr>
            </w:pPr>
            <w:r>
              <w:rPr>
                <w:rStyle w:val="longtext1"/>
                <w:rFonts w:ascii="Arial" w:hAnsi="Arial" w:cs="Arial"/>
                <w:shd w:val="clear" w:color="auto" w:fill="FFFFFF"/>
              </w:rPr>
              <w:t>NFP(EU) =N DA * 85</w:t>
            </w:r>
            <w:r w:rsidR="00FB4864">
              <w:rPr>
                <w:rStyle w:val="longtext1"/>
                <w:rFonts w:ascii="Arial" w:hAnsi="Arial" w:cs="Arial"/>
                <w:shd w:val="clear" w:color="auto" w:fill="FFFFFF"/>
              </w:rPr>
              <w:t xml:space="preserve"> </w:t>
            </w:r>
            <w:r>
              <w:rPr>
                <w:rStyle w:val="longtext1"/>
                <w:rFonts w:ascii="Arial" w:hAnsi="Arial" w:cs="Arial"/>
                <w:shd w:val="clear" w:color="auto" w:fill="FFFFFF"/>
              </w:rPr>
              <w:t xml:space="preserve">%EU </w:t>
            </w:r>
          </w:p>
        </w:tc>
        <w:tc>
          <w:tcPr>
            <w:tcW w:w="1440" w:type="dxa"/>
            <w:tcBorders>
              <w:top w:val="single" w:sz="4" w:space="0" w:color="000000"/>
              <w:left w:val="single" w:sz="4" w:space="0" w:color="000000"/>
              <w:bottom w:val="single" w:sz="4" w:space="0" w:color="000000"/>
            </w:tcBorders>
          </w:tcPr>
          <w:p w14:paraId="6E5D949A" w14:textId="77777777" w:rsidR="00070252" w:rsidRDefault="00070252" w:rsidP="006A5294">
            <w:pPr>
              <w:snapToGrid w:val="0"/>
              <w:rPr>
                <w:rStyle w:val="longtext1"/>
                <w:rFonts w:ascii="Arial" w:hAnsi="Arial" w:cs="Arial"/>
                <w:shd w:val="clear" w:color="auto" w:fill="FFFFFF"/>
              </w:rPr>
            </w:pPr>
            <w:r>
              <w:rPr>
                <w:rStyle w:val="longtext1"/>
                <w:rFonts w:ascii="Arial" w:hAnsi="Arial" w:cs="Arial"/>
                <w:shd w:val="clear" w:color="auto" w:fill="FFFFFF"/>
              </w:rPr>
              <w:t>43.830.941</w:t>
            </w:r>
          </w:p>
        </w:tc>
        <w:tc>
          <w:tcPr>
            <w:tcW w:w="1380" w:type="dxa"/>
            <w:tcBorders>
              <w:top w:val="single" w:sz="4" w:space="0" w:color="000000"/>
              <w:left w:val="single" w:sz="4" w:space="0" w:color="000000"/>
              <w:bottom w:val="single" w:sz="4" w:space="0" w:color="000000"/>
            </w:tcBorders>
          </w:tcPr>
          <w:p w14:paraId="171ACAAA" w14:textId="77777777" w:rsidR="00070252" w:rsidRDefault="00070252" w:rsidP="006A5294">
            <w:pPr>
              <w:snapToGrid w:val="0"/>
              <w:rPr>
                <w:rStyle w:val="longtext1"/>
                <w:rFonts w:ascii="Arial" w:hAnsi="Arial" w:cs="Arial"/>
                <w:shd w:val="clear" w:color="auto" w:fill="FFFFFF"/>
              </w:rPr>
            </w:pPr>
            <w:r>
              <w:rPr>
                <w:rStyle w:val="longtext1"/>
                <w:rFonts w:ascii="Arial" w:hAnsi="Arial" w:cs="Arial"/>
                <w:shd w:val="clear" w:color="auto" w:fill="FFFFFF"/>
              </w:rPr>
              <w:t>24.508.751</w:t>
            </w:r>
          </w:p>
        </w:tc>
        <w:tc>
          <w:tcPr>
            <w:tcW w:w="1328" w:type="dxa"/>
            <w:tcBorders>
              <w:top w:val="single" w:sz="4" w:space="0" w:color="000000"/>
              <w:left w:val="single" w:sz="4" w:space="0" w:color="000000"/>
              <w:bottom w:val="single" w:sz="4" w:space="0" w:color="000000"/>
              <w:right w:val="single" w:sz="4" w:space="0" w:color="000000"/>
            </w:tcBorders>
          </w:tcPr>
          <w:p w14:paraId="79DD92D4" w14:textId="77777777" w:rsidR="00070252" w:rsidRPr="00DD40E1" w:rsidRDefault="00070252" w:rsidP="006A5294">
            <w:pPr>
              <w:snapToGrid w:val="0"/>
              <w:rPr>
                <w:rStyle w:val="longtext1"/>
                <w:rFonts w:ascii="Arial" w:hAnsi="Arial" w:cs="Arial"/>
                <w:b/>
                <w:shd w:val="clear" w:color="auto" w:fill="FFFFFF"/>
              </w:rPr>
            </w:pPr>
            <w:r w:rsidRPr="00DD40E1">
              <w:rPr>
                <w:rStyle w:val="longtext1"/>
                <w:rFonts w:ascii="Arial" w:hAnsi="Arial" w:cs="Arial"/>
                <w:b/>
                <w:shd w:val="clear" w:color="auto" w:fill="FFFFFF"/>
              </w:rPr>
              <w:t>19.322.190</w:t>
            </w:r>
          </w:p>
        </w:tc>
      </w:tr>
      <w:tr w:rsidR="00070252" w14:paraId="160D7A75" w14:textId="77777777" w:rsidTr="0056666E">
        <w:tc>
          <w:tcPr>
            <w:tcW w:w="2422" w:type="dxa"/>
            <w:tcBorders>
              <w:top w:val="single" w:sz="4" w:space="0" w:color="000000"/>
              <w:left w:val="single" w:sz="4" w:space="0" w:color="000000"/>
              <w:bottom w:val="single" w:sz="4" w:space="0" w:color="000000"/>
            </w:tcBorders>
          </w:tcPr>
          <w:p w14:paraId="4E8129E2" w14:textId="77777777" w:rsidR="00070252" w:rsidRDefault="00070252" w:rsidP="006A5294">
            <w:pPr>
              <w:snapToGrid w:val="0"/>
              <w:rPr>
                <w:rStyle w:val="longtext1"/>
                <w:rFonts w:ascii="Arial" w:hAnsi="Arial" w:cs="Arial"/>
                <w:shd w:val="clear" w:color="auto" w:fill="FFFFFF"/>
              </w:rPr>
            </w:pPr>
            <w:r>
              <w:rPr>
                <w:rStyle w:val="longtext1"/>
                <w:rFonts w:ascii="Arial" w:hAnsi="Arial" w:cs="Arial"/>
                <w:shd w:val="clear" w:color="auto" w:fill="FFFFFF"/>
              </w:rPr>
              <w:t>Výška príspevku ŠR</w:t>
            </w:r>
          </w:p>
        </w:tc>
        <w:tc>
          <w:tcPr>
            <w:tcW w:w="2944" w:type="dxa"/>
            <w:tcBorders>
              <w:top w:val="single" w:sz="4" w:space="0" w:color="000000"/>
              <w:left w:val="single" w:sz="4" w:space="0" w:color="000000"/>
              <w:bottom w:val="single" w:sz="4" w:space="0" w:color="000000"/>
            </w:tcBorders>
          </w:tcPr>
          <w:p w14:paraId="4C30B13F" w14:textId="4AC89293" w:rsidR="00070252" w:rsidRDefault="00070252" w:rsidP="006A5294">
            <w:pPr>
              <w:snapToGrid w:val="0"/>
              <w:rPr>
                <w:rStyle w:val="longtext1"/>
                <w:rFonts w:ascii="Arial" w:hAnsi="Arial" w:cs="Arial"/>
                <w:shd w:val="clear" w:color="auto" w:fill="FFFFFF"/>
              </w:rPr>
            </w:pPr>
            <w:r>
              <w:rPr>
                <w:rStyle w:val="longtext1"/>
                <w:rFonts w:ascii="Arial" w:hAnsi="Arial" w:cs="Arial"/>
                <w:shd w:val="clear" w:color="auto" w:fill="FFFFFF"/>
              </w:rPr>
              <w:t>NFP(ŠR) =N DA * 15</w:t>
            </w:r>
            <w:r w:rsidR="00FB4864">
              <w:rPr>
                <w:rStyle w:val="longtext1"/>
                <w:rFonts w:ascii="Arial" w:hAnsi="Arial" w:cs="Arial"/>
                <w:shd w:val="clear" w:color="auto" w:fill="FFFFFF"/>
              </w:rPr>
              <w:t xml:space="preserve"> </w:t>
            </w:r>
            <w:r>
              <w:rPr>
                <w:rStyle w:val="longtext1"/>
                <w:rFonts w:ascii="Arial" w:hAnsi="Arial" w:cs="Arial"/>
                <w:shd w:val="clear" w:color="auto" w:fill="FFFFFF"/>
              </w:rPr>
              <w:t>%SR</w:t>
            </w:r>
          </w:p>
        </w:tc>
        <w:tc>
          <w:tcPr>
            <w:tcW w:w="1440" w:type="dxa"/>
            <w:tcBorders>
              <w:top w:val="single" w:sz="4" w:space="0" w:color="000000"/>
              <w:left w:val="single" w:sz="4" w:space="0" w:color="000000"/>
              <w:bottom w:val="single" w:sz="4" w:space="0" w:color="000000"/>
            </w:tcBorders>
          </w:tcPr>
          <w:p w14:paraId="030C982E" w14:textId="77777777" w:rsidR="00070252" w:rsidRDefault="00070252" w:rsidP="006A5294">
            <w:pPr>
              <w:snapToGrid w:val="0"/>
              <w:rPr>
                <w:rStyle w:val="longtext1"/>
                <w:rFonts w:ascii="Arial" w:hAnsi="Arial" w:cs="Arial"/>
                <w:shd w:val="clear" w:color="auto" w:fill="FFFFFF"/>
              </w:rPr>
            </w:pPr>
            <w:r>
              <w:rPr>
                <w:rStyle w:val="longtext1"/>
                <w:rFonts w:ascii="Arial" w:hAnsi="Arial" w:cs="Arial"/>
                <w:shd w:val="clear" w:color="auto" w:fill="FFFFFF"/>
              </w:rPr>
              <w:t xml:space="preserve">   7.734.872</w:t>
            </w:r>
          </w:p>
        </w:tc>
        <w:tc>
          <w:tcPr>
            <w:tcW w:w="1380" w:type="dxa"/>
            <w:tcBorders>
              <w:top w:val="single" w:sz="4" w:space="0" w:color="000000"/>
              <w:left w:val="single" w:sz="4" w:space="0" w:color="000000"/>
              <w:bottom w:val="single" w:sz="4" w:space="0" w:color="000000"/>
            </w:tcBorders>
          </w:tcPr>
          <w:p w14:paraId="1536CB78" w14:textId="77777777" w:rsidR="00070252" w:rsidRDefault="00070252" w:rsidP="006A5294">
            <w:pPr>
              <w:snapToGrid w:val="0"/>
              <w:rPr>
                <w:rStyle w:val="longtext1"/>
                <w:rFonts w:ascii="Arial" w:hAnsi="Arial" w:cs="Arial"/>
                <w:shd w:val="clear" w:color="auto" w:fill="FFFFFF"/>
              </w:rPr>
            </w:pPr>
            <w:r>
              <w:rPr>
                <w:rStyle w:val="longtext1"/>
                <w:rFonts w:ascii="Arial" w:hAnsi="Arial" w:cs="Arial"/>
                <w:shd w:val="clear" w:color="auto" w:fill="FFFFFF"/>
              </w:rPr>
              <w:t xml:space="preserve">  4.325.074</w:t>
            </w:r>
          </w:p>
        </w:tc>
        <w:tc>
          <w:tcPr>
            <w:tcW w:w="1328" w:type="dxa"/>
            <w:tcBorders>
              <w:top w:val="single" w:sz="4" w:space="0" w:color="000000"/>
              <w:left w:val="single" w:sz="4" w:space="0" w:color="000000"/>
              <w:bottom w:val="single" w:sz="4" w:space="0" w:color="000000"/>
              <w:right w:val="single" w:sz="4" w:space="0" w:color="000000"/>
            </w:tcBorders>
          </w:tcPr>
          <w:p w14:paraId="72287B42" w14:textId="77777777" w:rsidR="00070252" w:rsidRPr="00DD40E1" w:rsidRDefault="00070252" w:rsidP="006A5294">
            <w:pPr>
              <w:snapToGrid w:val="0"/>
              <w:rPr>
                <w:rStyle w:val="longtext1"/>
                <w:rFonts w:ascii="Arial" w:hAnsi="Arial" w:cs="Arial"/>
                <w:b/>
                <w:shd w:val="clear" w:color="auto" w:fill="FFFFFF"/>
              </w:rPr>
            </w:pPr>
            <w:r w:rsidRPr="00DD40E1">
              <w:rPr>
                <w:rStyle w:val="longtext1"/>
                <w:rFonts w:ascii="Arial" w:hAnsi="Arial" w:cs="Arial"/>
                <w:b/>
                <w:shd w:val="clear" w:color="auto" w:fill="FFFFFF"/>
              </w:rPr>
              <w:t xml:space="preserve">  3.409.798</w:t>
            </w:r>
          </w:p>
        </w:tc>
      </w:tr>
    </w:tbl>
    <w:p w14:paraId="1E1F8823" w14:textId="77777777" w:rsidR="00070252" w:rsidRDefault="00070252" w:rsidP="00070252"/>
    <w:p w14:paraId="3AB671F2" w14:textId="77777777" w:rsidR="00070252" w:rsidRPr="008F0420" w:rsidRDefault="00070252" w:rsidP="00070252">
      <w:pPr>
        <w:jc w:val="both"/>
      </w:pPr>
      <w:r w:rsidRPr="00977AA2">
        <w:t xml:space="preserve">Záver: V prípade vyššie uvedeného navýšenia príjmov je prijímateľ povinný vrátiť z príspevku únie </w:t>
      </w:r>
      <w:r w:rsidRPr="00977AA2">
        <w:rPr>
          <w:b/>
        </w:rPr>
        <w:t>19.322.190</w:t>
      </w:r>
      <w:r w:rsidRPr="00977AA2">
        <w:t xml:space="preserve"> EUR a z národného spolufinancovania </w:t>
      </w:r>
      <w:r w:rsidRPr="00977AA2">
        <w:rPr>
          <w:b/>
        </w:rPr>
        <w:t>3.409.798</w:t>
      </w:r>
      <w:r w:rsidR="001A0943">
        <w:rPr>
          <w:b/>
        </w:rPr>
        <w:t xml:space="preserve"> EUR.</w:t>
      </w:r>
    </w:p>
    <w:p w14:paraId="0BABFAE8" w14:textId="77777777" w:rsidR="00FB4864" w:rsidRDefault="00FB4864" w:rsidP="00070252"/>
    <w:p w14:paraId="043E127B" w14:textId="77777777" w:rsidR="00070252" w:rsidRDefault="00F94F1D" w:rsidP="00F94F1D">
      <w:pPr>
        <w:pStyle w:val="MPCKO2"/>
        <w:ind w:left="532" w:hanging="532"/>
      </w:pPr>
      <w:bookmarkStart w:id="53" w:name="_Toc406160869"/>
      <w:bookmarkStart w:id="54" w:name="_Toc406160959"/>
      <w:bookmarkStart w:id="55" w:name="_Toc527539383"/>
      <w:r>
        <w:t>4</w:t>
      </w:r>
      <w:r w:rsidR="00070252">
        <w:t>.3  Monitorovanie čistých príjmov v prípade projektov uvedených v článku. 61, ods. 6</w:t>
      </w:r>
      <w:r w:rsidR="007A50D8">
        <w:t xml:space="preserve"> všeobecného</w:t>
      </w:r>
      <w:r w:rsidR="00070252">
        <w:t xml:space="preserve"> nariadenia</w:t>
      </w:r>
      <w:bookmarkEnd w:id="53"/>
      <w:bookmarkEnd w:id="54"/>
      <w:bookmarkEnd w:id="55"/>
    </w:p>
    <w:p w14:paraId="5C57A9AF" w14:textId="77777777" w:rsidR="00070252" w:rsidRDefault="00070252" w:rsidP="00070252"/>
    <w:p w14:paraId="2A1596D6" w14:textId="0CAA938E" w:rsidR="00070252" w:rsidRPr="00977AA2" w:rsidRDefault="00070252" w:rsidP="00070252">
      <w:pPr>
        <w:jc w:val="both"/>
      </w:pPr>
      <w:r w:rsidRPr="00977AA2">
        <w:t>V tomto prípade čisté príjmy vytvorené daným projektom do troch rokov od ukončenia realizácie projektu alebo do termínu pre prekladanie dokladov pre uzatvorenie programu, stanoveného v pravidlách pre jednotlivé fondy, podľa toho, čo nastane skôr sú odpočítané od</w:t>
      </w:r>
      <w:r w:rsidR="00A75416">
        <w:t> </w:t>
      </w:r>
      <w:r w:rsidRPr="00977AA2">
        <w:t>oprávnených výdavkov vykázaných Európskej Komisii. Tento odpočet vykoná certifikačný orgán na základe informácie od RO/SO najneskôr pri  konečnom uzavretí programu, pričom záverečná žiadosť o platbu na EK bude zodpovedajúcim spôsobom upravená. Odpočet môže byť vykonaný najneskôr v čase predloženia dokladov pre uzavretie programu (t.</w:t>
      </w:r>
      <w:r w:rsidR="00A77D2F">
        <w:t xml:space="preserve"> </w:t>
      </w:r>
      <w:r w:rsidRPr="00977AA2">
        <w:t xml:space="preserve">j. </w:t>
      </w:r>
      <w:r w:rsidR="002F0D9B">
        <w:t>15.02.2025</w:t>
      </w:r>
      <w:r w:rsidRPr="00977AA2">
        <w:t>).</w:t>
      </w:r>
    </w:p>
    <w:p w14:paraId="194857AD" w14:textId="77777777" w:rsidR="00070252" w:rsidRPr="00977AA2" w:rsidRDefault="00070252" w:rsidP="00070252">
      <w:pPr>
        <w:jc w:val="both"/>
      </w:pPr>
    </w:p>
    <w:p w14:paraId="075849B7" w14:textId="77777777" w:rsidR="00070252" w:rsidRPr="00977AA2" w:rsidRDefault="00070252" w:rsidP="00070252">
      <w:pPr>
        <w:jc w:val="both"/>
      </w:pPr>
      <w:r w:rsidRPr="00977AA2">
        <w:t>Prijímateľ podáva riadiacemu orgánu informáciu o výške skutočne vytvorených čistých príjmov, ktorých súčet bude predstavovať celkovú výšku odpočtu (v pomernej časti zodpovedajúcej príspevku z fondov EÚ a štátneho rozpočtu a v pomere k oprávneným výdavkom v rámci investičných výdavkov).</w:t>
      </w:r>
    </w:p>
    <w:p w14:paraId="611097FE" w14:textId="06EB692F" w:rsidR="00070252" w:rsidRPr="00977AA2" w:rsidRDefault="00070252" w:rsidP="00070252">
      <w:pPr>
        <w:spacing w:before="120"/>
        <w:jc w:val="both"/>
        <w:rPr>
          <w:b/>
          <w:bCs/>
        </w:rPr>
      </w:pPr>
      <w:r w:rsidRPr="00977AA2">
        <w:rPr>
          <w:lang w:eastAsia="en-US"/>
        </w:rPr>
        <w:t xml:space="preserve">V zmysle zmluvy o poskytnutí NFP pri vzniku povinnosti vrátenia čistého príjmu (za účtovné obdobie) </w:t>
      </w:r>
      <w:r w:rsidRPr="00977AA2">
        <w:rPr>
          <w:rFonts w:cs="Arial"/>
          <w:szCs w:val="16"/>
        </w:rPr>
        <w:t xml:space="preserve">podľa čl. 61 ods. 6 </w:t>
      </w:r>
      <w:r w:rsidR="004062DC">
        <w:rPr>
          <w:rFonts w:cs="Arial"/>
          <w:szCs w:val="16"/>
        </w:rPr>
        <w:t xml:space="preserve">všeobecného </w:t>
      </w:r>
      <w:r w:rsidRPr="00977AA2">
        <w:rPr>
          <w:rFonts w:cs="Arial"/>
          <w:szCs w:val="16"/>
        </w:rPr>
        <w:t xml:space="preserve">nariadenia  </w:t>
      </w:r>
      <w:r w:rsidRPr="00977AA2">
        <w:rPr>
          <w:lang w:eastAsia="en-US"/>
        </w:rPr>
        <w:t>je prijímateľ povinný vrátiť čistý príjem do 31. januára roku nasledujúceho po roku, v ktorom bola zostavená účtovná závierka alebo, ak sa na prijímateľa vzťahuje povinnosť overenia účtovanej závierky audítorom v súlade s ustanoveniami zákona o účtovníctve o overovaní účtovnej závierky audítorom, po roku, v ktorom bola účtovná závierka overená. Prijímateľ je povinný bezodkladne</w:t>
      </w:r>
      <w:r w:rsidR="000273ED">
        <w:rPr>
          <w:rStyle w:val="Odkaznapoznmkupodiarou"/>
          <w:lang w:eastAsia="en-US"/>
        </w:rPr>
        <w:footnoteReference w:id="4"/>
      </w:r>
      <w:r w:rsidRPr="00977AA2">
        <w:rPr>
          <w:lang w:eastAsia="en-US"/>
        </w:rPr>
        <w:t xml:space="preserve"> (od kedy sa o tejto </w:t>
      </w:r>
      <w:r w:rsidRPr="00977AA2">
        <w:rPr>
          <w:lang w:eastAsia="en-US"/>
        </w:rPr>
        <w:lastRenderedPageBreak/>
        <w:t>skutočnosti dozvedel) požiadať riadiaci orgán/ sprostredkovateľský orgán  o</w:t>
      </w:r>
      <w:r w:rsidRPr="00977AA2">
        <w:rPr>
          <w:bCs/>
        </w:rPr>
        <w:t xml:space="preserve"> informáciu k podrobnostiam vrátenia čistého príjmu (napr. č. účtu, variabilný symbol). </w:t>
      </w:r>
      <w:r w:rsidRPr="00977AA2">
        <w:rPr>
          <w:lang w:eastAsia="en-US"/>
        </w:rPr>
        <w:t>Riadiaci orgán/ sprostredkovateľský orgán</w:t>
      </w:r>
      <w:r w:rsidRPr="00977AA2">
        <w:rPr>
          <w:bCs/>
        </w:rPr>
        <w:t xml:space="preserve"> zašle túto informáciu prijímateľovi bezodkladne v písomnej forme.</w:t>
      </w:r>
      <w:r w:rsidRPr="00977AA2">
        <w:rPr>
          <w:lang w:eastAsia="en-US"/>
        </w:rPr>
        <w:t xml:space="preserve"> V prípade, ak prijímateľ čistý príjem riadne a včas nevráti, resp. neodvedie, riadiaci orgán/sprostredkovateľský orgán  bude postupovať prostredníctvom žiadosti o vrátenie finančných prostriedkov.</w:t>
      </w:r>
    </w:p>
    <w:p w14:paraId="54A3D30C" w14:textId="77777777" w:rsidR="00070252" w:rsidRPr="00977AA2" w:rsidRDefault="00070252" w:rsidP="00070252">
      <w:pPr>
        <w:pStyle w:val="Textpoznmkypodiarou"/>
        <w:rPr>
          <w:sz w:val="24"/>
          <w:szCs w:val="24"/>
        </w:rPr>
      </w:pPr>
    </w:p>
    <w:p w14:paraId="2BE46327" w14:textId="77777777" w:rsidR="00070252" w:rsidRPr="00977AA2" w:rsidRDefault="00070252" w:rsidP="00977AA2">
      <w:pPr>
        <w:pStyle w:val="Textpoznmkypodiarou"/>
        <w:jc w:val="both"/>
        <w:rPr>
          <w:sz w:val="24"/>
          <w:szCs w:val="24"/>
        </w:rPr>
      </w:pPr>
      <w:r w:rsidRPr="00977AA2">
        <w:rPr>
          <w:sz w:val="24"/>
          <w:szCs w:val="24"/>
        </w:rPr>
        <w:t>Prijímateľ v týchto prípadoch neodhadnuteľných príjmov podáva riadiacemu orgánu informácie o výške skutočne vytvorených čistých príjmov prostredníctvom každej monitorovacej správy o udržateľnosti projektu po dobu troch rokov od ukončenia realizácie projektu. Na základe týchto informácií dochádza k odpočtu čistých príjmov, a to pomernej časti zodpovedajúci príspevku Únie.</w:t>
      </w:r>
    </w:p>
    <w:p w14:paraId="73BCA94E" w14:textId="77777777" w:rsidR="00070252" w:rsidRPr="00977AA2" w:rsidRDefault="00070252" w:rsidP="00070252">
      <w:pPr>
        <w:pStyle w:val="Textpoznmkypodiarou"/>
        <w:rPr>
          <w:bCs/>
        </w:rPr>
      </w:pPr>
    </w:p>
    <w:p w14:paraId="27B802E2" w14:textId="77777777" w:rsidR="00070252" w:rsidRPr="00977AA2" w:rsidRDefault="00070252" w:rsidP="0056666E">
      <w:pPr>
        <w:pStyle w:val="Textpoznmkypodiarou"/>
        <w:jc w:val="both"/>
        <w:rPr>
          <w:sz w:val="24"/>
          <w:szCs w:val="24"/>
        </w:rPr>
      </w:pPr>
      <w:r w:rsidRPr="00977AA2">
        <w:rPr>
          <w:sz w:val="24"/>
          <w:szCs w:val="24"/>
        </w:rPr>
        <w:t>Prijímateľ je teda povinný oznámiť riadiacemu orgánu do 7</w:t>
      </w:r>
      <w:r w:rsidR="0006287A">
        <w:rPr>
          <w:sz w:val="24"/>
          <w:szCs w:val="24"/>
        </w:rPr>
        <w:t xml:space="preserve"> pracovných</w:t>
      </w:r>
      <w:r w:rsidRPr="00977AA2">
        <w:rPr>
          <w:sz w:val="24"/>
          <w:szCs w:val="24"/>
        </w:rPr>
        <w:t xml:space="preserve"> dní od overenia účtovnej závierky, či došlo k zmene čistých príjmov deklarovaných v príslušných </w:t>
      </w:r>
      <w:r w:rsidR="00615AD3">
        <w:rPr>
          <w:sz w:val="24"/>
          <w:szCs w:val="24"/>
        </w:rPr>
        <w:t>výročných</w:t>
      </w:r>
      <w:r w:rsidRPr="00977AA2">
        <w:rPr>
          <w:sz w:val="24"/>
          <w:szCs w:val="24"/>
        </w:rPr>
        <w:t>, resp. následných monitorovacích správach. V prípade vzniku povinnosti vrátenia pomernej časti čistého príjmu RO zašle bezodkladne prijímateľovi písomnú inštrukciu  s nasledovnými informáciami:</w:t>
      </w:r>
    </w:p>
    <w:p w14:paraId="59536128" w14:textId="77777777" w:rsidR="00070252" w:rsidRPr="00977AA2" w:rsidRDefault="00070252" w:rsidP="00F26B1B">
      <w:pPr>
        <w:pStyle w:val="Textpoznmkypodiarou"/>
        <w:numPr>
          <w:ilvl w:val="0"/>
          <w:numId w:val="26"/>
        </w:numPr>
        <w:suppressAutoHyphens/>
        <w:jc w:val="both"/>
        <w:rPr>
          <w:sz w:val="24"/>
          <w:szCs w:val="24"/>
        </w:rPr>
      </w:pPr>
      <w:r w:rsidRPr="00977AA2">
        <w:rPr>
          <w:sz w:val="24"/>
          <w:szCs w:val="24"/>
        </w:rPr>
        <w:t>Výška pomernej časti čistého príjmu na vrátenie</w:t>
      </w:r>
    </w:p>
    <w:p w14:paraId="6EC31930" w14:textId="102EE534" w:rsidR="00070252" w:rsidRPr="00977AA2" w:rsidRDefault="00070252" w:rsidP="00F26B1B">
      <w:pPr>
        <w:pStyle w:val="Textpoznmkypodiarou"/>
        <w:numPr>
          <w:ilvl w:val="0"/>
          <w:numId w:val="26"/>
        </w:numPr>
        <w:suppressAutoHyphens/>
        <w:jc w:val="both"/>
        <w:rPr>
          <w:sz w:val="24"/>
          <w:szCs w:val="24"/>
        </w:rPr>
      </w:pPr>
      <w:r w:rsidRPr="00977AA2">
        <w:rPr>
          <w:sz w:val="24"/>
          <w:szCs w:val="24"/>
        </w:rPr>
        <w:t>Lehota na vrátenie finančných prostriedkov (prijímateľ povinný vrátiť čistý príjem do</w:t>
      </w:r>
      <w:r w:rsidR="00A75416">
        <w:rPr>
          <w:sz w:val="24"/>
          <w:szCs w:val="24"/>
        </w:rPr>
        <w:t> </w:t>
      </w:r>
      <w:r w:rsidRPr="00977AA2">
        <w:rPr>
          <w:sz w:val="24"/>
          <w:szCs w:val="24"/>
        </w:rPr>
        <w:t>31. januára roku nasledujúceho po roku, v ktorom bola zostavená účtovná závierka alebo, ak sa na prijímateľa vzťahuje povinnosť overenia účtovanej závierky audítorom v súlade s ustanoveniami zákona o účtovníctve o overovaní účtovnej závierky audítorom, po roku, v ktorom bola účtovná závierka overená)</w:t>
      </w:r>
    </w:p>
    <w:p w14:paraId="4DAA4896" w14:textId="77777777" w:rsidR="00070252" w:rsidRPr="00977AA2" w:rsidRDefault="00070252" w:rsidP="00F26B1B">
      <w:pPr>
        <w:pStyle w:val="Textpoznmkypodiarou"/>
        <w:numPr>
          <w:ilvl w:val="0"/>
          <w:numId w:val="26"/>
        </w:numPr>
        <w:suppressAutoHyphens/>
        <w:jc w:val="both"/>
        <w:rPr>
          <w:sz w:val="24"/>
          <w:szCs w:val="24"/>
        </w:rPr>
      </w:pPr>
      <w:r w:rsidRPr="00977AA2">
        <w:rPr>
          <w:sz w:val="24"/>
          <w:szCs w:val="24"/>
        </w:rPr>
        <w:t xml:space="preserve">Čísla účtov na vrátenie pomernej časti čistého príjmu podľa príslušnej miery spolufinancovania za zdroj EŠIF a ŠR (Prostriedky Európskej únie vráti na osobitný účet Ministerstva financií SR č. </w:t>
      </w:r>
      <w:r w:rsidR="00975DBF">
        <w:rPr>
          <w:sz w:val="24"/>
          <w:szCs w:val="24"/>
        </w:rPr>
        <w:t>7000536317</w:t>
      </w:r>
      <w:r w:rsidRPr="00977AA2">
        <w:rPr>
          <w:sz w:val="24"/>
          <w:szCs w:val="24"/>
        </w:rPr>
        <w:t xml:space="preserve"> vedený v Štátnej pokladnici a prostriedky štátneho rozpočtu vráti na príjmový účet platobnej jednotky)</w:t>
      </w:r>
    </w:p>
    <w:p w14:paraId="18AF8FF7" w14:textId="77777777" w:rsidR="00070252" w:rsidRPr="00977AA2" w:rsidRDefault="00070252" w:rsidP="00F26B1B">
      <w:pPr>
        <w:pStyle w:val="Textpoznmkypodiarou"/>
        <w:numPr>
          <w:ilvl w:val="0"/>
          <w:numId w:val="26"/>
        </w:numPr>
        <w:suppressAutoHyphens/>
        <w:jc w:val="both"/>
        <w:rPr>
          <w:sz w:val="24"/>
          <w:szCs w:val="24"/>
        </w:rPr>
      </w:pPr>
      <w:r w:rsidRPr="00977AA2">
        <w:rPr>
          <w:sz w:val="24"/>
          <w:szCs w:val="24"/>
        </w:rPr>
        <w:t>Variabilný symbol (kód projektu)</w:t>
      </w:r>
    </w:p>
    <w:p w14:paraId="2232B8AB" w14:textId="77777777" w:rsidR="00070252" w:rsidRPr="00D40836" w:rsidRDefault="00070252" w:rsidP="00070252">
      <w:pPr>
        <w:pStyle w:val="Textpoznmkypodiarou"/>
        <w:ind w:left="720"/>
        <w:rPr>
          <w:sz w:val="24"/>
          <w:szCs w:val="24"/>
        </w:rPr>
      </w:pPr>
    </w:p>
    <w:p w14:paraId="0EE34BF8" w14:textId="77777777" w:rsidR="00070252" w:rsidRDefault="00070252" w:rsidP="00070252"/>
    <w:p w14:paraId="40E62663" w14:textId="2D480E61" w:rsidR="00070252" w:rsidRPr="00977AA2" w:rsidRDefault="00070252" w:rsidP="00070252">
      <w:pPr>
        <w:jc w:val="both"/>
      </w:pPr>
      <w:r w:rsidRPr="00977AA2">
        <w:t>Tieto postupy sú zadefinované ako záväzok prijímateľa v zmluve o NFP, aby systematicky predkladal každý rok do troch rokov po skončení realizácie projektu informácie ohľadom</w:t>
      </w:r>
      <w:r w:rsidR="00A71215">
        <w:t xml:space="preserve"> </w:t>
      </w:r>
      <w:r w:rsidRPr="00977AA2">
        <w:t>čistých príjmov z projektu, resp. do predloženia dokladov pre uzavretie programu (t.</w:t>
      </w:r>
      <w:r w:rsidR="00A77D2F">
        <w:t xml:space="preserve"> </w:t>
      </w:r>
      <w:r w:rsidRPr="00977AA2">
        <w:t xml:space="preserve">j. </w:t>
      </w:r>
      <w:r w:rsidR="009F0E83">
        <w:t>15.02.2025</w:t>
      </w:r>
      <w:r w:rsidRPr="00977AA2">
        <w:t>).</w:t>
      </w:r>
    </w:p>
    <w:p w14:paraId="585B6DC5" w14:textId="77777777" w:rsidR="00070252" w:rsidRPr="00977AA2" w:rsidRDefault="00070252" w:rsidP="00070252">
      <w:pPr>
        <w:jc w:val="both"/>
      </w:pPr>
    </w:p>
    <w:p w14:paraId="468EF52F" w14:textId="721BA70C" w:rsidR="00070252" w:rsidRDefault="00070252" w:rsidP="00070252">
      <w:pPr>
        <w:jc w:val="both"/>
      </w:pPr>
      <w:r w:rsidRPr="00977AA2">
        <w:t>Na základe informácií z monitorovania (</w:t>
      </w:r>
      <w:r w:rsidR="00A55BB0">
        <w:t>výročná</w:t>
      </w:r>
      <w:r w:rsidRPr="00977AA2">
        <w:t xml:space="preserve">, záverečná resp. následná monitorovacia správa), je  riadiaci orgán povinný skontrolovať, či projekt generuje príjmy v súlade s článkom. 61 </w:t>
      </w:r>
      <w:r w:rsidR="004062DC">
        <w:t xml:space="preserve">všeobecného </w:t>
      </w:r>
      <w:r w:rsidRPr="00977AA2">
        <w:t>nariadenia , t. j. či príjmy v zmysle článku. 61 prevládajú nad prevádzkovými výdavkami na zabezpečenie investície.</w:t>
      </w:r>
    </w:p>
    <w:p w14:paraId="7560E503" w14:textId="77777777" w:rsidR="00070252" w:rsidRDefault="00070252" w:rsidP="00070252"/>
    <w:p w14:paraId="213E953C" w14:textId="77777777" w:rsidR="00070252" w:rsidRDefault="00070252" w:rsidP="00070252">
      <w:pPr>
        <w:rPr>
          <w:rStyle w:val="longtext1"/>
          <w:rFonts w:ascii="Arial" w:hAnsi="Arial" w:cs="Arial"/>
          <w:shd w:val="clear" w:color="auto" w:fill="FFFFFF"/>
        </w:rPr>
      </w:pPr>
      <w:r>
        <w:t>Tab: Príklad na výpočet odpočtu</w:t>
      </w:r>
      <w:r>
        <w:rPr>
          <w:rStyle w:val="longtext1"/>
          <w:rFonts w:ascii="Arial" w:hAnsi="Arial" w:cs="Arial"/>
          <w:shd w:val="clear" w:color="auto" w:fill="FFFFFF"/>
        </w:rPr>
        <w:t>:</w:t>
      </w:r>
    </w:p>
    <w:p w14:paraId="78EFDD0F" w14:textId="77777777" w:rsidR="00070252" w:rsidRDefault="00070252" w:rsidP="00070252"/>
    <w:tbl>
      <w:tblPr>
        <w:tblW w:w="9320" w:type="dxa"/>
        <w:tblInd w:w="-5" w:type="dxa"/>
        <w:tblLayout w:type="fixed"/>
        <w:tblLook w:val="0000" w:firstRow="0" w:lastRow="0" w:firstColumn="0" w:lastColumn="0" w:noHBand="0" w:noVBand="0"/>
      </w:tblPr>
      <w:tblGrid>
        <w:gridCol w:w="3168"/>
        <w:gridCol w:w="3071"/>
        <w:gridCol w:w="3081"/>
      </w:tblGrid>
      <w:tr w:rsidR="00070252" w14:paraId="01C7E3E9" w14:textId="77777777" w:rsidTr="0056666E">
        <w:tc>
          <w:tcPr>
            <w:tcW w:w="3168" w:type="dxa"/>
            <w:tcBorders>
              <w:top w:val="single" w:sz="4" w:space="0" w:color="000000"/>
              <w:left w:val="single" w:sz="4" w:space="0" w:color="000000"/>
              <w:bottom w:val="single" w:sz="4" w:space="0" w:color="000000"/>
            </w:tcBorders>
            <w:shd w:val="clear" w:color="auto" w:fill="C6D9F1"/>
          </w:tcPr>
          <w:p w14:paraId="2500867B" w14:textId="77777777" w:rsidR="00070252" w:rsidRDefault="00070252" w:rsidP="006A5294">
            <w:pPr>
              <w:snapToGrid w:val="0"/>
              <w:jc w:val="center"/>
              <w:rPr>
                <w:rFonts w:ascii="Arial" w:hAnsi="Arial" w:cs="Arial"/>
                <w:b/>
                <w:sz w:val="20"/>
                <w:szCs w:val="20"/>
              </w:rPr>
            </w:pPr>
            <w:r>
              <w:rPr>
                <w:rFonts w:ascii="Arial" w:hAnsi="Arial" w:cs="Arial"/>
                <w:b/>
                <w:sz w:val="20"/>
                <w:szCs w:val="20"/>
              </w:rPr>
              <w:t>Ukazovateľ</w:t>
            </w:r>
          </w:p>
        </w:tc>
        <w:tc>
          <w:tcPr>
            <w:tcW w:w="6152" w:type="dxa"/>
            <w:gridSpan w:val="2"/>
            <w:tcBorders>
              <w:top w:val="single" w:sz="4" w:space="0" w:color="000000"/>
              <w:left w:val="single" w:sz="4" w:space="0" w:color="000000"/>
              <w:bottom w:val="single" w:sz="4" w:space="0" w:color="000000"/>
              <w:right w:val="single" w:sz="4" w:space="0" w:color="000000"/>
            </w:tcBorders>
            <w:shd w:val="clear" w:color="auto" w:fill="C6D9F1"/>
          </w:tcPr>
          <w:p w14:paraId="2033E43E" w14:textId="77777777" w:rsidR="00070252" w:rsidRDefault="00070252" w:rsidP="006A5294">
            <w:pPr>
              <w:snapToGrid w:val="0"/>
              <w:jc w:val="center"/>
              <w:rPr>
                <w:rStyle w:val="longtext1"/>
                <w:rFonts w:ascii="Arial" w:hAnsi="Arial" w:cs="Arial"/>
                <w:b/>
                <w:shd w:val="clear" w:color="auto" w:fill="FFFFFF"/>
              </w:rPr>
            </w:pPr>
            <w:r>
              <w:rPr>
                <w:rStyle w:val="longtext1"/>
                <w:rFonts w:ascii="Arial" w:hAnsi="Arial" w:cs="Arial"/>
                <w:b/>
                <w:shd w:val="clear" w:color="auto" w:fill="FFFFFF"/>
              </w:rPr>
              <w:t>Výpočet</w:t>
            </w:r>
          </w:p>
        </w:tc>
      </w:tr>
      <w:tr w:rsidR="00070252" w14:paraId="6D932A0E" w14:textId="77777777" w:rsidTr="0056666E">
        <w:tc>
          <w:tcPr>
            <w:tcW w:w="3168" w:type="dxa"/>
            <w:tcBorders>
              <w:top w:val="single" w:sz="4" w:space="0" w:color="000000"/>
              <w:left w:val="single" w:sz="4" w:space="0" w:color="000000"/>
              <w:bottom w:val="single" w:sz="4" w:space="0" w:color="000000"/>
            </w:tcBorders>
          </w:tcPr>
          <w:p w14:paraId="6C7F1CC3" w14:textId="77777777" w:rsidR="00070252" w:rsidRDefault="00070252" w:rsidP="006A5294">
            <w:pPr>
              <w:snapToGrid w:val="0"/>
              <w:rPr>
                <w:rFonts w:ascii="Arial" w:hAnsi="Arial" w:cs="Arial"/>
                <w:sz w:val="20"/>
                <w:szCs w:val="20"/>
              </w:rPr>
            </w:pPr>
            <w:r>
              <w:rPr>
                <w:rFonts w:ascii="Arial" w:hAnsi="Arial" w:cs="Arial"/>
                <w:sz w:val="20"/>
                <w:szCs w:val="20"/>
              </w:rPr>
              <w:t>Výška investičných výdavkov</w:t>
            </w:r>
          </w:p>
        </w:tc>
        <w:tc>
          <w:tcPr>
            <w:tcW w:w="3071" w:type="dxa"/>
            <w:tcBorders>
              <w:top w:val="single" w:sz="4" w:space="0" w:color="000000"/>
              <w:left w:val="single" w:sz="4" w:space="0" w:color="000000"/>
              <w:bottom w:val="single" w:sz="4" w:space="0" w:color="000000"/>
            </w:tcBorders>
          </w:tcPr>
          <w:p w14:paraId="637F4ABE" w14:textId="77777777" w:rsidR="00070252" w:rsidRDefault="00070252" w:rsidP="006A5294">
            <w:pPr>
              <w:snapToGrid w:val="0"/>
              <w:jc w:val="center"/>
              <w:rPr>
                <w:rFonts w:ascii="Arial" w:hAnsi="Arial" w:cs="Arial"/>
                <w:sz w:val="20"/>
                <w:szCs w:val="20"/>
              </w:rPr>
            </w:pPr>
            <w:r>
              <w:rPr>
                <w:rFonts w:ascii="Arial" w:hAnsi="Arial" w:cs="Arial"/>
                <w:sz w:val="20"/>
                <w:szCs w:val="20"/>
              </w:rPr>
              <w:t>IC</w:t>
            </w:r>
          </w:p>
        </w:tc>
        <w:tc>
          <w:tcPr>
            <w:tcW w:w="3081" w:type="dxa"/>
            <w:tcBorders>
              <w:top w:val="single" w:sz="4" w:space="0" w:color="000000"/>
              <w:left w:val="single" w:sz="4" w:space="0" w:color="000000"/>
              <w:bottom w:val="single" w:sz="4" w:space="0" w:color="000000"/>
              <w:right w:val="single" w:sz="4" w:space="0" w:color="000000"/>
            </w:tcBorders>
          </w:tcPr>
          <w:p w14:paraId="25634D24" w14:textId="77777777" w:rsidR="00070252" w:rsidRDefault="00070252" w:rsidP="006A5294">
            <w:pPr>
              <w:snapToGrid w:val="0"/>
              <w:rPr>
                <w:rFonts w:ascii="Arial" w:hAnsi="Arial" w:cs="Arial"/>
                <w:sz w:val="20"/>
                <w:szCs w:val="20"/>
              </w:rPr>
            </w:pPr>
            <w:r>
              <w:rPr>
                <w:rFonts w:ascii="Arial" w:hAnsi="Arial" w:cs="Arial"/>
                <w:sz w:val="20"/>
                <w:szCs w:val="20"/>
              </w:rPr>
              <w:t xml:space="preserve">   1 200 000,00    </w:t>
            </w:r>
          </w:p>
        </w:tc>
      </w:tr>
      <w:tr w:rsidR="00070252" w14:paraId="6FEF492D" w14:textId="77777777" w:rsidTr="0056666E">
        <w:tc>
          <w:tcPr>
            <w:tcW w:w="3168" w:type="dxa"/>
            <w:tcBorders>
              <w:top w:val="single" w:sz="4" w:space="0" w:color="000000"/>
              <w:left w:val="single" w:sz="4" w:space="0" w:color="000000"/>
              <w:bottom w:val="single" w:sz="4" w:space="0" w:color="000000"/>
            </w:tcBorders>
          </w:tcPr>
          <w:p w14:paraId="41C13BF8" w14:textId="77777777" w:rsidR="00070252" w:rsidRDefault="00070252" w:rsidP="006A5294">
            <w:pPr>
              <w:snapToGrid w:val="0"/>
              <w:rPr>
                <w:rFonts w:ascii="Arial" w:hAnsi="Arial" w:cs="Arial"/>
                <w:sz w:val="20"/>
                <w:szCs w:val="20"/>
              </w:rPr>
            </w:pPr>
            <w:r>
              <w:rPr>
                <w:rFonts w:ascii="Arial" w:hAnsi="Arial" w:cs="Arial"/>
                <w:sz w:val="20"/>
                <w:szCs w:val="20"/>
              </w:rPr>
              <w:t xml:space="preserve">Podiel oprávnených výdavkov </w:t>
            </w:r>
          </w:p>
        </w:tc>
        <w:tc>
          <w:tcPr>
            <w:tcW w:w="3071" w:type="dxa"/>
            <w:tcBorders>
              <w:top w:val="single" w:sz="4" w:space="0" w:color="000000"/>
              <w:left w:val="single" w:sz="4" w:space="0" w:color="000000"/>
              <w:bottom w:val="single" w:sz="4" w:space="0" w:color="000000"/>
            </w:tcBorders>
          </w:tcPr>
          <w:p w14:paraId="2D266DB0" w14:textId="77777777" w:rsidR="00070252" w:rsidRDefault="00070252" w:rsidP="006A5294">
            <w:pPr>
              <w:snapToGrid w:val="0"/>
              <w:jc w:val="center"/>
              <w:rPr>
                <w:rFonts w:ascii="Arial" w:hAnsi="Arial" w:cs="Arial"/>
                <w:sz w:val="20"/>
                <w:szCs w:val="20"/>
              </w:rPr>
            </w:pPr>
            <w:r>
              <w:rPr>
                <w:rFonts w:ascii="Arial" w:hAnsi="Arial" w:cs="Arial"/>
                <w:sz w:val="20"/>
                <w:szCs w:val="20"/>
              </w:rPr>
              <w:t>EC</w:t>
            </w:r>
          </w:p>
        </w:tc>
        <w:tc>
          <w:tcPr>
            <w:tcW w:w="3081" w:type="dxa"/>
            <w:tcBorders>
              <w:top w:val="single" w:sz="4" w:space="0" w:color="000000"/>
              <w:left w:val="single" w:sz="4" w:space="0" w:color="000000"/>
              <w:bottom w:val="single" w:sz="4" w:space="0" w:color="000000"/>
              <w:right w:val="single" w:sz="4" w:space="0" w:color="000000"/>
            </w:tcBorders>
          </w:tcPr>
          <w:p w14:paraId="364AD58D" w14:textId="77777777" w:rsidR="00070252" w:rsidRDefault="00070252" w:rsidP="006A5294">
            <w:pPr>
              <w:snapToGrid w:val="0"/>
              <w:rPr>
                <w:rFonts w:ascii="Arial" w:hAnsi="Arial" w:cs="Arial"/>
                <w:sz w:val="20"/>
                <w:szCs w:val="20"/>
              </w:rPr>
            </w:pPr>
            <w:r>
              <w:rPr>
                <w:rFonts w:ascii="Arial" w:hAnsi="Arial" w:cs="Arial"/>
                <w:sz w:val="20"/>
                <w:szCs w:val="20"/>
              </w:rPr>
              <w:t xml:space="preserve">   1 020 000,00    </w:t>
            </w:r>
          </w:p>
        </w:tc>
      </w:tr>
      <w:tr w:rsidR="00070252" w14:paraId="3101BA8E" w14:textId="77777777" w:rsidTr="0056666E">
        <w:tc>
          <w:tcPr>
            <w:tcW w:w="3168" w:type="dxa"/>
            <w:tcBorders>
              <w:top w:val="single" w:sz="4" w:space="0" w:color="000000"/>
              <w:left w:val="single" w:sz="4" w:space="0" w:color="000000"/>
              <w:bottom w:val="single" w:sz="4" w:space="0" w:color="000000"/>
            </w:tcBorders>
          </w:tcPr>
          <w:p w14:paraId="49D74413" w14:textId="77777777" w:rsidR="00070252" w:rsidRDefault="00070252" w:rsidP="006A5294">
            <w:pPr>
              <w:snapToGrid w:val="0"/>
              <w:rPr>
                <w:rFonts w:ascii="Arial" w:hAnsi="Arial" w:cs="Arial"/>
                <w:sz w:val="20"/>
                <w:szCs w:val="20"/>
              </w:rPr>
            </w:pPr>
            <w:r>
              <w:rPr>
                <w:rFonts w:ascii="Arial" w:hAnsi="Arial" w:cs="Arial"/>
                <w:sz w:val="20"/>
                <w:szCs w:val="20"/>
              </w:rPr>
              <w:t>% spolufinancovania  EU</w:t>
            </w:r>
          </w:p>
        </w:tc>
        <w:tc>
          <w:tcPr>
            <w:tcW w:w="3071" w:type="dxa"/>
            <w:tcBorders>
              <w:top w:val="single" w:sz="4" w:space="0" w:color="000000"/>
              <w:left w:val="single" w:sz="4" w:space="0" w:color="000000"/>
              <w:bottom w:val="single" w:sz="4" w:space="0" w:color="000000"/>
            </w:tcBorders>
          </w:tcPr>
          <w:p w14:paraId="625B6923" w14:textId="5FC5402A" w:rsidR="00070252" w:rsidRDefault="00070252" w:rsidP="006A5294">
            <w:pPr>
              <w:snapToGrid w:val="0"/>
              <w:jc w:val="center"/>
              <w:rPr>
                <w:rFonts w:ascii="Arial" w:hAnsi="Arial" w:cs="Arial"/>
                <w:sz w:val="20"/>
                <w:szCs w:val="20"/>
              </w:rPr>
            </w:pPr>
            <w:r>
              <w:rPr>
                <w:rFonts w:ascii="Arial" w:hAnsi="Arial" w:cs="Arial"/>
                <w:sz w:val="20"/>
                <w:szCs w:val="20"/>
              </w:rPr>
              <w:t>85</w:t>
            </w:r>
            <w:r w:rsidR="00FB4864">
              <w:rPr>
                <w:rFonts w:ascii="Arial" w:hAnsi="Arial" w:cs="Arial"/>
                <w:sz w:val="20"/>
                <w:szCs w:val="20"/>
              </w:rPr>
              <w:t xml:space="preserve"> </w:t>
            </w:r>
            <w:r>
              <w:rPr>
                <w:rFonts w:ascii="Arial" w:hAnsi="Arial" w:cs="Arial"/>
                <w:sz w:val="20"/>
                <w:szCs w:val="20"/>
              </w:rPr>
              <w:t>%</w:t>
            </w:r>
          </w:p>
        </w:tc>
        <w:tc>
          <w:tcPr>
            <w:tcW w:w="3081" w:type="dxa"/>
            <w:tcBorders>
              <w:top w:val="single" w:sz="4" w:space="0" w:color="000000"/>
              <w:left w:val="single" w:sz="4" w:space="0" w:color="000000"/>
              <w:bottom w:val="single" w:sz="4" w:space="0" w:color="000000"/>
              <w:right w:val="single" w:sz="4" w:space="0" w:color="000000"/>
            </w:tcBorders>
          </w:tcPr>
          <w:p w14:paraId="67DD548E" w14:textId="77777777" w:rsidR="00070252" w:rsidRDefault="00070252" w:rsidP="006A5294">
            <w:pPr>
              <w:snapToGrid w:val="0"/>
              <w:rPr>
                <w:rFonts w:ascii="Arial" w:hAnsi="Arial" w:cs="Arial"/>
                <w:sz w:val="20"/>
                <w:szCs w:val="20"/>
              </w:rPr>
            </w:pPr>
            <w:r>
              <w:rPr>
                <w:rFonts w:ascii="Arial" w:hAnsi="Arial" w:cs="Arial"/>
                <w:sz w:val="20"/>
                <w:szCs w:val="20"/>
              </w:rPr>
              <w:t xml:space="preserve">      867 000,00    </w:t>
            </w:r>
          </w:p>
        </w:tc>
      </w:tr>
      <w:tr w:rsidR="00070252" w14:paraId="358875BE" w14:textId="77777777" w:rsidTr="0056666E">
        <w:tc>
          <w:tcPr>
            <w:tcW w:w="3168" w:type="dxa"/>
            <w:tcBorders>
              <w:top w:val="single" w:sz="4" w:space="0" w:color="000000"/>
              <w:left w:val="single" w:sz="4" w:space="0" w:color="000000"/>
              <w:bottom w:val="single" w:sz="4" w:space="0" w:color="000000"/>
            </w:tcBorders>
          </w:tcPr>
          <w:p w14:paraId="2A5EB3CD" w14:textId="77777777" w:rsidR="00070252" w:rsidRPr="00EA41A8" w:rsidRDefault="00070252" w:rsidP="006A5294">
            <w:pPr>
              <w:snapToGrid w:val="0"/>
              <w:rPr>
                <w:rStyle w:val="longtext1"/>
                <w:rFonts w:ascii="Arial" w:hAnsi="Arial" w:cs="Arial"/>
                <w:shd w:val="clear" w:color="auto" w:fill="FFFFFF"/>
              </w:rPr>
            </w:pPr>
            <w:r>
              <w:rPr>
                <w:rFonts w:ascii="Arial" w:hAnsi="Arial" w:cs="Arial"/>
                <w:sz w:val="20"/>
                <w:szCs w:val="20"/>
              </w:rPr>
              <w:t xml:space="preserve">% spolufinancovania </w:t>
            </w:r>
            <w:r>
              <w:rPr>
                <w:rStyle w:val="longtext1"/>
                <w:shd w:val="clear" w:color="auto" w:fill="FFFFFF"/>
              </w:rPr>
              <w:t xml:space="preserve"> ŠR</w:t>
            </w:r>
          </w:p>
        </w:tc>
        <w:tc>
          <w:tcPr>
            <w:tcW w:w="3071" w:type="dxa"/>
            <w:tcBorders>
              <w:top w:val="single" w:sz="4" w:space="0" w:color="000000"/>
              <w:left w:val="single" w:sz="4" w:space="0" w:color="000000"/>
              <w:bottom w:val="single" w:sz="4" w:space="0" w:color="000000"/>
            </w:tcBorders>
          </w:tcPr>
          <w:p w14:paraId="0E248DA0" w14:textId="2D3B79B4" w:rsidR="00070252" w:rsidRDefault="00070252" w:rsidP="006A5294">
            <w:pPr>
              <w:snapToGrid w:val="0"/>
              <w:jc w:val="center"/>
              <w:rPr>
                <w:rFonts w:ascii="Arial" w:hAnsi="Arial" w:cs="Arial"/>
                <w:sz w:val="20"/>
                <w:szCs w:val="20"/>
              </w:rPr>
            </w:pPr>
            <w:r>
              <w:rPr>
                <w:rFonts w:ascii="Arial" w:hAnsi="Arial" w:cs="Arial"/>
                <w:sz w:val="20"/>
                <w:szCs w:val="20"/>
              </w:rPr>
              <w:t>15</w:t>
            </w:r>
            <w:r w:rsidR="00FB4864">
              <w:rPr>
                <w:rFonts w:ascii="Arial" w:hAnsi="Arial" w:cs="Arial"/>
                <w:sz w:val="20"/>
                <w:szCs w:val="20"/>
              </w:rPr>
              <w:t xml:space="preserve"> </w:t>
            </w:r>
            <w:r>
              <w:rPr>
                <w:rFonts w:ascii="Arial" w:hAnsi="Arial" w:cs="Arial"/>
                <w:sz w:val="20"/>
                <w:szCs w:val="20"/>
              </w:rPr>
              <w:t>%</w:t>
            </w:r>
          </w:p>
        </w:tc>
        <w:tc>
          <w:tcPr>
            <w:tcW w:w="3081" w:type="dxa"/>
            <w:tcBorders>
              <w:top w:val="single" w:sz="4" w:space="0" w:color="000000"/>
              <w:left w:val="single" w:sz="4" w:space="0" w:color="000000"/>
              <w:bottom w:val="single" w:sz="4" w:space="0" w:color="000000"/>
              <w:right w:val="single" w:sz="4" w:space="0" w:color="000000"/>
            </w:tcBorders>
          </w:tcPr>
          <w:p w14:paraId="2B59F7E9" w14:textId="77777777" w:rsidR="00070252" w:rsidRDefault="00070252" w:rsidP="006A5294">
            <w:pPr>
              <w:snapToGrid w:val="0"/>
              <w:rPr>
                <w:rFonts w:ascii="Arial" w:hAnsi="Arial" w:cs="Arial"/>
                <w:sz w:val="20"/>
                <w:szCs w:val="20"/>
              </w:rPr>
            </w:pPr>
            <w:r>
              <w:rPr>
                <w:rFonts w:ascii="Arial" w:hAnsi="Arial" w:cs="Arial"/>
                <w:sz w:val="20"/>
                <w:szCs w:val="20"/>
              </w:rPr>
              <w:t xml:space="preserve">      153 000,00    </w:t>
            </w:r>
          </w:p>
        </w:tc>
      </w:tr>
      <w:tr w:rsidR="00070252" w14:paraId="2FE1E8F7" w14:textId="77777777" w:rsidTr="0056666E">
        <w:tc>
          <w:tcPr>
            <w:tcW w:w="3168" w:type="dxa"/>
            <w:tcBorders>
              <w:top w:val="single" w:sz="4" w:space="0" w:color="000000"/>
              <w:left w:val="single" w:sz="4" w:space="0" w:color="000000"/>
              <w:bottom w:val="single" w:sz="4" w:space="0" w:color="000000"/>
            </w:tcBorders>
          </w:tcPr>
          <w:p w14:paraId="4F19DA88" w14:textId="77777777" w:rsidR="00070252" w:rsidRDefault="00070252" w:rsidP="006A5294">
            <w:pPr>
              <w:snapToGrid w:val="0"/>
              <w:rPr>
                <w:rStyle w:val="longtext1"/>
                <w:rFonts w:ascii="Arial" w:hAnsi="Arial" w:cs="Arial"/>
                <w:b/>
                <w:shd w:val="clear" w:color="auto" w:fill="FFFFFF"/>
              </w:rPr>
            </w:pPr>
            <w:r>
              <w:rPr>
                <w:rFonts w:ascii="Arial" w:hAnsi="Arial" w:cs="Arial"/>
                <w:sz w:val="20"/>
                <w:szCs w:val="20"/>
              </w:rPr>
              <w:t>Príjmy</w:t>
            </w:r>
          </w:p>
        </w:tc>
        <w:tc>
          <w:tcPr>
            <w:tcW w:w="3071" w:type="dxa"/>
            <w:tcBorders>
              <w:top w:val="single" w:sz="4" w:space="0" w:color="000000"/>
              <w:left w:val="single" w:sz="4" w:space="0" w:color="000000"/>
              <w:bottom w:val="single" w:sz="4" w:space="0" w:color="000000"/>
            </w:tcBorders>
          </w:tcPr>
          <w:p w14:paraId="2DE16B73" w14:textId="77777777" w:rsidR="00070252" w:rsidRDefault="00070252" w:rsidP="006A5294">
            <w:pPr>
              <w:snapToGrid w:val="0"/>
              <w:jc w:val="center"/>
              <w:rPr>
                <w:rFonts w:ascii="Arial" w:hAnsi="Arial" w:cs="Arial"/>
                <w:sz w:val="20"/>
                <w:szCs w:val="20"/>
              </w:rPr>
            </w:pPr>
            <w:r>
              <w:rPr>
                <w:rFonts w:ascii="Arial" w:hAnsi="Arial" w:cs="Arial"/>
                <w:sz w:val="20"/>
                <w:szCs w:val="20"/>
              </w:rPr>
              <w:t>R</w:t>
            </w:r>
          </w:p>
        </w:tc>
        <w:tc>
          <w:tcPr>
            <w:tcW w:w="3081" w:type="dxa"/>
            <w:tcBorders>
              <w:top w:val="single" w:sz="4" w:space="0" w:color="000000"/>
              <w:left w:val="single" w:sz="4" w:space="0" w:color="000000"/>
              <w:bottom w:val="single" w:sz="4" w:space="0" w:color="000000"/>
              <w:right w:val="single" w:sz="4" w:space="0" w:color="000000"/>
            </w:tcBorders>
          </w:tcPr>
          <w:p w14:paraId="3BE3DEAA" w14:textId="77777777" w:rsidR="00070252" w:rsidRDefault="00070252" w:rsidP="006A5294">
            <w:pPr>
              <w:snapToGrid w:val="0"/>
              <w:rPr>
                <w:rFonts w:ascii="Arial" w:hAnsi="Arial" w:cs="Arial"/>
                <w:sz w:val="20"/>
                <w:szCs w:val="20"/>
              </w:rPr>
            </w:pPr>
            <w:r>
              <w:rPr>
                <w:rFonts w:ascii="Arial" w:hAnsi="Arial" w:cs="Arial"/>
                <w:sz w:val="20"/>
                <w:szCs w:val="20"/>
              </w:rPr>
              <w:t xml:space="preserve">      100 000,00   </w:t>
            </w:r>
          </w:p>
        </w:tc>
      </w:tr>
      <w:tr w:rsidR="00070252" w14:paraId="3B62DFB1" w14:textId="77777777" w:rsidTr="0056666E">
        <w:tc>
          <w:tcPr>
            <w:tcW w:w="3168" w:type="dxa"/>
            <w:tcBorders>
              <w:top w:val="single" w:sz="4" w:space="0" w:color="000000"/>
              <w:left w:val="single" w:sz="4" w:space="0" w:color="000000"/>
              <w:bottom w:val="single" w:sz="4" w:space="0" w:color="000000"/>
            </w:tcBorders>
          </w:tcPr>
          <w:p w14:paraId="08B310F8" w14:textId="77777777" w:rsidR="00070252" w:rsidRDefault="00070252" w:rsidP="006A5294">
            <w:pPr>
              <w:snapToGrid w:val="0"/>
              <w:rPr>
                <w:rFonts w:ascii="Arial" w:hAnsi="Arial" w:cs="Arial"/>
                <w:sz w:val="20"/>
                <w:szCs w:val="20"/>
              </w:rPr>
            </w:pPr>
            <w:r>
              <w:rPr>
                <w:rFonts w:ascii="Arial" w:hAnsi="Arial" w:cs="Arial"/>
                <w:sz w:val="20"/>
                <w:szCs w:val="20"/>
              </w:rPr>
              <w:t>Prevádzkové výdavky</w:t>
            </w:r>
          </w:p>
        </w:tc>
        <w:tc>
          <w:tcPr>
            <w:tcW w:w="3071" w:type="dxa"/>
            <w:tcBorders>
              <w:top w:val="single" w:sz="4" w:space="0" w:color="000000"/>
              <w:left w:val="single" w:sz="4" w:space="0" w:color="000000"/>
              <w:bottom w:val="single" w:sz="4" w:space="0" w:color="000000"/>
            </w:tcBorders>
          </w:tcPr>
          <w:p w14:paraId="589EA746" w14:textId="77777777" w:rsidR="00070252" w:rsidRDefault="00070252" w:rsidP="006A5294">
            <w:pPr>
              <w:snapToGrid w:val="0"/>
              <w:jc w:val="center"/>
              <w:rPr>
                <w:rFonts w:ascii="Arial" w:hAnsi="Arial" w:cs="Arial"/>
                <w:sz w:val="20"/>
                <w:szCs w:val="20"/>
              </w:rPr>
            </w:pPr>
            <w:r>
              <w:rPr>
                <w:rFonts w:ascii="Arial" w:hAnsi="Arial" w:cs="Arial"/>
                <w:sz w:val="20"/>
                <w:szCs w:val="20"/>
              </w:rPr>
              <w:t>OC</w:t>
            </w:r>
          </w:p>
        </w:tc>
        <w:tc>
          <w:tcPr>
            <w:tcW w:w="3081" w:type="dxa"/>
            <w:tcBorders>
              <w:top w:val="single" w:sz="4" w:space="0" w:color="000000"/>
              <w:left w:val="single" w:sz="4" w:space="0" w:color="000000"/>
              <w:bottom w:val="single" w:sz="4" w:space="0" w:color="000000"/>
              <w:right w:val="single" w:sz="4" w:space="0" w:color="000000"/>
            </w:tcBorders>
          </w:tcPr>
          <w:p w14:paraId="59841693" w14:textId="77777777" w:rsidR="00070252" w:rsidRDefault="00070252" w:rsidP="006A5294">
            <w:pPr>
              <w:snapToGrid w:val="0"/>
              <w:rPr>
                <w:rFonts w:ascii="Arial" w:hAnsi="Arial" w:cs="Arial"/>
                <w:sz w:val="20"/>
                <w:szCs w:val="20"/>
              </w:rPr>
            </w:pPr>
            <w:r>
              <w:rPr>
                <w:rFonts w:ascii="Arial" w:hAnsi="Arial" w:cs="Arial"/>
                <w:sz w:val="20"/>
                <w:szCs w:val="20"/>
              </w:rPr>
              <w:t xml:space="preserve">        60 000,00    </w:t>
            </w:r>
          </w:p>
        </w:tc>
      </w:tr>
      <w:tr w:rsidR="00070252" w14:paraId="62638E87" w14:textId="77777777" w:rsidTr="0056666E">
        <w:tc>
          <w:tcPr>
            <w:tcW w:w="3168" w:type="dxa"/>
            <w:tcBorders>
              <w:top w:val="single" w:sz="4" w:space="0" w:color="000000"/>
              <w:left w:val="single" w:sz="4" w:space="0" w:color="000000"/>
              <w:bottom w:val="single" w:sz="4" w:space="0" w:color="000000"/>
            </w:tcBorders>
          </w:tcPr>
          <w:p w14:paraId="5B2C5E6B" w14:textId="77777777" w:rsidR="00070252" w:rsidRDefault="00070252" w:rsidP="006A5294">
            <w:pPr>
              <w:snapToGrid w:val="0"/>
              <w:rPr>
                <w:rFonts w:ascii="Arial" w:hAnsi="Arial" w:cs="Arial"/>
                <w:b/>
                <w:sz w:val="20"/>
                <w:szCs w:val="20"/>
              </w:rPr>
            </w:pPr>
            <w:r>
              <w:rPr>
                <w:rFonts w:ascii="Arial" w:hAnsi="Arial" w:cs="Arial"/>
                <w:b/>
                <w:sz w:val="20"/>
                <w:szCs w:val="20"/>
              </w:rPr>
              <w:t>Čisté príjmy</w:t>
            </w:r>
          </w:p>
        </w:tc>
        <w:tc>
          <w:tcPr>
            <w:tcW w:w="3071" w:type="dxa"/>
            <w:tcBorders>
              <w:top w:val="single" w:sz="4" w:space="0" w:color="000000"/>
              <w:left w:val="single" w:sz="4" w:space="0" w:color="000000"/>
              <w:bottom w:val="single" w:sz="4" w:space="0" w:color="000000"/>
            </w:tcBorders>
          </w:tcPr>
          <w:p w14:paraId="502F15E6" w14:textId="77777777" w:rsidR="00070252" w:rsidRDefault="00070252" w:rsidP="006A5294">
            <w:pPr>
              <w:snapToGrid w:val="0"/>
              <w:jc w:val="center"/>
              <w:rPr>
                <w:rFonts w:ascii="Arial" w:hAnsi="Arial" w:cs="Arial"/>
                <w:sz w:val="20"/>
                <w:szCs w:val="20"/>
              </w:rPr>
            </w:pPr>
            <w:r>
              <w:rPr>
                <w:rFonts w:ascii="Arial" w:hAnsi="Arial" w:cs="Arial"/>
                <w:sz w:val="20"/>
                <w:szCs w:val="20"/>
              </w:rPr>
              <w:t>NR = R - OC</w:t>
            </w:r>
          </w:p>
        </w:tc>
        <w:tc>
          <w:tcPr>
            <w:tcW w:w="3081" w:type="dxa"/>
            <w:tcBorders>
              <w:top w:val="single" w:sz="4" w:space="0" w:color="000000"/>
              <w:left w:val="single" w:sz="4" w:space="0" w:color="000000"/>
              <w:bottom w:val="single" w:sz="4" w:space="0" w:color="000000"/>
              <w:right w:val="single" w:sz="4" w:space="0" w:color="000000"/>
            </w:tcBorders>
          </w:tcPr>
          <w:p w14:paraId="3967E907" w14:textId="77777777" w:rsidR="00070252" w:rsidRDefault="00070252" w:rsidP="006A5294">
            <w:pPr>
              <w:snapToGrid w:val="0"/>
              <w:rPr>
                <w:rFonts w:ascii="Arial" w:hAnsi="Arial" w:cs="Arial"/>
                <w:sz w:val="20"/>
                <w:szCs w:val="20"/>
              </w:rPr>
            </w:pPr>
            <w:r>
              <w:rPr>
                <w:rFonts w:ascii="Arial" w:hAnsi="Arial" w:cs="Arial"/>
                <w:sz w:val="20"/>
                <w:szCs w:val="20"/>
              </w:rPr>
              <w:t xml:space="preserve">        40 000,00    </w:t>
            </w:r>
          </w:p>
        </w:tc>
      </w:tr>
      <w:tr w:rsidR="00070252" w14:paraId="6450DD34" w14:textId="77777777" w:rsidTr="0056666E">
        <w:tc>
          <w:tcPr>
            <w:tcW w:w="3168" w:type="dxa"/>
            <w:tcBorders>
              <w:top w:val="single" w:sz="4" w:space="0" w:color="000000"/>
              <w:left w:val="single" w:sz="4" w:space="0" w:color="000000"/>
              <w:bottom w:val="single" w:sz="4" w:space="0" w:color="000000"/>
            </w:tcBorders>
          </w:tcPr>
          <w:p w14:paraId="205FBAD8" w14:textId="77777777" w:rsidR="00070252" w:rsidRDefault="00070252" w:rsidP="006A5294">
            <w:pPr>
              <w:snapToGrid w:val="0"/>
              <w:rPr>
                <w:rFonts w:ascii="Arial" w:hAnsi="Arial" w:cs="Arial"/>
                <w:b/>
                <w:sz w:val="20"/>
                <w:szCs w:val="20"/>
              </w:rPr>
            </w:pPr>
            <w:r>
              <w:rPr>
                <w:rFonts w:ascii="Arial" w:hAnsi="Arial" w:cs="Arial"/>
                <w:b/>
                <w:sz w:val="20"/>
                <w:szCs w:val="20"/>
              </w:rPr>
              <w:lastRenderedPageBreak/>
              <w:t>Odpočet EU</w:t>
            </w:r>
          </w:p>
        </w:tc>
        <w:tc>
          <w:tcPr>
            <w:tcW w:w="3071" w:type="dxa"/>
            <w:tcBorders>
              <w:top w:val="single" w:sz="4" w:space="0" w:color="000000"/>
              <w:left w:val="single" w:sz="4" w:space="0" w:color="000000"/>
              <w:bottom w:val="single" w:sz="4" w:space="0" w:color="000000"/>
            </w:tcBorders>
          </w:tcPr>
          <w:p w14:paraId="138FB63B" w14:textId="77777777" w:rsidR="00070252" w:rsidRDefault="00070252" w:rsidP="006A5294">
            <w:pPr>
              <w:snapToGrid w:val="0"/>
              <w:jc w:val="center"/>
              <w:rPr>
                <w:rFonts w:ascii="Arial" w:hAnsi="Arial" w:cs="Arial"/>
                <w:sz w:val="20"/>
                <w:szCs w:val="20"/>
              </w:rPr>
            </w:pPr>
            <w:r>
              <w:rPr>
                <w:rFonts w:ascii="Arial" w:hAnsi="Arial" w:cs="Arial"/>
                <w:sz w:val="20"/>
                <w:szCs w:val="20"/>
              </w:rPr>
              <w:t>D1 = NR * 0,85 *(EC/IC)</w:t>
            </w:r>
          </w:p>
        </w:tc>
        <w:tc>
          <w:tcPr>
            <w:tcW w:w="3081" w:type="dxa"/>
            <w:tcBorders>
              <w:top w:val="single" w:sz="4" w:space="0" w:color="000000"/>
              <w:left w:val="single" w:sz="4" w:space="0" w:color="000000"/>
              <w:bottom w:val="single" w:sz="4" w:space="0" w:color="000000"/>
              <w:right w:val="single" w:sz="4" w:space="0" w:color="000000"/>
            </w:tcBorders>
          </w:tcPr>
          <w:p w14:paraId="0B4EAD09" w14:textId="77777777" w:rsidR="00070252" w:rsidRDefault="00070252" w:rsidP="006A5294">
            <w:pPr>
              <w:snapToGrid w:val="0"/>
              <w:rPr>
                <w:rFonts w:ascii="Arial" w:hAnsi="Arial" w:cs="Arial"/>
                <w:sz w:val="20"/>
                <w:szCs w:val="20"/>
              </w:rPr>
            </w:pPr>
            <w:r>
              <w:rPr>
                <w:rFonts w:ascii="Arial" w:hAnsi="Arial" w:cs="Arial"/>
                <w:sz w:val="20"/>
                <w:szCs w:val="20"/>
              </w:rPr>
              <w:t xml:space="preserve">        28 900,00    </w:t>
            </w:r>
          </w:p>
        </w:tc>
      </w:tr>
      <w:tr w:rsidR="00070252" w14:paraId="1E8FD091" w14:textId="77777777" w:rsidTr="0056666E">
        <w:tc>
          <w:tcPr>
            <w:tcW w:w="3168" w:type="dxa"/>
            <w:tcBorders>
              <w:top w:val="single" w:sz="4" w:space="0" w:color="000000"/>
              <w:left w:val="single" w:sz="4" w:space="0" w:color="000000"/>
              <w:bottom w:val="single" w:sz="4" w:space="0" w:color="000000"/>
            </w:tcBorders>
          </w:tcPr>
          <w:p w14:paraId="0D42F0CE" w14:textId="77777777" w:rsidR="00070252" w:rsidRDefault="00070252" w:rsidP="006A5294">
            <w:pPr>
              <w:snapToGrid w:val="0"/>
              <w:rPr>
                <w:rFonts w:ascii="Arial" w:hAnsi="Arial" w:cs="Arial"/>
                <w:b/>
                <w:sz w:val="20"/>
                <w:szCs w:val="20"/>
              </w:rPr>
            </w:pPr>
            <w:r>
              <w:rPr>
                <w:rFonts w:ascii="Arial" w:hAnsi="Arial" w:cs="Arial"/>
                <w:b/>
                <w:sz w:val="20"/>
                <w:szCs w:val="20"/>
              </w:rPr>
              <w:t>Odpočet SR</w:t>
            </w:r>
          </w:p>
        </w:tc>
        <w:tc>
          <w:tcPr>
            <w:tcW w:w="3071" w:type="dxa"/>
            <w:tcBorders>
              <w:top w:val="single" w:sz="4" w:space="0" w:color="000000"/>
              <w:left w:val="single" w:sz="4" w:space="0" w:color="000000"/>
              <w:bottom w:val="single" w:sz="4" w:space="0" w:color="000000"/>
            </w:tcBorders>
          </w:tcPr>
          <w:p w14:paraId="5C1CCB4D" w14:textId="77777777" w:rsidR="00070252" w:rsidRDefault="00070252" w:rsidP="006A5294">
            <w:pPr>
              <w:snapToGrid w:val="0"/>
              <w:jc w:val="center"/>
              <w:rPr>
                <w:rFonts w:ascii="Arial" w:hAnsi="Arial" w:cs="Arial"/>
                <w:sz w:val="20"/>
                <w:szCs w:val="20"/>
              </w:rPr>
            </w:pPr>
            <w:r>
              <w:rPr>
                <w:rFonts w:ascii="Arial" w:hAnsi="Arial" w:cs="Arial"/>
                <w:sz w:val="20"/>
                <w:szCs w:val="20"/>
              </w:rPr>
              <w:t>D2 = NR * 0,15 * (EC/IC)</w:t>
            </w:r>
          </w:p>
        </w:tc>
        <w:tc>
          <w:tcPr>
            <w:tcW w:w="3081" w:type="dxa"/>
            <w:tcBorders>
              <w:top w:val="single" w:sz="4" w:space="0" w:color="000000"/>
              <w:left w:val="single" w:sz="4" w:space="0" w:color="000000"/>
              <w:bottom w:val="single" w:sz="4" w:space="0" w:color="000000"/>
              <w:right w:val="single" w:sz="4" w:space="0" w:color="000000"/>
            </w:tcBorders>
          </w:tcPr>
          <w:p w14:paraId="57B03937" w14:textId="77777777" w:rsidR="00070252" w:rsidRDefault="00070252" w:rsidP="006A5294">
            <w:pPr>
              <w:snapToGrid w:val="0"/>
              <w:rPr>
                <w:rFonts w:ascii="Arial" w:hAnsi="Arial" w:cs="Arial"/>
                <w:sz w:val="20"/>
                <w:szCs w:val="20"/>
              </w:rPr>
            </w:pPr>
            <w:r>
              <w:rPr>
                <w:rFonts w:ascii="Arial" w:hAnsi="Arial" w:cs="Arial"/>
                <w:sz w:val="20"/>
                <w:szCs w:val="20"/>
              </w:rPr>
              <w:t xml:space="preserve">          5 100,00    </w:t>
            </w:r>
          </w:p>
        </w:tc>
      </w:tr>
      <w:tr w:rsidR="00070252" w14:paraId="6DCD14BE" w14:textId="77777777" w:rsidTr="0056666E">
        <w:tc>
          <w:tcPr>
            <w:tcW w:w="3168" w:type="dxa"/>
            <w:tcBorders>
              <w:top w:val="single" w:sz="4" w:space="0" w:color="000000"/>
              <w:left w:val="single" w:sz="4" w:space="0" w:color="000000"/>
              <w:bottom w:val="single" w:sz="4" w:space="0" w:color="000000"/>
            </w:tcBorders>
          </w:tcPr>
          <w:p w14:paraId="0E411F7F" w14:textId="77777777" w:rsidR="00070252" w:rsidRPr="00163A6F" w:rsidRDefault="00070252" w:rsidP="006A5294">
            <w:pPr>
              <w:snapToGrid w:val="0"/>
              <w:rPr>
                <w:rFonts w:ascii="Arial" w:hAnsi="Arial" w:cs="Arial"/>
                <w:b/>
                <w:sz w:val="20"/>
                <w:szCs w:val="20"/>
              </w:rPr>
            </w:pPr>
            <w:r w:rsidRPr="00163A6F">
              <w:rPr>
                <w:rFonts w:ascii="Arial" w:hAnsi="Arial" w:cs="Arial"/>
                <w:b/>
                <w:sz w:val="20"/>
                <w:szCs w:val="20"/>
              </w:rPr>
              <w:t>Celkový odpočet</w:t>
            </w:r>
          </w:p>
        </w:tc>
        <w:tc>
          <w:tcPr>
            <w:tcW w:w="3071" w:type="dxa"/>
            <w:tcBorders>
              <w:top w:val="single" w:sz="4" w:space="0" w:color="000000"/>
              <w:left w:val="single" w:sz="4" w:space="0" w:color="000000"/>
              <w:bottom w:val="single" w:sz="4" w:space="0" w:color="000000"/>
            </w:tcBorders>
          </w:tcPr>
          <w:p w14:paraId="73621649" w14:textId="77777777" w:rsidR="00070252" w:rsidRDefault="00070252" w:rsidP="006A5294">
            <w:pPr>
              <w:snapToGrid w:val="0"/>
              <w:jc w:val="center"/>
              <w:rPr>
                <w:rFonts w:ascii="Arial" w:hAnsi="Arial" w:cs="Arial"/>
                <w:sz w:val="20"/>
                <w:szCs w:val="20"/>
              </w:rPr>
            </w:pPr>
            <w:r>
              <w:rPr>
                <w:rFonts w:ascii="Arial" w:hAnsi="Arial" w:cs="Arial"/>
                <w:sz w:val="20"/>
                <w:szCs w:val="20"/>
              </w:rPr>
              <w:t>D=D1+D2</w:t>
            </w:r>
          </w:p>
        </w:tc>
        <w:tc>
          <w:tcPr>
            <w:tcW w:w="3081" w:type="dxa"/>
            <w:tcBorders>
              <w:top w:val="single" w:sz="4" w:space="0" w:color="000000"/>
              <w:left w:val="single" w:sz="4" w:space="0" w:color="000000"/>
              <w:bottom w:val="single" w:sz="4" w:space="0" w:color="000000"/>
              <w:right w:val="single" w:sz="4" w:space="0" w:color="000000"/>
            </w:tcBorders>
          </w:tcPr>
          <w:p w14:paraId="14FDF5D8" w14:textId="77777777" w:rsidR="00070252" w:rsidRDefault="00070252" w:rsidP="006A5294">
            <w:pPr>
              <w:snapToGrid w:val="0"/>
              <w:rPr>
                <w:rFonts w:ascii="Arial" w:hAnsi="Arial" w:cs="Arial"/>
                <w:sz w:val="20"/>
                <w:szCs w:val="20"/>
              </w:rPr>
            </w:pPr>
            <w:r>
              <w:rPr>
                <w:rFonts w:ascii="Arial" w:hAnsi="Arial" w:cs="Arial"/>
                <w:sz w:val="20"/>
                <w:szCs w:val="20"/>
              </w:rPr>
              <w:t xml:space="preserve">         34 000,00    </w:t>
            </w:r>
          </w:p>
        </w:tc>
      </w:tr>
    </w:tbl>
    <w:p w14:paraId="6FA19C7B" w14:textId="77777777" w:rsidR="00070252" w:rsidRDefault="00F94F1D" w:rsidP="00F94F1D">
      <w:pPr>
        <w:pStyle w:val="MPCKO2"/>
        <w:ind w:left="532" w:hanging="532"/>
      </w:pPr>
      <w:bookmarkStart w:id="56" w:name="_Toc406160870"/>
      <w:bookmarkStart w:id="57" w:name="_Toc406160960"/>
      <w:bookmarkStart w:id="58" w:name="_Toc527539384"/>
      <w:r>
        <w:t>4</w:t>
      </w:r>
      <w:r w:rsidR="00070252">
        <w:t>.4  Postup v prípade vzniku príjmu už v priebehu realizácie projektu</w:t>
      </w:r>
      <w:bookmarkEnd w:id="56"/>
      <w:bookmarkEnd w:id="57"/>
      <w:bookmarkEnd w:id="58"/>
    </w:p>
    <w:p w14:paraId="25FD0469" w14:textId="77777777" w:rsidR="00F94F1D" w:rsidRDefault="00F94F1D" w:rsidP="00070252">
      <w:pPr>
        <w:jc w:val="both"/>
        <w:rPr>
          <w:highlight w:val="yellow"/>
        </w:rPr>
      </w:pPr>
    </w:p>
    <w:p w14:paraId="769EEF02" w14:textId="77777777" w:rsidR="00070252" w:rsidRPr="00977AA2" w:rsidRDefault="00070252" w:rsidP="00070252">
      <w:pPr>
        <w:jc w:val="both"/>
      </w:pPr>
      <w:r w:rsidRPr="00977AA2">
        <w:t>Riadiaci orgán je povinný zohľadniť tieto príjmy, a to s ohľadom na ich vplyv na schopnosť prijímateľa objektívne odhadnúť budúce príjmy.</w:t>
      </w:r>
    </w:p>
    <w:p w14:paraId="4A4408C7" w14:textId="77777777" w:rsidR="00070252" w:rsidRPr="00977AA2" w:rsidRDefault="00070252" w:rsidP="00070252">
      <w:pPr>
        <w:jc w:val="both"/>
      </w:pPr>
    </w:p>
    <w:p w14:paraId="2F11873F" w14:textId="77777777" w:rsidR="00070252" w:rsidRPr="00977AA2" w:rsidRDefault="00070252" w:rsidP="00F26B1B">
      <w:pPr>
        <w:numPr>
          <w:ilvl w:val="0"/>
          <w:numId w:val="27"/>
        </w:numPr>
        <w:suppressAutoHyphens/>
        <w:spacing w:after="200" w:line="276" w:lineRule="auto"/>
        <w:jc w:val="both"/>
      </w:pPr>
      <w:r w:rsidRPr="00977AA2">
        <w:t>príjmy možno odhadnúť - ak vzniknuté príjmy umožňujú odhadnúť výšku príjmov budúcich,  tzn. možnosť aplikácie finančnej medzery, riadiaci orgán vyzve prijímateľa na vykonanie finančnej analýzy na základe predikcie rozhodujúcich veličín vzniknutých počas referenčného obdobia. Na základe poskytnutých údajov riadiaci orgán určí novú výšku NFP, pričom zohľadní už vyplatenú výšku NFP tak, aby súčet všetkých poskytnutých platieb nepresiahol novo stanovenú výšku NFP.</w:t>
      </w:r>
    </w:p>
    <w:p w14:paraId="4E7E4444" w14:textId="21D98E7F" w:rsidR="00070252" w:rsidRPr="00977AA2" w:rsidRDefault="00070252" w:rsidP="00F26B1B">
      <w:pPr>
        <w:numPr>
          <w:ilvl w:val="0"/>
          <w:numId w:val="27"/>
        </w:numPr>
        <w:suppressAutoHyphens/>
        <w:spacing w:after="200" w:line="276" w:lineRule="auto"/>
        <w:jc w:val="both"/>
      </w:pPr>
      <w:r w:rsidRPr="00977AA2">
        <w:t>príjmy nie je možné odhadnúť - ak vzniknuté príjmy počas realizácie projektu neumožňujú prijímateľovi objektívne odhadnúť príjmy budúce, zahrnie riadiaci orgán čisté príjmy vzniknuté v priebehu realizácie do výšky odpočtu, t.</w:t>
      </w:r>
      <w:r w:rsidR="001175BA">
        <w:t xml:space="preserve"> </w:t>
      </w:r>
      <w:r w:rsidRPr="00977AA2">
        <w:t xml:space="preserve">j. celkového súčtu čistých príjmov vytvorených do troch rokov od ukončenia realizácie projektu.  </w:t>
      </w:r>
    </w:p>
    <w:p w14:paraId="5D0DD060" w14:textId="77777777" w:rsidR="00070252" w:rsidRDefault="00070252" w:rsidP="00070252">
      <w:pPr>
        <w:suppressAutoHyphens/>
        <w:spacing w:after="200" w:line="276" w:lineRule="auto"/>
        <w:jc w:val="both"/>
      </w:pPr>
      <w:r w:rsidRPr="00977AA2">
        <w:t>V prípade, ak projekt generuje čisté príjmy počas realizácie projektu, riadiaci orgán zabezpečí kontrolu čistých príjmov kontrolou na mieste minimálne jeden krát počas obdobia realizácie projektu.</w:t>
      </w:r>
    </w:p>
    <w:p w14:paraId="75FFCD63" w14:textId="29E4692D" w:rsidR="00070252" w:rsidRPr="00F94F1D" w:rsidRDefault="00F94F1D" w:rsidP="00F94F1D">
      <w:pPr>
        <w:pStyle w:val="MPCKO2"/>
        <w:ind w:left="532" w:hanging="532"/>
      </w:pPr>
      <w:bookmarkStart w:id="59" w:name="_Toc406160871"/>
      <w:bookmarkStart w:id="60" w:name="_Toc406160961"/>
      <w:bookmarkStart w:id="61" w:name="_Toc527539385"/>
      <w:r>
        <w:t>4</w:t>
      </w:r>
      <w:r w:rsidR="0071412C" w:rsidRPr="00F94F1D">
        <w:t>.5</w:t>
      </w:r>
      <w:r w:rsidR="00713B2C">
        <w:t xml:space="preserve"> </w:t>
      </w:r>
      <w:r>
        <w:t>O</w:t>
      </w:r>
      <w:r w:rsidR="00070252" w:rsidRPr="00F94F1D">
        <w:t>patrenia pre monitorovanie projektov pod 1</w:t>
      </w:r>
      <w:r w:rsidR="00E262B3">
        <w:t xml:space="preserve"> </w:t>
      </w:r>
      <w:r w:rsidR="00070252" w:rsidRPr="00F94F1D">
        <w:t>mil.</w:t>
      </w:r>
      <w:r w:rsidR="00BE7BF3">
        <w:t xml:space="preserve"> EUR</w:t>
      </w:r>
      <w:r w:rsidR="00F248A0">
        <w:t xml:space="preserve"> podľa</w:t>
      </w:r>
      <w:r w:rsidR="00070252" w:rsidRPr="00F94F1D">
        <w:t xml:space="preserve"> čl</w:t>
      </w:r>
      <w:r w:rsidR="00F248A0">
        <w:t xml:space="preserve">ánku </w:t>
      </w:r>
      <w:r w:rsidR="00070252" w:rsidRPr="00F94F1D">
        <w:t>61</w:t>
      </w:r>
      <w:bookmarkEnd w:id="59"/>
      <w:bookmarkEnd w:id="60"/>
      <w:r w:rsidR="00F248A0">
        <w:t xml:space="preserve"> </w:t>
      </w:r>
      <w:r w:rsidR="007A50D8">
        <w:t xml:space="preserve">všeobecného </w:t>
      </w:r>
      <w:r w:rsidR="00F248A0">
        <w:t>nariadenia</w:t>
      </w:r>
      <w:bookmarkEnd w:id="61"/>
      <w:r w:rsidR="00F248A0">
        <w:t xml:space="preserve"> </w:t>
      </w:r>
    </w:p>
    <w:p w14:paraId="717738FC" w14:textId="77777777" w:rsidR="00070252" w:rsidRDefault="00070252" w:rsidP="00070252">
      <w:pPr>
        <w:rPr>
          <w:rStyle w:val="mediumtext1"/>
        </w:rPr>
      </w:pPr>
    </w:p>
    <w:p w14:paraId="05D21CA7" w14:textId="77777777" w:rsidR="00070252" w:rsidRPr="008F0420" w:rsidRDefault="00070252" w:rsidP="00070252">
      <w:pPr>
        <w:jc w:val="both"/>
        <w:rPr>
          <w:rStyle w:val="mediumtext1"/>
        </w:rPr>
      </w:pPr>
      <w:r w:rsidRPr="007171EC">
        <w:rPr>
          <w:rStyle w:val="mediumtext1"/>
        </w:rPr>
        <w:t>V danom prípade platí, že pokiaľ ide o projekty generujúce príjmy, výpočet finančnej medzery sa uplatňuje len na projekty, ktorých celkové náklady pred uplatnením odsekov 1 až 6 všeobecného nariadenia  presahujú 1 mil. EUR. V prípade, že investičné výdavky či už plánované (na základe dodatku k zmluve o poskytnutí NFP) alebo skutočné (deklarované v monitorovacích správach) počas realizácie projektu prekročia danú hranicu, je prijímateľ o tejto skutočnosti povinný informovať RO.</w:t>
      </w:r>
    </w:p>
    <w:p w14:paraId="68A1E4F1" w14:textId="77777777" w:rsidR="00070252" w:rsidRPr="008F0420" w:rsidRDefault="00070252" w:rsidP="00070252">
      <w:pPr>
        <w:rPr>
          <w:rStyle w:val="mediumtext1"/>
        </w:rPr>
      </w:pPr>
    </w:p>
    <w:p w14:paraId="25D8ED2F" w14:textId="77777777" w:rsidR="00070252" w:rsidRPr="00977AA2" w:rsidRDefault="00070252" w:rsidP="00070252">
      <w:pPr>
        <w:jc w:val="both"/>
      </w:pPr>
      <w:r w:rsidRPr="00977AA2">
        <w:t>Riadiaci orgán dokáže pôvodné projekty s investičnými výdavkami pod 1 mil. EUR identifikovať ako projekty, kde je buď možné objektívne odhadnúť výšku príjmov z projektu (čl.61 ods.3) alebo nie je možné objektívne odhadnúť výšku príjmov z projektu (čl.61 ods.6).</w:t>
      </w:r>
    </w:p>
    <w:p w14:paraId="0E0FF2AD" w14:textId="77777777" w:rsidR="00070252" w:rsidRPr="00977AA2" w:rsidRDefault="00070252" w:rsidP="00070252">
      <w:pPr>
        <w:jc w:val="both"/>
      </w:pPr>
    </w:p>
    <w:p w14:paraId="14DD9F15" w14:textId="77777777" w:rsidR="00070252" w:rsidRPr="00977AA2" w:rsidRDefault="00070252" w:rsidP="00070252">
      <w:pPr>
        <w:jc w:val="both"/>
      </w:pPr>
      <w:r w:rsidRPr="00977AA2">
        <w:t>Podľa tohto rozdelenia RO nastaví aj ďalší proces vzťahujúci sa na projekty, ktoré prekročili hranicu 1 mil. EUR počas realizačnej fázy projektu.</w:t>
      </w:r>
    </w:p>
    <w:p w14:paraId="152CA001" w14:textId="77777777" w:rsidR="00070252" w:rsidRPr="00977AA2" w:rsidRDefault="00070252" w:rsidP="00070252">
      <w:pPr>
        <w:jc w:val="both"/>
      </w:pPr>
    </w:p>
    <w:p w14:paraId="6C0302C1" w14:textId="361F31CD" w:rsidR="00070252" w:rsidRPr="00977AA2" w:rsidRDefault="00070252" w:rsidP="00070252">
      <w:pPr>
        <w:spacing w:before="120"/>
        <w:jc w:val="both"/>
      </w:pPr>
      <w:r w:rsidRPr="00977AA2">
        <w:rPr>
          <w:b/>
        </w:rPr>
        <w:t>V prípade projektov generujúcich príjem podľa čl</w:t>
      </w:r>
      <w:r w:rsidR="000119D2">
        <w:rPr>
          <w:b/>
        </w:rPr>
        <w:t>ánku</w:t>
      </w:r>
      <w:r w:rsidRPr="00977AA2">
        <w:rPr>
          <w:b/>
        </w:rPr>
        <w:t xml:space="preserve"> 61 </w:t>
      </w:r>
      <w:r w:rsidR="000119D2">
        <w:t>ods. 3</w:t>
      </w:r>
      <w:r w:rsidRPr="00977AA2">
        <w:t xml:space="preserve"> </w:t>
      </w:r>
      <w:r w:rsidR="004062DC">
        <w:t xml:space="preserve">všeobecného </w:t>
      </w:r>
      <w:r w:rsidRPr="00977AA2">
        <w:t xml:space="preserve">nariadenia  je prijímateľ povinný bezodkladne potom ako zistí nárast celkových investičných výdavkov projektu nad 1 mil. EUR predložiť riadiacemu orgánu finančnú analýzu s výpočtom výšky NFP. Na základe výsledku z finančnej analýzy sa vypracuje dodatok k zmluve o poskytnutí NFP a RO zašle prijímateľovi žiadosť o vrátenie finančných prostriedkov resp. kráti NFP v rámci žiadosti o platbu prostredníctvom vzájomného započítania pohľadávok. </w:t>
      </w:r>
      <w:r w:rsidRPr="00977AA2">
        <w:lastRenderedPageBreak/>
        <w:t>Monitorovanie čistých príjmov v porealizačnej fáze projektu prebieha rovnako ako pre</w:t>
      </w:r>
      <w:r w:rsidR="00A75416">
        <w:t> </w:t>
      </w:r>
      <w:r w:rsidRPr="00977AA2">
        <w:t xml:space="preserve">projekty generujúce príjem podľa čl. 61 (3) s pôvodnými celkovými investičnými výdavkami nad 1 mil. EUR. </w:t>
      </w:r>
    </w:p>
    <w:p w14:paraId="4A8D8F63" w14:textId="77777777" w:rsidR="00070252" w:rsidRPr="00977AA2" w:rsidRDefault="00070252" w:rsidP="00070252">
      <w:pPr>
        <w:spacing w:before="120"/>
        <w:jc w:val="both"/>
        <w:rPr>
          <w:bCs/>
        </w:rPr>
      </w:pPr>
      <w:r w:rsidRPr="00977AA2">
        <w:t xml:space="preserve">V prípade </w:t>
      </w:r>
      <w:r w:rsidRPr="00977AA2">
        <w:rPr>
          <w:bCs/>
        </w:rPr>
        <w:t>a ak už bol poskytn</w:t>
      </w:r>
      <w:r w:rsidR="001D4758">
        <w:rPr>
          <w:bCs/>
        </w:rPr>
        <w:t>utý celý NFP v súlade so zmluvou</w:t>
      </w:r>
      <w:r w:rsidRPr="00977AA2">
        <w:rPr>
          <w:bCs/>
        </w:rPr>
        <w:t xml:space="preserve"> o poskytnutí NFP zo strany RO, nie je potrebné uzatvárať dodatok k zmluve o poskytnutí NFP.</w:t>
      </w:r>
    </w:p>
    <w:p w14:paraId="33C2AABF" w14:textId="77777777" w:rsidR="00070252" w:rsidRPr="00977AA2" w:rsidRDefault="00070252" w:rsidP="00070252">
      <w:pPr>
        <w:jc w:val="both"/>
      </w:pPr>
    </w:p>
    <w:p w14:paraId="4E1D3CCC" w14:textId="65C6545F" w:rsidR="00070252" w:rsidRDefault="00070252" w:rsidP="00070252">
      <w:pPr>
        <w:jc w:val="both"/>
      </w:pPr>
      <w:r w:rsidRPr="00977AA2">
        <w:rPr>
          <w:b/>
        </w:rPr>
        <w:t>V prípade projektov generujúcich príjem podľa čl</w:t>
      </w:r>
      <w:r w:rsidR="000119D2">
        <w:rPr>
          <w:b/>
        </w:rPr>
        <w:t>ánku</w:t>
      </w:r>
      <w:r w:rsidRPr="00977AA2">
        <w:rPr>
          <w:b/>
        </w:rPr>
        <w:t xml:space="preserve"> 61 </w:t>
      </w:r>
      <w:r w:rsidR="000119D2">
        <w:t>ods. 6</w:t>
      </w:r>
      <w:r w:rsidRPr="00977AA2">
        <w:t xml:space="preserve"> </w:t>
      </w:r>
      <w:r w:rsidR="004062DC">
        <w:t xml:space="preserve">všeobecného </w:t>
      </w:r>
      <w:r w:rsidRPr="00977AA2">
        <w:t xml:space="preserve">nariadenia </w:t>
      </w:r>
      <w:r w:rsidR="00FD7C37">
        <w:t xml:space="preserve"> </w:t>
      </w:r>
      <w:r w:rsidRPr="00977AA2">
        <w:t>kde nie je možné dopredu objektívne odhadnúť výšku čistých príjmov sa povinnosť pre prijímateľa vypracovať finančnú analýzu nevzťahuje. V porealizačnej fáze projektu sa uplatnia na tieto projekty rovnaké postupy, ako pre projekty generujúce príjem podľa čl. 61 (6) s pôvodnými celkovými investičnými výdavkami nad 1 mil. EUR.</w:t>
      </w:r>
    </w:p>
    <w:p w14:paraId="52B24F07" w14:textId="77777777" w:rsidR="00070252" w:rsidRPr="00F94F1D" w:rsidRDefault="00F94F1D" w:rsidP="00F94F1D">
      <w:pPr>
        <w:pStyle w:val="MPCKO2"/>
        <w:ind w:left="532" w:hanging="532"/>
      </w:pPr>
      <w:bookmarkStart w:id="62" w:name="_Toc406160872"/>
      <w:bookmarkStart w:id="63" w:name="_Toc406160962"/>
      <w:bookmarkStart w:id="64" w:name="_Toc527539386"/>
      <w:r>
        <w:t>4</w:t>
      </w:r>
      <w:r w:rsidR="0071412C" w:rsidRPr="00F94F1D">
        <w:t>.6</w:t>
      </w:r>
      <w:r w:rsidR="00070252" w:rsidRPr="00F94F1D">
        <w:t xml:space="preserve"> čl. 61 ods. 8</w:t>
      </w:r>
      <w:bookmarkEnd w:id="62"/>
      <w:bookmarkEnd w:id="63"/>
      <w:r w:rsidR="007A50D8">
        <w:t xml:space="preserve"> všeobecného nariadenia</w:t>
      </w:r>
      <w:bookmarkEnd w:id="64"/>
    </w:p>
    <w:p w14:paraId="1D8E8F1F" w14:textId="77777777" w:rsidR="00F639D8" w:rsidRDefault="00F639D8" w:rsidP="00F94F1D">
      <w:pPr>
        <w:jc w:val="both"/>
        <w:rPr>
          <w:highlight w:val="yellow"/>
        </w:rPr>
      </w:pPr>
      <w:bookmarkStart w:id="65" w:name="_Toc406160873"/>
      <w:bookmarkStart w:id="66" w:name="_Toc406160963"/>
    </w:p>
    <w:p w14:paraId="011547FF" w14:textId="7B7B0EA5" w:rsidR="00070252" w:rsidRPr="00977AA2" w:rsidRDefault="00070252" w:rsidP="00F94F1D">
      <w:pPr>
        <w:jc w:val="both"/>
      </w:pPr>
      <w:r w:rsidRPr="00977AA2">
        <w:t>Okrem toho sa odseky 1 až 6 čl. 61 všeobecného nariadenia nevzťahujú na projekty, v prípade ktorých podpora</w:t>
      </w:r>
      <w:r w:rsidR="002B0ACF">
        <w:t xml:space="preserve"> z programu predstavuje štátnu pomoc</w:t>
      </w:r>
      <w:r w:rsidR="009D5C37">
        <w:t>, resp. pomoc de minimis</w:t>
      </w:r>
      <w:r w:rsidR="002B0ACF">
        <w:t>.</w:t>
      </w:r>
      <w:r w:rsidRPr="00977AA2">
        <w:t xml:space="preserve"> </w:t>
      </w:r>
      <w:bookmarkEnd w:id="65"/>
      <w:bookmarkEnd w:id="66"/>
    </w:p>
    <w:p w14:paraId="2877A9CD" w14:textId="77777777" w:rsidR="00070252" w:rsidRPr="00F94F1D" w:rsidRDefault="009A0FAA" w:rsidP="009A0FAA">
      <w:pPr>
        <w:pStyle w:val="MPCKO1"/>
        <w:ind w:left="284" w:hanging="284"/>
        <w:jc w:val="both"/>
      </w:pPr>
      <w:bookmarkStart w:id="67" w:name="_Toc527539387"/>
      <w:r>
        <w:t>5 Projekty vytvárajúce príjmy mimo čl. 61 všeobecného nariadenia</w:t>
      </w:r>
      <w:bookmarkEnd w:id="67"/>
    </w:p>
    <w:p w14:paraId="11B9DEBD" w14:textId="77777777" w:rsidR="00070252" w:rsidRDefault="00070252" w:rsidP="00070252">
      <w:pPr>
        <w:rPr>
          <w:highlight w:val="yellow"/>
        </w:rPr>
      </w:pPr>
    </w:p>
    <w:p w14:paraId="22A2BFA8" w14:textId="1A47B09A" w:rsidR="00070252" w:rsidRPr="00977AA2" w:rsidRDefault="00070252" w:rsidP="00977AA2">
      <w:pPr>
        <w:jc w:val="both"/>
      </w:pPr>
      <w:r w:rsidRPr="00977AA2">
        <w:t>Jedná sa o projekty, ktor</w:t>
      </w:r>
      <w:r w:rsidR="00B840AA">
        <w:t>é svojou charakteristikou resp. objemom</w:t>
      </w:r>
      <w:r w:rsidRPr="00977AA2">
        <w:t xml:space="preserve">  nespadajú pod </w:t>
      </w:r>
      <w:r w:rsidR="00B840AA">
        <w:t xml:space="preserve"> aplikáciu</w:t>
      </w:r>
      <w:r w:rsidRPr="00977AA2">
        <w:t xml:space="preserve"> čl</w:t>
      </w:r>
      <w:r w:rsidR="00B840AA">
        <w:t>ánku</w:t>
      </w:r>
      <w:r w:rsidRPr="00977AA2">
        <w:t xml:space="preserve"> 61. Vytvárajú tzv. „iné peňažné príjmy“</w:t>
      </w:r>
      <w:r w:rsidR="007D05AB">
        <w:t>.</w:t>
      </w:r>
      <w:r w:rsidR="00B840AA">
        <w:t xml:space="preserve"> </w:t>
      </w:r>
      <w:r w:rsidR="00B840AA" w:rsidRPr="007D30EB">
        <w:rPr>
          <w:rStyle w:val="hps"/>
          <w:color w:val="222222"/>
        </w:rPr>
        <w:t>V</w:t>
      </w:r>
      <w:r w:rsidR="00B840AA" w:rsidRPr="007D30EB">
        <w:rPr>
          <w:color w:val="222222"/>
        </w:rPr>
        <w:t xml:space="preserve"> </w:t>
      </w:r>
      <w:r w:rsidR="00B840AA" w:rsidRPr="007D30EB">
        <w:rPr>
          <w:rStyle w:val="hps"/>
          <w:color w:val="222222"/>
        </w:rPr>
        <w:t>rámci odlíšenia</w:t>
      </w:r>
      <w:r w:rsidR="00B840AA" w:rsidRPr="007D30EB">
        <w:rPr>
          <w:color w:val="222222"/>
        </w:rPr>
        <w:t xml:space="preserve"> </w:t>
      </w:r>
      <w:r w:rsidR="00B840AA" w:rsidRPr="007D30EB">
        <w:rPr>
          <w:rStyle w:val="hps"/>
          <w:color w:val="222222"/>
        </w:rPr>
        <w:t>týchto príjmov</w:t>
      </w:r>
      <w:r w:rsidR="00B840AA" w:rsidRPr="007D30EB">
        <w:rPr>
          <w:color w:val="222222"/>
        </w:rPr>
        <w:t xml:space="preserve"> </w:t>
      </w:r>
      <w:r w:rsidR="00B840AA" w:rsidRPr="007D30EB">
        <w:rPr>
          <w:rStyle w:val="hps"/>
          <w:color w:val="222222"/>
        </w:rPr>
        <w:t>od</w:t>
      </w:r>
      <w:r w:rsidR="00B840AA" w:rsidRPr="007D30EB">
        <w:rPr>
          <w:color w:val="222222"/>
        </w:rPr>
        <w:t xml:space="preserve"> </w:t>
      </w:r>
      <w:r w:rsidR="00B840AA" w:rsidRPr="007D30EB">
        <w:rPr>
          <w:rStyle w:val="hps"/>
          <w:color w:val="222222"/>
        </w:rPr>
        <w:t>príjmov</w:t>
      </w:r>
      <w:r w:rsidR="00B840AA" w:rsidRPr="007D30EB">
        <w:rPr>
          <w:color w:val="222222"/>
        </w:rPr>
        <w:t xml:space="preserve"> </w:t>
      </w:r>
      <w:r w:rsidR="00B840AA" w:rsidRPr="007D30EB">
        <w:rPr>
          <w:rStyle w:val="hps"/>
          <w:color w:val="222222"/>
        </w:rPr>
        <w:t>v</w:t>
      </w:r>
      <w:r w:rsidR="00B840AA" w:rsidRPr="007D30EB">
        <w:rPr>
          <w:color w:val="222222"/>
        </w:rPr>
        <w:t xml:space="preserve"> </w:t>
      </w:r>
      <w:r w:rsidR="00B840AA" w:rsidRPr="007D30EB">
        <w:rPr>
          <w:rStyle w:val="hps"/>
          <w:color w:val="222222"/>
        </w:rPr>
        <w:t>pôsobnosti článku</w:t>
      </w:r>
      <w:r w:rsidR="00B840AA" w:rsidRPr="007D30EB">
        <w:rPr>
          <w:color w:val="222222"/>
        </w:rPr>
        <w:t xml:space="preserve">. </w:t>
      </w:r>
      <w:r w:rsidR="00B840AA" w:rsidRPr="007D30EB">
        <w:rPr>
          <w:rStyle w:val="hps"/>
          <w:color w:val="222222"/>
        </w:rPr>
        <w:t>61</w:t>
      </w:r>
      <w:r w:rsidR="00B840AA" w:rsidRPr="007D30EB">
        <w:rPr>
          <w:color w:val="222222"/>
        </w:rPr>
        <w:t xml:space="preserve"> </w:t>
      </w:r>
      <w:r w:rsidR="00B840AA" w:rsidRPr="007D30EB">
        <w:rPr>
          <w:rStyle w:val="hps"/>
          <w:color w:val="222222"/>
        </w:rPr>
        <w:t>nazývame</w:t>
      </w:r>
      <w:r w:rsidR="00B840AA" w:rsidRPr="007D30EB">
        <w:rPr>
          <w:color w:val="222222"/>
        </w:rPr>
        <w:t xml:space="preserve"> </w:t>
      </w:r>
      <w:r w:rsidR="00B840AA" w:rsidRPr="007D30EB">
        <w:rPr>
          <w:rStyle w:val="hps"/>
          <w:color w:val="222222"/>
        </w:rPr>
        <w:t>tieto</w:t>
      </w:r>
      <w:r w:rsidR="00B840AA" w:rsidRPr="007D30EB">
        <w:rPr>
          <w:color w:val="222222"/>
        </w:rPr>
        <w:t xml:space="preserve"> </w:t>
      </w:r>
      <w:r w:rsidR="00B840AA" w:rsidRPr="007D30EB">
        <w:rPr>
          <w:rStyle w:val="hps"/>
          <w:color w:val="222222"/>
        </w:rPr>
        <w:t>príjmy</w:t>
      </w:r>
      <w:r w:rsidR="00B840AA" w:rsidRPr="007D30EB">
        <w:rPr>
          <w:color w:val="222222"/>
        </w:rPr>
        <w:t xml:space="preserve"> </w:t>
      </w:r>
      <w:r w:rsidR="00B840AA" w:rsidRPr="007D30EB">
        <w:rPr>
          <w:rStyle w:val="hps"/>
          <w:color w:val="222222"/>
        </w:rPr>
        <w:t>"</w:t>
      </w:r>
      <w:r w:rsidR="00B840AA" w:rsidRPr="007D30EB">
        <w:rPr>
          <w:color w:val="222222"/>
        </w:rPr>
        <w:t xml:space="preserve">Iné </w:t>
      </w:r>
      <w:r w:rsidR="00B840AA" w:rsidRPr="007D30EB">
        <w:rPr>
          <w:rStyle w:val="hps"/>
          <w:color w:val="222222"/>
        </w:rPr>
        <w:t>peňažné</w:t>
      </w:r>
      <w:r w:rsidR="00B840AA" w:rsidRPr="007D30EB">
        <w:rPr>
          <w:color w:val="222222"/>
        </w:rPr>
        <w:t xml:space="preserve"> </w:t>
      </w:r>
      <w:r w:rsidR="00B840AA" w:rsidRPr="007D30EB">
        <w:rPr>
          <w:rStyle w:val="hps"/>
          <w:color w:val="222222"/>
        </w:rPr>
        <w:t>príjmy</w:t>
      </w:r>
      <w:r w:rsidR="00B840AA" w:rsidRPr="007D30EB">
        <w:rPr>
          <w:color w:val="222222"/>
        </w:rPr>
        <w:t xml:space="preserve"> </w:t>
      </w:r>
      <w:r w:rsidR="00B840AA" w:rsidRPr="007D30EB">
        <w:rPr>
          <w:rStyle w:val="hps"/>
          <w:color w:val="222222"/>
        </w:rPr>
        <w:t>(</w:t>
      </w:r>
      <w:r w:rsidR="00B840AA" w:rsidRPr="007D30EB">
        <w:rPr>
          <w:color w:val="222222"/>
        </w:rPr>
        <w:t xml:space="preserve">ďalej </w:t>
      </w:r>
      <w:r w:rsidR="00B840AA" w:rsidRPr="007D30EB">
        <w:rPr>
          <w:rStyle w:val="hps"/>
          <w:color w:val="222222"/>
        </w:rPr>
        <w:t>aj</w:t>
      </w:r>
      <w:r w:rsidR="00B840AA" w:rsidRPr="007D30EB">
        <w:rPr>
          <w:color w:val="222222"/>
        </w:rPr>
        <w:t xml:space="preserve"> </w:t>
      </w:r>
      <w:r w:rsidR="00B840AA">
        <w:rPr>
          <w:rStyle w:val="hps"/>
          <w:color w:val="222222"/>
        </w:rPr>
        <w:t>I</w:t>
      </w:r>
      <w:r w:rsidR="00B840AA" w:rsidRPr="007D30EB">
        <w:rPr>
          <w:rStyle w:val="hps"/>
          <w:color w:val="222222"/>
        </w:rPr>
        <w:t>PP</w:t>
      </w:r>
      <w:r w:rsidR="00B840AA" w:rsidRPr="007D30EB">
        <w:rPr>
          <w:color w:val="222222"/>
        </w:rPr>
        <w:t xml:space="preserve">)", </w:t>
      </w:r>
      <w:r w:rsidR="00B840AA" w:rsidRPr="007D30EB">
        <w:rPr>
          <w:rStyle w:val="hps"/>
          <w:color w:val="222222"/>
        </w:rPr>
        <w:t>tj</w:t>
      </w:r>
      <w:r w:rsidR="00B840AA" w:rsidRPr="007D30EB">
        <w:rPr>
          <w:color w:val="222222"/>
        </w:rPr>
        <w:t xml:space="preserve">. </w:t>
      </w:r>
      <w:r w:rsidR="00B840AA">
        <w:rPr>
          <w:rStyle w:val="hps"/>
          <w:color w:val="222222"/>
        </w:rPr>
        <w:t>i</w:t>
      </w:r>
      <w:r w:rsidR="00B840AA" w:rsidRPr="007D30EB">
        <w:rPr>
          <w:rStyle w:val="hps"/>
          <w:color w:val="222222"/>
        </w:rPr>
        <w:t>né</w:t>
      </w:r>
      <w:r w:rsidR="00B840AA" w:rsidRPr="007D30EB">
        <w:rPr>
          <w:color w:val="222222"/>
        </w:rPr>
        <w:t xml:space="preserve"> </w:t>
      </w:r>
      <w:r w:rsidR="00B840AA" w:rsidRPr="007D30EB">
        <w:rPr>
          <w:rStyle w:val="hps"/>
          <w:color w:val="222222"/>
        </w:rPr>
        <w:t>peňažné</w:t>
      </w:r>
      <w:r w:rsidR="00B840AA" w:rsidRPr="007D30EB">
        <w:rPr>
          <w:color w:val="222222"/>
        </w:rPr>
        <w:t xml:space="preserve"> </w:t>
      </w:r>
      <w:r w:rsidR="00B840AA" w:rsidRPr="007D30EB">
        <w:rPr>
          <w:rStyle w:val="hps"/>
          <w:color w:val="222222"/>
        </w:rPr>
        <w:t>príjmy</w:t>
      </w:r>
      <w:r w:rsidR="00B840AA" w:rsidRPr="007D30EB">
        <w:rPr>
          <w:color w:val="222222"/>
        </w:rPr>
        <w:t xml:space="preserve"> </w:t>
      </w:r>
      <w:r w:rsidR="00B840AA" w:rsidRPr="007D30EB">
        <w:rPr>
          <w:rStyle w:val="hps"/>
          <w:color w:val="222222"/>
        </w:rPr>
        <w:t>=</w:t>
      </w:r>
      <w:r w:rsidR="00B840AA" w:rsidRPr="007D30EB">
        <w:rPr>
          <w:color w:val="222222"/>
        </w:rPr>
        <w:t xml:space="preserve"> </w:t>
      </w:r>
      <w:r w:rsidR="00B840AA" w:rsidRPr="007D30EB">
        <w:rPr>
          <w:rStyle w:val="hps"/>
          <w:color w:val="222222"/>
        </w:rPr>
        <w:t>akékoľvek</w:t>
      </w:r>
      <w:r w:rsidR="00B840AA" w:rsidRPr="007D30EB">
        <w:rPr>
          <w:color w:val="222222"/>
        </w:rPr>
        <w:t xml:space="preserve"> </w:t>
      </w:r>
      <w:r w:rsidR="00B840AA" w:rsidRPr="007D30EB">
        <w:rPr>
          <w:rStyle w:val="hps"/>
          <w:color w:val="222222"/>
        </w:rPr>
        <w:t>príjmy</w:t>
      </w:r>
      <w:r w:rsidR="00B840AA" w:rsidRPr="007D30EB">
        <w:rPr>
          <w:color w:val="222222"/>
        </w:rPr>
        <w:t xml:space="preserve">, </w:t>
      </w:r>
      <w:r w:rsidR="00B840AA" w:rsidRPr="007D30EB">
        <w:rPr>
          <w:rStyle w:val="hps"/>
          <w:color w:val="222222"/>
        </w:rPr>
        <w:t>ktoré</w:t>
      </w:r>
      <w:r w:rsidR="00B840AA" w:rsidRPr="007D30EB">
        <w:rPr>
          <w:color w:val="222222"/>
        </w:rPr>
        <w:t xml:space="preserve"> </w:t>
      </w:r>
      <w:r w:rsidR="00B840AA" w:rsidRPr="007D30EB">
        <w:rPr>
          <w:rStyle w:val="hps"/>
          <w:color w:val="222222"/>
        </w:rPr>
        <w:t>sa</w:t>
      </w:r>
      <w:r w:rsidR="00B840AA" w:rsidRPr="007D30EB">
        <w:rPr>
          <w:color w:val="222222"/>
        </w:rPr>
        <w:t xml:space="preserve"> </w:t>
      </w:r>
      <w:r w:rsidR="00B840AA" w:rsidRPr="007D30EB">
        <w:rPr>
          <w:rStyle w:val="hps"/>
          <w:color w:val="222222"/>
        </w:rPr>
        <w:t>vyskytnú</w:t>
      </w:r>
      <w:r w:rsidR="00B840AA">
        <w:rPr>
          <w:rStyle w:val="hps"/>
          <w:color w:val="222222"/>
        </w:rPr>
        <w:t xml:space="preserve"> u projektov nespadajúcich pod čl. 61.</w:t>
      </w:r>
      <w:r w:rsidR="00E262B3">
        <w:rPr>
          <w:rFonts w:ascii="Arial" w:hAnsi="Arial" w:cs="Arial"/>
          <w:color w:val="222222"/>
        </w:rPr>
        <w:t xml:space="preserve"> </w:t>
      </w:r>
      <w:r w:rsidRPr="00977AA2">
        <w:t>Tieto príjmy znižujú celkové oprávnené výdavky projektu, čím je znížený základ pre výpočet pomoci a tým aj samotná výška pomoci.</w:t>
      </w:r>
    </w:p>
    <w:p w14:paraId="589F5AB2" w14:textId="77777777" w:rsidR="00070252" w:rsidRPr="00977AA2" w:rsidRDefault="00070252" w:rsidP="00977AA2">
      <w:pPr>
        <w:jc w:val="both"/>
      </w:pPr>
    </w:p>
    <w:p w14:paraId="74674BDF" w14:textId="77777777" w:rsidR="00070252" w:rsidRPr="00977AA2" w:rsidRDefault="00070252" w:rsidP="00977AA2">
      <w:pPr>
        <w:jc w:val="both"/>
      </w:pPr>
      <w:r w:rsidRPr="00977AA2">
        <w:t>Tab. Zohľadnenie iných peňažných príjmov</w:t>
      </w:r>
    </w:p>
    <w:p w14:paraId="39D68D11" w14:textId="77777777" w:rsidR="00070252" w:rsidRDefault="00070252" w:rsidP="00070252">
      <w:pPr>
        <w:rPr>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3071"/>
        <w:gridCol w:w="3071"/>
      </w:tblGrid>
      <w:tr w:rsidR="00034644" w:rsidRPr="00767F01" w14:paraId="35A88435" w14:textId="77777777" w:rsidTr="006A5294">
        <w:tc>
          <w:tcPr>
            <w:tcW w:w="3070" w:type="dxa"/>
            <w:shd w:val="clear" w:color="auto" w:fill="C6D9F1"/>
          </w:tcPr>
          <w:p w14:paraId="76EEA41B" w14:textId="77777777" w:rsidR="00070252" w:rsidRPr="00B87931" w:rsidRDefault="00070252" w:rsidP="006A5294">
            <w:r w:rsidRPr="00B87931">
              <w:t>Ukazovateľ</w:t>
            </w:r>
          </w:p>
        </w:tc>
        <w:tc>
          <w:tcPr>
            <w:tcW w:w="3071" w:type="dxa"/>
            <w:shd w:val="clear" w:color="auto" w:fill="C6D9F1"/>
          </w:tcPr>
          <w:p w14:paraId="3C1AA555" w14:textId="77777777" w:rsidR="00070252" w:rsidRPr="00096662" w:rsidRDefault="00D373BA" w:rsidP="006A5294">
            <w:r w:rsidRPr="00096662">
              <w:t>Skratky</w:t>
            </w:r>
          </w:p>
        </w:tc>
        <w:tc>
          <w:tcPr>
            <w:tcW w:w="3071" w:type="dxa"/>
            <w:shd w:val="clear" w:color="auto" w:fill="C6D9F1"/>
          </w:tcPr>
          <w:p w14:paraId="65457BBA" w14:textId="77777777" w:rsidR="00070252" w:rsidRPr="00096662" w:rsidRDefault="00D373BA" w:rsidP="006A5294">
            <w:r w:rsidRPr="00096662">
              <w:t>Výpočet</w:t>
            </w:r>
          </w:p>
        </w:tc>
      </w:tr>
      <w:tr w:rsidR="00070252" w:rsidRPr="00767F01" w14:paraId="658BE951" w14:textId="77777777" w:rsidTr="0056666E">
        <w:tc>
          <w:tcPr>
            <w:tcW w:w="3070" w:type="dxa"/>
          </w:tcPr>
          <w:p w14:paraId="1CE4C5D7" w14:textId="77777777" w:rsidR="00070252" w:rsidRPr="00B87931" w:rsidRDefault="00070252" w:rsidP="006A5294">
            <w:r w:rsidRPr="00B87931">
              <w:t>Investičné výdavky</w:t>
            </w:r>
          </w:p>
        </w:tc>
        <w:tc>
          <w:tcPr>
            <w:tcW w:w="3071" w:type="dxa"/>
          </w:tcPr>
          <w:p w14:paraId="0F8681C1" w14:textId="77777777" w:rsidR="00070252" w:rsidRPr="00977AA2" w:rsidRDefault="00070252" w:rsidP="006A5294">
            <w:r w:rsidRPr="00977AA2">
              <w:t>IC</w:t>
            </w:r>
          </w:p>
        </w:tc>
        <w:tc>
          <w:tcPr>
            <w:tcW w:w="3071" w:type="dxa"/>
          </w:tcPr>
          <w:p w14:paraId="362C88E1" w14:textId="77777777" w:rsidR="00070252" w:rsidRPr="00977AA2" w:rsidRDefault="00070252" w:rsidP="006A5294"/>
        </w:tc>
      </w:tr>
      <w:tr w:rsidR="00070252" w:rsidRPr="00767F01" w14:paraId="172F0D75" w14:textId="77777777" w:rsidTr="0056666E">
        <w:tc>
          <w:tcPr>
            <w:tcW w:w="3070" w:type="dxa"/>
          </w:tcPr>
          <w:p w14:paraId="4382B080" w14:textId="77777777" w:rsidR="00070252" w:rsidRPr="00B87931" w:rsidRDefault="00070252" w:rsidP="006A5294">
            <w:r w:rsidRPr="00B87931">
              <w:t>Celkové oprávnené výdavky</w:t>
            </w:r>
          </w:p>
        </w:tc>
        <w:tc>
          <w:tcPr>
            <w:tcW w:w="3071" w:type="dxa"/>
          </w:tcPr>
          <w:p w14:paraId="07BA03CF" w14:textId="77777777" w:rsidR="00070252" w:rsidRPr="00977AA2" w:rsidRDefault="00070252" w:rsidP="006A5294">
            <w:r w:rsidRPr="00977AA2">
              <w:t>EC</w:t>
            </w:r>
          </w:p>
        </w:tc>
        <w:tc>
          <w:tcPr>
            <w:tcW w:w="3071" w:type="dxa"/>
          </w:tcPr>
          <w:p w14:paraId="0630BF7F" w14:textId="77777777" w:rsidR="00070252" w:rsidRPr="00977AA2" w:rsidRDefault="00070252" w:rsidP="006A5294"/>
        </w:tc>
      </w:tr>
      <w:tr w:rsidR="00070252" w:rsidRPr="00767F01" w14:paraId="6F5CE760" w14:textId="77777777" w:rsidTr="0056666E">
        <w:tc>
          <w:tcPr>
            <w:tcW w:w="3070" w:type="dxa"/>
          </w:tcPr>
          <w:p w14:paraId="0323FC54" w14:textId="77777777" w:rsidR="00070252" w:rsidRPr="00B87931" w:rsidRDefault="00070252" w:rsidP="006A5294">
            <w:r w:rsidRPr="00B87931">
              <w:t>Iné peňažné príjmy</w:t>
            </w:r>
            <w:r>
              <w:t xml:space="preserve"> (ďalej IPP)</w:t>
            </w:r>
          </w:p>
        </w:tc>
        <w:tc>
          <w:tcPr>
            <w:tcW w:w="3071" w:type="dxa"/>
          </w:tcPr>
          <w:p w14:paraId="1693C62F" w14:textId="77777777" w:rsidR="00070252" w:rsidRPr="00977AA2" w:rsidRDefault="00070252" w:rsidP="006A5294">
            <w:r w:rsidRPr="00977AA2">
              <w:t>IPP</w:t>
            </w:r>
          </w:p>
        </w:tc>
        <w:tc>
          <w:tcPr>
            <w:tcW w:w="3071" w:type="dxa"/>
          </w:tcPr>
          <w:p w14:paraId="3E26BE3C" w14:textId="77777777" w:rsidR="00070252" w:rsidRPr="00977AA2" w:rsidRDefault="00070252" w:rsidP="006A5294"/>
        </w:tc>
      </w:tr>
      <w:tr w:rsidR="00070252" w:rsidRPr="00767F01" w14:paraId="13DF33BF" w14:textId="77777777" w:rsidTr="0056666E">
        <w:tc>
          <w:tcPr>
            <w:tcW w:w="3070" w:type="dxa"/>
          </w:tcPr>
          <w:p w14:paraId="5A253713" w14:textId="77777777" w:rsidR="00070252" w:rsidRPr="00B87931" w:rsidRDefault="00070252" w:rsidP="006A5294">
            <w:r w:rsidRPr="00B87931">
              <w:t>Oprávnené výdavky znížené o peňažné príjmy</w:t>
            </w:r>
          </w:p>
        </w:tc>
        <w:tc>
          <w:tcPr>
            <w:tcW w:w="3071" w:type="dxa"/>
          </w:tcPr>
          <w:p w14:paraId="60BEAEA4" w14:textId="77777777" w:rsidR="00070252" w:rsidRPr="00977AA2" w:rsidRDefault="00070252" w:rsidP="006A5294">
            <w:r w:rsidRPr="00977AA2">
              <w:t>ECipp</w:t>
            </w:r>
          </w:p>
        </w:tc>
        <w:tc>
          <w:tcPr>
            <w:tcW w:w="3071" w:type="dxa"/>
          </w:tcPr>
          <w:p w14:paraId="0E3EA226" w14:textId="77777777" w:rsidR="00070252" w:rsidRPr="00977AA2" w:rsidRDefault="00070252" w:rsidP="006A5294">
            <w:r w:rsidRPr="00977AA2">
              <w:t>EC-IPP</w:t>
            </w:r>
          </w:p>
        </w:tc>
      </w:tr>
      <w:tr w:rsidR="00070252" w:rsidRPr="00767F01" w14:paraId="7C4E4185" w14:textId="77777777" w:rsidTr="0056666E">
        <w:tc>
          <w:tcPr>
            <w:tcW w:w="3070" w:type="dxa"/>
          </w:tcPr>
          <w:p w14:paraId="74D0D2BE" w14:textId="77777777" w:rsidR="00070252" w:rsidRPr="00B87931" w:rsidRDefault="00070252" w:rsidP="006A5294">
            <w:r w:rsidRPr="00B87931">
              <w:t>Max. miera spolufinancovania</w:t>
            </w:r>
          </w:p>
        </w:tc>
        <w:tc>
          <w:tcPr>
            <w:tcW w:w="3071" w:type="dxa"/>
          </w:tcPr>
          <w:p w14:paraId="0A31B13F" w14:textId="77777777" w:rsidR="00070252" w:rsidRPr="00977AA2" w:rsidRDefault="00070252" w:rsidP="006A5294">
            <w:r w:rsidRPr="00977AA2">
              <w:t>p</w:t>
            </w:r>
          </w:p>
        </w:tc>
        <w:tc>
          <w:tcPr>
            <w:tcW w:w="3071" w:type="dxa"/>
          </w:tcPr>
          <w:p w14:paraId="2F6978DB" w14:textId="5DB8BE30" w:rsidR="00070252" w:rsidRPr="00977AA2" w:rsidRDefault="00070252" w:rsidP="006A5294">
            <w:r w:rsidRPr="00977AA2">
              <w:t>85</w:t>
            </w:r>
            <w:r w:rsidR="00FB4864">
              <w:t xml:space="preserve"> </w:t>
            </w:r>
            <w:r w:rsidRPr="00977AA2">
              <w:t>%</w:t>
            </w:r>
          </w:p>
        </w:tc>
      </w:tr>
      <w:tr w:rsidR="00070252" w:rsidRPr="00767F01" w14:paraId="11A8C0A4" w14:textId="77777777" w:rsidTr="0056666E">
        <w:tc>
          <w:tcPr>
            <w:tcW w:w="3070" w:type="dxa"/>
          </w:tcPr>
          <w:p w14:paraId="613494F5" w14:textId="77777777" w:rsidR="00070252" w:rsidRPr="00B87931" w:rsidRDefault="00070252" w:rsidP="006A5294">
            <w:r w:rsidRPr="00B87931">
              <w:t>Výška príspevku únie</w:t>
            </w:r>
          </w:p>
        </w:tc>
        <w:tc>
          <w:tcPr>
            <w:tcW w:w="3071" w:type="dxa"/>
          </w:tcPr>
          <w:p w14:paraId="39436EC5" w14:textId="77777777" w:rsidR="00070252" w:rsidRPr="00977AA2" w:rsidRDefault="00070252" w:rsidP="006A5294">
            <w:r w:rsidRPr="00977AA2">
              <w:t>EU</w:t>
            </w:r>
          </w:p>
        </w:tc>
        <w:tc>
          <w:tcPr>
            <w:tcW w:w="3071" w:type="dxa"/>
          </w:tcPr>
          <w:p w14:paraId="6AFD4764" w14:textId="77777777" w:rsidR="00070252" w:rsidRPr="00977AA2" w:rsidRDefault="00070252" w:rsidP="006A5294">
            <w:r w:rsidRPr="00977AA2">
              <w:t>ECipp * p</w:t>
            </w:r>
          </w:p>
        </w:tc>
      </w:tr>
      <w:tr w:rsidR="00070252" w:rsidRPr="00767F01" w14:paraId="09E5D6FD" w14:textId="77777777" w:rsidTr="0056666E">
        <w:tc>
          <w:tcPr>
            <w:tcW w:w="3070" w:type="dxa"/>
          </w:tcPr>
          <w:p w14:paraId="11F30A0E" w14:textId="77777777" w:rsidR="00070252" w:rsidRPr="00B87931" w:rsidRDefault="00070252" w:rsidP="006A5294">
            <w:r w:rsidRPr="00B87931">
              <w:t>Výška národného spolufinancovania</w:t>
            </w:r>
          </w:p>
        </w:tc>
        <w:tc>
          <w:tcPr>
            <w:tcW w:w="3071" w:type="dxa"/>
          </w:tcPr>
          <w:p w14:paraId="33D57096" w14:textId="77777777" w:rsidR="00070252" w:rsidRPr="00977AA2" w:rsidRDefault="00070252" w:rsidP="006A5294">
            <w:r w:rsidRPr="00977AA2">
              <w:t>NS</w:t>
            </w:r>
          </w:p>
        </w:tc>
        <w:tc>
          <w:tcPr>
            <w:tcW w:w="3071" w:type="dxa"/>
          </w:tcPr>
          <w:p w14:paraId="1E4CF87F" w14:textId="77777777" w:rsidR="00070252" w:rsidRPr="00977AA2" w:rsidRDefault="00070252" w:rsidP="006A5294">
            <w:r w:rsidRPr="00977AA2">
              <w:t>ECipp * ns</w:t>
            </w:r>
          </w:p>
        </w:tc>
      </w:tr>
    </w:tbl>
    <w:p w14:paraId="517559E3" w14:textId="4B4ED5FE" w:rsidR="00070252" w:rsidRDefault="00F94F1D" w:rsidP="00F94F1D">
      <w:pPr>
        <w:pStyle w:val="MPCKO2"/>
        <w:ind w:left="462" w:hanging="462"/>
      </w:pPr>
      <w:bookmarkStart w:id="68" w:name="_Toc527539388"/>
      <w:r w:rsidRPr="00F94F1D">
        <w:t>5</w:t>
      </w:r>
      <w:r w:rsidR="00070252" w:rsidRPr="00F94F1D">
        <w:t xml:space="preserve">.1 </w:t>
      </w:r>
      <w:r w:rsidR="00130E2B">
        <w:t xml:space="preserve">Projekty s celkovými oprávnenými výdavkami nad </w:t>
      </w:r>
      <w:r w:rsidR="00761D5E">
        <w:t>10</w:t>
      </w:r>
      <w:r w:rsidR="00130E2B">
        <w:t>0 000 EUR</w:t>
      </w:r>
      <w:bookmarkEnd w:id="68"/>
    </w:p>
    <w:p w14:paraId="1E06393A" w14:textId="77777777" w:rsidR="00070252" w:rsidRDefault="00070252" w:rsidP="00070252">
      <w:pPr>
        <w:rPr>
          <w:highlight w:val="yellow"/>
        </w:rPr>
      </w:pPr>
    </w:p>
    <w:p w14:paraId="6FCE1ECA" w14:textId="49DA1010" w:rsidR="00070252" w:rsidRPr="00977AA2" w:rsidRDefault="00070252" w:rsidP="00977AA2">
      <w:pPr>
        <w:jc w:val="both"/>
      </w:pPr>
      <w:r w:rsidRPr="00977AA2">
        <w:t xml:space="preserve">V súlade s článkom. 65, ods. 8 všeobecného nariadenia je nutné u projektov, ktorých celkové oprávnené výdavky presahujú hranicu </w:t>
      </w:r>
      <w:r w:rsidR="00761D5E">
        <w:t>10</w:t>
      </w:r>
      <w:r w:rsidRPr="00977AA2">
        <w:t xml:space="preserve">0 000 eur, odpočítať čisté iné peňažné príjmy vytvorené v období realizácie projektu od oprávnených výdavkov projektu, a to najneskôr </w:t>
      </w:r>
      <w:r w:rsidRPr="00977AA2">
        <w:lastRenderedPageBreak/>
        <w:t>pri</w:t>
      </w:r>
      <w:r w:rsidR="00A75416">
        <w:t> </w:t>
      </w:r>
      <w:r w:rsidRPr="00977AA2">
        <w:t>predložení záverečnej žiadosti o platbu prijímateľom, pokiaľ tieto príjmy neboli zohľadnené už pri schválení projektu a pomoc nebola znížená už na začiatku projektu.</w:t>
      </w:r>
      <w:r w:rsidR="00EF44AA">
        <w:t xml:space="preserve"> </w:t>
      </w:r>
      <w:r w:rsidRPr="00977AA2">
        <w:t>Čisté IPP predstavujú rozdiel iných peňažných príjmov a prevádzkových výdavkov projektu</w:t>
      </w:r>
    </w:p>
    <w:p w14:paraId="5180187A" w14:textId="77777777" w:rsidR="00070252" w:rsidRPr="00977AA2" w:rsidRDefault="00070252" w:rsidP="00977AA2">
      <w:pPr>
        <w:jc w:val="both"/>
      </w:pPr>
    </w:p>
    <w:p w14:paraId="3A37EC25" w14:textId="77777777" w:rsidR="0006033D" w:rsidRDefault="00070252" w:rsidP="00977AA2">
      <w:pPr>
        <w:jc w:val="both"/>
      </w:pPr>
      <w:r w:rsidRPr="00977AA2">
        <w:t>Ak sa predpokladaná výška čistých</w:t>
      </w:r>
      <w:r w:rsidR="00EF44AA">
        <w:t xml:space="preserve"> </w:t>
      </w:r>
      <w:r w:rsidRPr="00977AA2">
        <w:t>iných peňažných príjmov líši od skutočne</w:t>
      </w:r>
      <w:r w:rsidR="00EF44AA">
        <w:t xml:space="preserve"> </w:t>
      </w:r>
      <w:r w:rsidRPr="00977AA2">
        <w:t>dosiahnutých hodnôt, po</w:t>
      </w:r>
      <w:r w:rsidR="0006033D">
        <w:t>tom platí:</w:t>
      </w:r>
    </w:p>
    <w:p w14:paraId="0E6B0988" w14:textId="77777777" w:rsidR="0006033D" w:rsidRDefault="00070252" w:rsidP="00AA1DEA">
      <w:pPr>
        <w:pStyle w:val="Odsekzoznamu"/>
        <w:numPr>
          <w:ilvl w:val="0"/>
          <w:numId w:val="42"/>
        </w:numPr>
        <w:spacing w:before="200" w:after="200"/>
        <w:ind w:left="850" w:hanging="425"/>
        <w:jc w:val="both"/>
      </w:pPr>
      <w:r w:rsidRPr="00977AA2">
        <w:t>Ak sú skutočné čisté IPP</w:t>
      </w:r>
      <w:r w:rsidR="00977AA2">
        <w:t xml:space="preserve"> </w:t>
      </w:r>
      <w:r w:rsidRPr="00977AA2">
        <w:t>nižšie, prijíma</w:t>
      </w:r>
      <w:r w:rsidR="0006033D">
        <w:t>teľ nemá nárok na navýšenie NFP</w:t>
      </w:r>
    </w:p>
    <w:p w14:paraId="3B5961D3" w14:textId="77777777" w:rsidR="00070252" w:rsidRPr="00977AA2" w:rsidRDefault="00070252" w:rsidP="00AA1DEA">
      <w:pPr>
        <w:pStyle w:val="Odsekzoznamu"/>
        <w:numPr>
          <w:ilvl w:val="0"/>
          <w:numId w:val="42"/>
        </w:numPr>
        <w:spacing w:before="200" w:after="200"/>
        <w:ind w:left="850" w:hanging="425"/>
        <w:jc w:val="both"/>
      </w:pPr>
      <w:r w:rsidRPr="00977AA2">
        <w:t>Ak budú skutočné čisté IPP</w:t>
      </w:r>
      <w:r w:rsidR="00977AA2">
        <w:t xml:space="preserve"> </w:t>
      </w:r>
      <w:r w:rsidRPr="00977AA2">
        <w:t>vyššie, o toto navýšenie sa ponížia oprávnené výdavky a</w:t>
      </w:r>
      <w:r w:rsidR="0006033D">
        <w:t> </w:t>
      </w:r>
      <w:r w:rsidRPr="00977AA2">
        <w:t>tým</w:t>
      </w:r>
      <w:r w:rsidR="0006033D">
        <w:t xml:space="preserve"> </w:t>
      </w:r>
      <w:r w:rsidRPr="00977AA2">
        <w:t>aj NFP</w:t>
      </w:r>
    </w:p>
    <w:p w14:paraId="6F0AB710" w14:textId="77777777" w:rsidR="00977AA2" w:rsidRDefault="00977AA2" w:rsidP="00977AA2">
      <w:pPr>
        <w:jc w:val="both"/>
      </w:pPr>
    </w:p>
    <w:p w14:paraId="091DD1BC" w14:textId="77777777" w:rsidR="00070252" w:rsidRPr="00977AA2" w:rsidRDefault="00070252" w:rsidP="00977AA2">
      <w:pPr>
        <w:jc w:val="both"/>
      </w:pPr>
      <w:r w:rsidRPr="00977AA2">
        <w:t>Ak na spolufinancovanie nie sú oprávnené všetky investičné výdavky, čistý príjem sa úmerne rozdelí na oprávnenú a neoprávnenú časť výdavkov.</w:t>
      </w:r>
    </w:p>
    <w:p w14:paraId="5803C295" w14:textId="77777777" w:rsidR="00070252" w:rsidRPr="00977AA2" w:rsidRDefault="00070252" w:rsidP="00977AA2">
      <w:pPr>
        <w:jc w:val="both"/>
      </w:pPr>
    </w:p>
    <w:p w14:paraId="234CAB31" w14:textId="4DA70370" w:rsidR="00070252" w:rsidRDefault="00070252" w:rsidP="00977AA2">
      <w:pPr>
        <w:jc w:val="both"/>
      </w:pPr>
      <w:r w:rsidRPr="00977AA2">
        <w:t>Prijímateľ má povinnosť monitorovať iné</w:t>
      </w:r>
      <w:r w:rsidR="00A417AA">
        <w:t xml:space="preserve"> čisté</w:t>
      </w:r>
      <w:r w:rsidRPr="00977AA2">
        <w:t xml:space="preserve"> peňažné príjmy po dobu realizácie projektu</w:t>
      </w:r>
      <w:r w:rsidR="00A417AA">
        <w:t xml:space="preserve"> (v</w:t>
      </w:r>
      <w:r w:rsidR="00A75416">
        <w:t> </w:t>
      </w:r>
      <w:r w:rsidR="00A417AA">
        <w:t>záverečnej monitorovacej správe)</w:t>
      </w:r>
      <w:r w:rsidRPr="00977AA2">
        <w:t xml:space="preserve"> rovnako ako odpočítať IPP od oprávnených výdavkov projektu.</w:t>
      </w:r>
    </w:p>
    <w:p w14:paraId="4F504134" w14:textId="77777777" w:rsidR="00070252" w:rsidRDefault="00070252" w:rsidP="00070252"/>
    <w:p w14:paraId="54E24FE4" w14:textId="77777777" w:rsidR="00070252" w:rsidRDefault="00070252" w:rsidP="00977AA2">
      <w:pPr>
        <w:jc w:val="both"/>
      </w:pPr>
      <w:r>
        <w:t>Táto povinnosť sa nevzťahuje na:</w:t>
      </w:r>
    </w:p>
    <w:p w14:paraId="091FBC2B" w14:textId="77777777" w:rsidR="00070252" w:rsidRDefault="00070252" w:rsidP="00AA1DEA">
      <w:pPr>
        <w:pStyle w:val="Odsekzoznamu"/>
        <w:numPr>
          <w:ilvl w:val="0"/>
          <w:numId w:val="54"/>
        </w:numPr>
        <w:spacing w:before="200" w:after="200"/>
        <w:jc w:val="both"/>
      </w:pPr>
      <w:r>
        <w:t xml:space="preserve">technickú pomoc; </w:t>
      </w:r>
    </w:p>
    <w:p w14:paraId="21826509" w14:textId="77777777" w:rsidR="00070252" w:rsidRDefault="00070252" w:rsidP="00AA1DEA">
      <w:pPr>
        <w:pStyle w:val="Odsekzoznamu"/>
        <w:numPr>
          <w:ilvl w:val="0"/>
          <w:numId w:val="54"/>
        </w:numPr>
        <w:spacing w:before="200" w:after="200"/>
        <w:jc w:val="both"/>
      </w:pPr>
      <w:r>
        <w:t xml:space="preserve">finančné nástroje; </w:t>
      </w:r>
    </w:p>
    <w:p w14:paraId="226AD294" w14:textId="77777777" w:rsidR="00070252" w:rsidRDefault="00070252" w:rsidP="00AA1DEA">
      <w:pPr>
        <w:pStyle w:val="Odsekzoznamu"/>
        <w:numPr>
          <w:ilvl w:val="0"/>
          <w:numId w:val="54"/>
        </w:numPr>
        <w:spacing w:before="200" w:after="200"/>
        <w:jc w:val="both"/>
      </w:pPr>
      <w:r>
        <w:t xml:space="preserve">návratnú pomoc, na ktorú sa vzťahuje povinnosť úplného splatenia; </w:t>
      </w:r>
    </w:p>
    <w:p w14:paraId="771D361A" w14:textId="77777777" w:rsidR="00070252" w:rsidRDefault="00070252" w:rsidP="00AA1DEA">
      <w:pPr>
        <w:pStyle w:val="Odsekzoznamu"/>
        <w:numPr>
          <w:ilvl w:val="0"/>
          <w:numId w:val="54"/>
        </w:numPr>
        <w:spacing w:before="200" w:after="200"/>
        <w:jc w:val="both"/>
      </w:pPr>
      <w:r>
        <w:t xml:space="preserve">ceny, </w:t>
      </w:r>
    </w:p>
    <w:p w14:paraId="36B18872" w14:textId="77777777" w:rsidR="00070252" w:rsidRDefault="00070252" w:rsidP="00AA1DEA">
      <w:pPr>
        <w:pStyle w:val="Odsekzoznamu"/>
        <w:numPr>
          <w:ilvl w:val="0"/>
          <w:numId w:val="54"/>
        </w:numPr>
        <w:spacing w:before="200" w:after="200"/>
        <w:jc w:val="both"/>
      </w:pPr>
      <w:r>
        <w:t xml:space="preserve">operácie, na ktoré sa vzťahujú pravidlá o štátnej pomoci, </w:t>
      </w:r>
    </w:p>
    <w:p w14:paraId="53CC40C6" w14:textId="77777777" w:rsidR="00070252" w:rsidRDefault="00070252" w:rsidP="00AA1DEA">
      <w:pPr>
        <w:pStyle w:val="Odsekzoznamu"/>
        <w:numPr>
          <w:ilvl w:val="0"/>
          <w:numId w:val="54"/>
        </w:numPr>
        <w:spacing w:before="200" w:after="200"/>
        <w:jc w:val="both"/>
      </w:pPr>
      <w:r>
        <w:t>projekty, v súvislosti s ktorými sa verejná podpora poskytuje vo forme paušálnych súm alebo štandardnej stupnice jednotkových výda</w:t>
      </w:r>
      <w:r w:rsidR="0006033D">
        <w:t xml:space="preserve">vkov pod podmienkou, že  čisté </w:t>
      </w:r>
      <w:r>
        <w:t xml:space="preserve">príjmy sa vzali do úvahy ex ante, </w:t>
      </w:r>
    </w:p>
    <w:p w14:paraId="5DDDD115" w14:textId="77777777" w:rsidR="00070252" w:rsidRDefault="00070252" w:rsidP="00AA1DEA">
      <w:pPr>
        <w:pStyle w:val="Odsekzoznamu"/>
        <w:numPr>
          <w:ilvl w:val="0"/>
          <w:numId w:val="54"/>
        </w:numPr>
        <w:spacing w:before="200" w:after="200"/>
        <w:jc w:val="both"/>
      </w:pPr>
      <w:r>
        <w:t>projekty realizované v rámc</w:t>
      </w:r>
      <w:r w:rsidR="0006033D">
        <w:t xml:space="preserve">i spoločného akčného plánu pod </w:t>
      </w:r>
      <w:r>
        <w:t xml:space="preserve">podmienkou, že  čisté príjmy sa vzali do úvahy ex ante, </w:t>
      </w:r>
    </w:p>
    <w:p w14:paraId="21AAF4B6" w14:textId="1B3BC06C" w:rsidR="00070252" w:rsidRDefault="00070252" w:rsidP="004B11F9">
      <w:pPr>
        <w:pStyle w:val="Odsekzoznamu"/>
        <w:numPr>
          <w:ilvl w:val="0"/>
          <w:numId w:val="54"/>
        </w:numPr>
        <w:spacing w:before="200" w:after="200"/>
        <w:jc w:val="both"/>
      </w:pPr>
      <w:r>
        <w:t>projekty, pre ktoré sú sumy alebo sadzby podpory vymedzené v prílohe II k</w:t>
      </w:r>
      <w:r w:rsidR="00A75416">
        <w:t> </w:t>
      </w:r>
      <w:r>
        <w:t>nariadeniu o</w:t>
      </w:r>
      <w:r w:rsidR="004B11F9">
        <w:t> </w:t>
      </w:r>
      <w:r>
        <w:t>EPFRV</w:t>
      </w:r>
      <w:r w:rsidR="004B11F9">
        <w:t xml:space="preserve"> alebo v nariadení o ENRF, s výnimkou tých projektov, </w:t>
      </w:r>
      <w:r w:rsidR="004B11F9" w:rsidRPr="006B1363">
        <w:rPr>
          <w:rFonts w:eastAsia="Arial Unicode MS"/>
          <w:color w:val="000000"/>
        </w:rPr>
        <w:t>v prípade ktorých sa v nariadení o ENRF odkazuje na odsek 8, článok 65 všeobecného nariadenia</w:t>
      </w:r>
      <w:r>
        <w:t xml:space="preserve"> alebo projekty, ktorých celkové</w:t>
      </w:r>
      <w:r w:rsidR="0006033D">
        <w:t xml:space="preserve"> oprávnené výdavky nepresahujú </w:t>
      </w:r>
      <w:r w:rsidR="004B11F9">
        <w:t>10</w:t>
      </w:r>
      <w:r>
        <w:t>0 000 EUR.</w:t>
      </w:r>
    </w:p>
    <w:p w14:paraId="367ABB0A" w14:textId="61E97CDC" w:rsidR="00070252" w:rsidRPr="00F94F1D" w:rsidRDefault="00F94F1D" w:rsidP="00F94F1D">
      <w:pPr>
        <w:pStyle w:val="MPCKO2"/>
        <w:ind w:left="462" w:hanging="462"/>
      </w:pPr>
      <w:bookmarkStart w:id="69" w:name="_Toc527539389"/>
      <w:r>
        <w:t>5</w:t>
      </w:r>
      <w:r w:rsidR="00070252" w:rsidRPr="00F94F1D">
        <w:t xml:space="preserve">.2 </w:t>
      </w:r>
      <w:r w:rsidR="00130E2B" w:rsidRPr="00130E2B">
        <w:t>Projekty</w:t>
      </w:r>
      <w:r w:rsidR="00130E2B">
        <w:t xml:space="preserve"> s celkovými oprávnenými výdavkami pod </w:t>
      </w:r>
      <w:r w:rsidR="00294972">
        <w:t>10</w:t>
      </w:r>
      <w:r w:rsidR="00130E2B">
        <w:t>0 000 EUR</w:t>
      </w:r>
      <w:bookmarkEnd w:id="69"/>
    </w:p>
    <w:p w14:paraId="1D664F11" w14:textId="77777777" w:rsidR="00070252" w:rsidRDefault="00070252" w:rsidP="00070252">
      <w:pPr>
        <w:rPr>
          <w:highlight w:val="yellow"/>
        </w:rPr>
      </w:pPr>
    </w:p>
    <w:p w14:paraId="78F4103F" w14:textId="0E00C483" w:rsidR="00070252" w:rsidRPr="00251B87" w:rsidRDefault="00070252" w:rsidP="00F639D8">
      <w:pPr>
        <w:jc w:val="both"/>
      </w:pPr>
      <w:r w:rsidRPr="00977AA2">
        <w:t xml:space="preserve">Zohľadnenie príjmov u projektov s </w:t>
      </w:r>
      <w:r w:rsidR="00F639D8" w:rsidRPr="00977AA2">
        <w:t>celkovými oprávnenými výdavkami</w:t>
      </w:r>
      <w:r w:rsidR="00130E2B" w:rsidRPr="00977AA2">
        <w:t xml:space="preserve"> nižším</w:t>
      </w:r>
      <w:r w:rsidR="00F639D8" w:rsidRPr="00977AA2">
        <w:t>i</w:t>
      </w:r>
      <w:r w:rsidR="00130E2B" w:rsidRPr="00977AA2">
        <w:t xml:space="preserve"> ako </w:t>
      </w:r>
      <w:r w:rsidR="00294972">
        <w:t>10</w:t>
      </w:r>
      <w:r w:rsidRPr="00977AA2">
        <w:t>0 000 eur je v kompetencii riadiaceho orgánu. Z dokumentov Európskej komisie nie je obligatórne vyžadované ich zohľadnenie a monitorovanie. Odporúčame peňažné príjmy vytvorené v súvislosti s projektom sledovať a zohľadniť pri výpočte NFP ak dosiahnu podstatných hodnôt. Za "dosiahnutie podstatnej hodnoty" pritom možno pokladať situáciu, kedy príjmy vyvolané projektom prevýšia prevádzkové výdavky projektu.</w:t>
      </w:r>
    </w:p>
    <w:p w14:paraId="46202F42" w14:textId="77777777" w:rsidR="00070252" w:rsidRPr="006A5294" w:rsidRDefault="009A0FAA" w:rsidP="009A0FAA">
      <w:pPr>
        <w:pStyle w:val="MPCKO1"/>
        <w:ind w:left="284" w:hanging="284"/>
      </w:pPr>
      <w:bookmarkStart w:id="70" w:name="_Toc406160877"/>
      <w:bookmarkStart w:id="71" w:name="_Toc406160967"/>
      <w:bookmarkStart w:id="72" w:name="_Toc527539390"/>
      <w:r>
        <w:t>6 Analýza finančného zdravia žiadateľa o NFP</w:t>
      </w:r>
      <w:bookmarkEnd w:id="70"/>
      <w:bookmarkEnd w:id="71"/>
      <w:bookmarkEnd w:id="72"/>
    </w:p>
    <w:p w14:paraId="5BC1BFE1" w14:textId="77777777" w:rsidR="00070252" w:rsidRDefault="00F94F1D" w:rsidP="006A5294">
      <w:pPr>
        <w:pStyle w:val="MPCKO2"/>
      </w:pPr>
      <w:bookmarkStart w:id="73" w:name="_Toc406160878"/>
      <w:bookmarkStart w:id="74" w:name="_Toc406160968"/>
      <w:bookmarkStart w:id="75" w:name="_Toc527539391"/>
      <w:r>
        <w:t>6</w:t>
      </w:r>
      <w:r w:rsidR="00070252">
        <w:t>.1</w:t>
      </w:r>
      <w:r w:rsidR="00070252">
        <w:tab/>
        <w:t>Finančná analýza žiadateľov z verejnej správy</w:t>
      </w:r>
      <w:bookmarkEnd w:id="73"/>
      <w:bookmarkEnd w:id="74"/>
      <w:bookmarkEnd w:id="75"/>
    </w:p>
    <w:p w14:paraId="32EB10D4" w14:textId="77777777" w:rsidR="00070252" w:rsidRDefault="00070252" w:rsidP="00070252"/>
    <w:p w14:paraId="7EF152AE" w14:textId="4E7F9D4C" w:rsidR="00070252" w:rsidRDefault="00070252" w:rsidP="00070252">
      <w:pPr>
        <w:jc w:val="both"/>
      </w:pPr>
      <w:r>
        <w:lastRenderedPageBreak/>
        <w:t>Pre dôveryhodné preukázanie schopnosti žiadateľa (obce alebo združenia obcí) zabezpečiť finančnú udržateľnosť výstupov projektov z vlastných zdrojov v budúcom období, a to aj po</w:t>
      </w:r>
      <w:r w:rsidR="00A75416">
        <w:t> </w:t>
      </w:r>
      <w:r>
        <w:t>ukončení čerpania nenávratného finančného príspevku je potrebná finančná analýza žiadateľa.</w:t>
      </w:r>
    </w:p>
    <w:p w14:paraId="0AFDC9DC" w14:textId="77777777" w:rsidR="00070252" w:rsidRDefault="00070252" w:rsidP="00070252">
      <w:pPr>
        <w:jc w:val="both"/>
      </w:pPr>
    </w:p>
    <w:p w14:paraId="4535BF15" w14:textId="77777777" w:rsidR="00070252" w:rsidRDefault="00070252" w:rsidP="00070252">
      <w:pPr>
        <w:jc w:val="both"/>
      </w:pPr>
      <w:r>
        <w:t>Štandardné metódy finančnej analýzy, používané predovšetkým na hodnotenie podnikateľských subjektov, môžu mať vzhľadom na špecifické postavenie obcí nižšiu alebo skreslenú vypovedaciu schopnosť. Pri preukazovaní schopnosti žiadateľa zabezpečiť dlhodobú finančnú udržateľnosť projektu, je potrebné zohľadniť aj náležitosti vyplývajúce z príslušných právnych predpisov vzťahujúcich sa k hospodáreniu obcí (napr. Zákon 583/2004 Z. z. o rozpočtových pravidlách územnej samosprávy a doplnení niektorých zákonov).</w:t>
      </w:r>
    </w:p>
    <w:p w14:paraId="39F07161" w14:textId="77777777" w:rsidR="00070252" w:rsidRDefault="00070252" w:rsidP="00070252">
      <w:pPr>
        <w:jc w:val="both"/>
      </w:pPr>
    </w:p>
    <w:p w14:paraId="583A6D87" w14:textId="77777777" w:rsidR="00070252" w:rsidRDefault="00070252" w:rsidP="00070252">
      <w:pPr>
        <w:jc w:val="both"/>
      </w:pPr>
      <w:r>
        <w:t>Obec a vyšší územný celok môžu na plnenie svojich úloh prijať návratné zdroje financovania, len ak celková suma dlhu obce alebo vyššieho územného celku neprekročí 60 % skutočných bežných príjmov predchádzajúceho rozpočtového roka a suma ročných splátok návratných zdrojov financovania vrátane úhrady výnosov neprekročí 25 % skutočných bežných príjmov predchádzajúceho rozpočtového roka.</w:t>
      </w:r>
    </w:p>
    <w:p w14:paraId="5488C555" w14:textId="77777777" w:rsidR="00070252" w:rsidRDefault="00070252" w:rsidP="00070252">
      <w:pPr>
        <w:jc w:val="both"/>
      </w:pPr>
    </w:p>
    <w:p w14:paraId="1E07404C" w14:textId="77777777" w:rsidR="00070252" w:rsidRDefault="00070252" w:rsidP="00070252">
      <w:pPr>
        <w:jc w:val="both"/>
      </w:pPr>
      <w:r>
        <w:t>Relevantnými východiskovými podkladmi pre hodnotenie situácie jednotlivých žiadateľov môžu byť výkazy o plnení rozpočtu obce za predchádzajúce obdobia</w:t>
      </w:r>
      <w:r w:rsidR="00074804">
        <w:t xml:space="preserve"> (</w:t>
      </w:r>
      <w:r w:rsidR="00074804" w:rsidRPr="00074804">
        <w:t xml:space="preserve">tri ukončené účtovné obdobia </w:t>
      </w:r>
      <w:r w:rsidR="00514F85" w:rsidRPr="00074804">
        <w:t>predchádzajúce</w:t>
      </w:r>
      <w:r w:rsidR="00074804" w:rsidRPr="00074804">
        <w:t xml:space="preserve"> dátumu predloženia žiadosti o nenávratný finančný príspevok</w:t>
      </w:r>
      <w:r w:rsidR="00074804">
        <w:t>)</w:t>
      </w:r>
      <w:r>
        <w:t>, záverečný účet obce schválený obecným zastupiteľstvom, výhľady na nasledujúce obdobia a pod. Uvedené údaje by mali obsahovať aj stručnú textovú časť s popisom dosiahnutých ukazovateľov, resp. stavu obecného hospodárenia tak, aby bolo možné získať predstavu o predpokladanom vývoji obecných financií (predpokladaný nárast bežných výdavkov, plánované investície, odhad vývoja príjmov – miestne dane, poplatky, nedaňové príjmy, mimorozpočtové príjmy, tvorba peňažných fondov, rezervného fondu, rozhodnutia zastupiteľstva o použití fondov, predpokladané zmeny v legislatíve a pod.).</w:t>
      </w:r>
    </w:p>
    <w:p w14:paraId="173A6519" w14:textId="77777777" w:rsidR="00070252" w:rsidRDefault="00070252" w:rsidP="00070252">
      <w:pPr>
        <w:jc w:val="both"/>
      </w:pPr>
    </w:p>
    <w:p w14:paraId="3645407B" w14:textId="13652270" w:rsidR="00070252" w:rsidRDefault="00070252" w:rsidP="00070252">
      <w:pPr>
        <w:jc w:val="both"/>
      </w:pPr>
      <w:r>
        <w:t>V prípadoch, kedy sú žiadateľmi o nenávratný finančný príspevok účelové novozaložené združenia obcí (iné účelovo novozaložené právnické osoby neakceptujeme), môže byť schopnosť žiadateľa zabezpečiť udržateľnosť výstupu projektu preukázaná finančnými analýzami jednotlivých zúčastnených obcí a uzneseniami obecných zastupiteľstiev zaväzujúcimi obce podieľať sa na dostatočnej tvorbe zdrojov združenia obcí (napr. členskými príspevkami). V prípade, že žiadateľom o nenávratný finančný príspevok z fondov Európskej únie je združenie obcí, musí sa toto združenie spoločne dohodnúť na jednom konkrétnom subjekte – v našom prípade určiť konkrétnu obec, ktorá bude garantovať 5</w:t>
      </w:r>
      <w:r w:rsidR="00FB4864">
        <w:t xml:space="preserve"> </w:t>
      </w:r>
      <w:r>
        <w:t xml:space="preserve">% spolufinancovanie projektu a s ktorým bude uzatvorená zmluva. </w:t>
      </w:r>
    </w:p>
    <w:p w14:paraId="19C784B4" w14:textId="77777777" w:rsidR="00070252" w:rsidRDefault="00070252" w:rsidP="00070252">
      <w:pPr>
        <w:jc w:val="both"/>
      </w:pPr>
    </w:p>
    <w:p w14:paraId="163AB4F3" w14:textId="77777777" w:rsidR="00070252" w:rsidRDefault="00070252" w:rsidP="00070252">
      <w:pPr>
        <w:jc w:val="both"/>
      </w:pPr>
      <w:r>
        <w:t>Finančná analýza žiadateľa z verejného sektora využíva nasledujúce pomerové finančné ukazovatele:</w:t>
      </w:r>
    </w:p>
    <w:p w14:paraId="653C93A9" w14:textId="77777777" w:rsidR="00070252" w:rsidRDefault="00070252" w:rsidP="00070252"/>
    <w:p w14:paraId="5FF99BE0" w14:textId="77777777" w:rsidR="00070252" w:rsidRDefault="00070252" w:rsidP="007C2172">
      <w:pPr>
        <w:numPr>
          <w:ilvl w:val="0"/>
          <w:numId w:val="6"/>
        </w:numPr>
        <w:suppressAutoHyphens/>
        <w:overflowPunct w:val="0"/>
        <w:autoSpaceDE w:val="0"/>
        <w:jc w:val="both"/>
        <w:textAlignment w:val="baseline"/>
        <w:rPr>
          <w:b/>
        </w:rPr>
      </w:pPr>
      <w:r>
        <w:rPr>
          <w:b/>
        </w:rPr>
        <w:t>Ukazovatele likvidity</w:t>
      </w:r>
    </w:p>
    <w:p w14:paraId="05DDC648" w14:textId="77777777" w:rsidR="00070252" w:rsidRDefault="00070252" w:rsidP="00070252"/>
    <w:p w14:paraId="280C6CD5" w14:textId="77777777" w:rsidR="00070252" w:rsidRDefault="00070252" w:rsidP="00070252">
      <w:pPr>
        <w:jc w:val="both"/>
      </w:pPr>
      <w:r>
        <w:rPr>
          <w:b/>
        </w:rPr>
        <w:t>Likvidita 1. stupňa</w:t>
      </w:r>
      <w:r>
        <w:t xml:space="preserve">   =   Finančný majetok / krátkodobé záväzky</w:t>
      </w:r>
    </w:p>
    <w:p w14:paraId="7FB7F573" w14:textId="77777777" w:rsidR="00070252" w:rsidRDefault="00070252" w:rsidP="00070252">
      <w:pPr>
        <w:jc w:val="both"/>
      </w:pPr>
      <w:r>
        <w:t xml:space="preserve">Likvidita 1.stupňa nazývaná tiež pohotová likvidita je zabezpečená vtedy, keď na 1 </w:t>
      </w:r>
      <w:r w:rsidR="001A0943">
        <w:t>eur</w:t>
      </w:r>
      <w:r>
        <w:t xml:space="preserve"> krátkodobých záväzkov pripadá najmenej 20 </w:t>
      </w:r>
      <w:r w:rsidR="001A0943">
        <w:t>centov</w:t>
      </w:r>
      <w:r>
        <w:t xml:space="preserve"> peňažných prostriedkov. To znamená, že výsledky pohotovej likvidity by mali dosahovať hodnoty od 0,2 do 0,5.</w:t>
      </w:r>
    </w:p>
    <w:p w14:paraId="4F504752" w14:textId="77777777" w:rsidR="00070252" w:rsidRDefault="00070252" w:rsidP="00070252">
      <w:pPr>
        <w:jc w:val="both"/>
      </w:pPr>
    </w:p>
    <w:p w14:paraId="55CCE915" w14:textId="77777777" w:rsidR="00070252" w:rsidRDefault="00070252" w:rsidP="00070252">
      <w:pPr>
        <w:jc w:val="both"/>
      </w:pPr>
      <w:r>
        <w:t>Krátkodobé záväzky je položka čerpaná zo Súvahy a predstavuje súčet všetkých krátkodobých záväzkov, napr. záväzky voči zamestnancom.</w:t>
      </w:r>
    </w:p>
    <w:p w14:paraId="3116B1BB" w14:textId="77777777" w:rsidR="00070252" w:rsidRDefault="00070252" w:rsidP="00070252">
      <w:pPr>
        <w:jc w:val="both"/>
      </w:pPr>
    </w:p>
    <w:p w14:paraId="4EAD2A60" w14:textId="77777777" w:rsidR="00070252" w:rsidRDefault="00070252" w:rsidP="00070252">
      <w:pPr>
        <w:jc w:val="both"/>
      </w:pPr>
      <w:r>
        <w:rPr>
          <w:b/>
        </w:rPr>
        <w:t>Likvidita 2.stupňa</w:t>
      </w:r>
      <w:r>
        <w:t xml:space="preserve">   =   (Finančný majetok + krát. pohľadávky) / krátkodobé záväzky</w:t>
      </w:r>
    </w:p>
    <w:p w14:paraId="643F7DBD" w14:textId="10C23FEF" w:rsidR="00070252" w:rsidRDefault="00070252" w:rsidP="00070252">
      <w:pPr>
        <w:jc w:val="both"/>
      </w:pPr>
      <w:r>
        <w:t>Ukazovateľ likvidity 2.stupňa, nazývaný taktiež bežná likvidita nám vypovedá o schopnosti hradiť záväzky, pričom rozširuje výpočet pohotovej likvidity o hodnotu krátkodobých pohľadávok. Výsledky likvidity 2.stupňa by mali dosahovať hodnoty od 1,0 do 1,5. V</w:t>
      </w:r>
      <w:r w:rsidR="00A75416">
        <w:t> </w:t>
      </w:r>
      <w:r>
        <w:t>intervale 0,85 -1 je likvidita 2. stupňa tesná. Pod 0,85 je nepostačujúca.</w:t>
      </w:r>
    </w:p>
    <w:p w14:paraId="72C7A5D5" w14:textId="77777777" w:rsidR="00070252" w:rsidRDefault="00070252" w:rsidP="00070252">
      <w:pPr>
        <w:jc w:val="both"/>
      </w:pPr>
    </w:p>
    <w:p w14:paraId="7031C4FA" w14:textId="77777777" w:rsidR="00070252" w:rsidRDefault="00070252" w:rsidP="00070252">
      <w:pPr>
        <w:jc w:val="both"/>
      </w:pPr>
      <w:r>
        <w:rPr>
          <w:b/>
        </w:rPr>
        <w:t>Likvidita 3.stupňa</w:t>
      </w:r>
      <w:r>
        <w:t xml:space="preserve">   =   obežné aktíva / krátkodobé  záväzky</w:t>
      </w:r>
    </w:p>
    <w:p w14:paraId="405E9A8A" w14:textId="071B66B4" w:rsidR="00070252" w:rsidRDefault="00070252" w:rsidP="00070252">
      <w:pPr>
        <w:jc w:val="both"/>
      </w:pPr>
      <w:r>
        <w:t>Ukazovateľ likvidity 3.stupňa, nazývaný taktiež celková likvidita nám vypovedá o schopnosti hradiť záväzky, pričom rozširuje výpočet bežnej likvidity o vplyv zásob. Výsledky likvidity 3.stupňa by mali dosahovať hodnoty od 1,5 do 2,5. V intervale 1,35 – 1,5 je L3 tesná. Pod</w:t>
      </w:r>
      <w:r w:rsidR="00A75416">
        <w:t> </w:t>
      </w:r>
      <w:r>
        <w:t>1,35 je nepostačujúca.</w:t>
      </w:r>
    </w:p>
    <w:p w14:paraId="085B7362" w14:textId="77777777" w:rsidR="00070252" w:rsidRDefault="00070252" w:rsidP="00070252">
      <w:pPr>
        <w:jc w:val="both"/>
      </w:pPr>
    </w:p>
    <w:p w14:paraId="37662283" w14:textId="77777777" w:rsidR="00070252" w:rsidRDefault="00070252" w:rsidP="00070252">
      <w:pPr>
        <w:jc w:val="both"/>
      </w:pPr>
      <w:r>
        <w:t>Obežné aktíva je položka čerpaná zo Súvahy. Súčasťou obežných aktív sú zásoby, dlhodobé pohľadávky, krátkodobé pohľadávky a finančný majetok.</w:t>
      </w:r>
    </w:p>
    <w:p w14:paraId="6446BFFF" w14:textId="77777777" w:rsidR="00070252" w:rsidRDefault="00070252" w:rsidP="00070252"/>
    <w:p w14:paraId="094093A0" w14:textId="77777777" w:rsidR="00070252" w:rsidRDefault="00070252" w:rsidP="007C2172">
      <w:pPr>
        <w:numPr>
          <w:ilvl w:val="0"/>
          <w:numId w:val="6"/>
        </w:numPr>
        <w:suppressAutoHyphens/>
        <w:overflowPunct w:val="0"/>
        <w:autoSpaceDE w:val="0"/>
        <w:jc w:val="both"/>
        <w:textAlignment w:val="baseline"/>
        <w:rPr>
          <w:b/>
        </w:rPr>
      </w:pPr>
      <w:r>
        <w:rPr>
          <w:b/>
        </w:rPr>
        <w:t>Ukazovatele zadlženosti</w:t>
      </w:r>
    </w:p>
    <w:p w14:paraId="0D6C0984" w14:textId="77777777" w:rsidR="00070252" w:rsidRDefault="00070252" w:rsidP="00070252"/>
    <w:p w14:paraId="04B5BCC3" w14:textId="087EE67C" w:rsidR="00070252" w:rsidRDefault="00070252" w:rsidP="00070252">
      <w:pPr>
        <w:jc w:val="both"/>
      </w:pPr>
      <w:r>
        <w:rPr>
          <w:b/>
        </w:rPr>
        <w:t xml:space="preserve">Ukazovateľ </w:t>
      </w:r>
      <w:r w:rsidR="002C6241">
        <w:rPr>
          <w:b/>
        </w:rPr>
        <w:t>celkovej zadĺženosti</w:t>
      </w:r>
      <w:r>
        <w:t xml:space="preserve"> =   (</w:t>
      </w:r>
      <w:r w:rsidR="002C6241">
        <w:t>záväzky celkom</w:t>
      </w:r>
      <w:r>
        <w:t xml:space="preserve"> / aktíva celkom) x 100</w:t>
      </w:r>
    </w:p>
    <w:p w14:paraId="4B1733F8" w14:textId="29E6E4DA" w:rsidR="00070252" w:rsidRDefault="00070252" w:rsidP="00070252">
      <w:pPr>
        <w:jc w:val="both"/>
      </w:pPr>
      <w:r>
        <w:t>Odporúča sa, aby podiel nepresiahol 50</w:t>
      </w:r>
      <w:r w:rsidR="00FB4864">
        <w:t xml:space="preserve"> </w:t>
      </w:r>
      <w:r>
        <w:t xml:space="preserve">%. Vysoká hodnota zvyšuje tlak na zvýšenie podielu vlastného imania v pasívach. </w:t>
      </w:r>
    </w:p>
    <w:p w14:paraId="54319499" w14:textId="77777777" w:rsidR="00070252" w:rsidRDefault="00070252" w:rsidP="00070252">
      <w:pPr>
        <w:jc w:val="both"/>
      </w:pPr>
    </w:p>
    <w:p w14:paraId="6919716B" w14:textId="07130257" w:rsidR="00070252" w:rsidRDefault="00070252" w:rsidP="00070252">
      <w:pPr>
        <w:jc w:val="both"/>
      </w:pPr>
    </w:p>
    <w:p w14:paraId="1021146E" w14:textId="77777777" w:rsidR="00070252" w:rsidRDefault="00070252" w:rsidP="00070252">
      <w:pPr>
        <w:jc w:val="both"/>
        <w:rPr>
          <w:b/>
        </w:rPr>
      </w:pPr>
    </w:p>
    <w:p w14:paraId="4A3ACF32" w14:textId="710BF884" w:rsidR="00070252" w:rsidRDefault="00070252" w:rsidP="00070252">
      <w:pPr>
        <w:jc w:val="both"/>
      </w:pPr>
    </w:p>
    <w:p w14:paraId="4D2B9D83" w14:textId="77777777" w:rsidR="00070252" w:rsidRPr="0071412C" w:rsidRDefault="00F94F1D" w:rsidP="006A5294">
      <w:pPr>
        <w:pStyle w:val="MPCKO2"/>
      </w:pPr>
      <w:bookmarkStart w:id="76" w:name="_Toc406160879"/>
      <w:bookmarkStart w:id="77" w:name="_Toc406160969"/>
      <w:bookmarkStart w:id="78" w:name="_Toc527539392"/>
      <w:r>
        <w:t>6</w:t>
      </w:r>
      <w:r w:rsidR="0071412C">
        <w:t>.2</w:t>
      </w:r>
      <w:r w:rsidR="0071412C">
        <w:tab/>
      </w:r>
      <w:r w:rsidR="00070252" w:rsidRPr="0071412C">
        <w:t>Finančná analýza žiadateľov zo súkromnej sféry</w:t>
      </w:r>
      <w:bookmarkEnd w:id="76"/>
      <w:bookmarkEnd w:id="77"/>
      <w:bookmarkEnd w:id="78"/>
    </w:p>
    <w:p w14:paraId="1D467718" w14:textId="77777777" w:rsidR="00070252" w:rsidRDefault="00070252" w:rsidP="00070252"/>
    <w:p w14:paraId="335398A7" w14:textId="77777777" w:rsidR="00070252" w:rsidRDefault="00070252" w:rsidP="00070252">
      <w:pPr>
        <w:jc w:val="both"/>
      </w:pPr>
      <w:r>
        <w:t>Podobne aj v prípade súkromného sektora vychádzame z účtovnej závierky žiadateľa</w:t>
      </w:r>
      <w:r w:rsidR="00074804">
        <w:t xml:space="preserve"> </w:t>
      </w:r>
      <w:r w:rsidR="00074804" w:rsidRPr="00074804">
        <w:t xml:space="preserve">za tri ukončené účtovné obdobia </w:t>
      </w:r>
      <w:r w:rsidR="00514F85" w:rsidRPr="00074804">
        <w:t>predchádzajúce</w:t>
      </w:r>
      <w:r w:rsidR="00074804" w:rsidRPr="00074804">
        <w:t xml:space="preserve"> dátumu predloženia žiadosti o nenávratný finančný príspevok</w:t>
      </w:r>
      <w:r w:rsidR="00395AE0">
        <w:t xml:space="preserve"> </w:t>
      </w:r>
      <w:r>
        <w:t xml:space="preserve">(súvaha, výkaz ziskov a strát). Viacrozmerné modely pri finančnej analýze žiadateľa zahŕňajú pri predikcii vývoja podniku viac pomerových finančných ukazovateľov, ktoré predstavujú jednoduché charakteristiky podnikovej činnosti, ktorým sa prisudzujú váhy významu. Medzi najčastejšie používaný model tejto analýzy patrí Altmanov model, ktorý používa 5 finančných ukazovateľov na predpovedanie finančného vývoja podniku: </w:t>
      </w:r>
    </w:p>
    <w:p w14:paraId="29141CB4" w14:textId="77777777" w:rsidR="00070252" w:rsidRDefault="00070252" w:rsidP="007C2172">
      <w:pPr>
        <w:pStyle w:val="Zkladntext"/>
        <w:numPr>
          <w:ilvl w:val="0"/>
          <w:numId w:val="5"/>
        </w:numPr>
        <w:spacing w:after="0"/>
      </w:pPr>
      <w:r>
        <w:t>X1 = Pracovný kapitál / celkový kapitál</w:t>
      </w:r>
    </w:p>
    <w:p w14:paraId="039DFDA9" w14:textId="77777777" w:rsidR="00070252" w:rsidRDefault="00070252" w:rsidP="007C2172">
      <w:pPr>
        <w:pStyle w:val="Zkladntext"/>
        <w:numPr>
          <w:ilvl w:val="0"/>
          <w:numId w:val="5"/>
        </w:numPr>
        <w:spacing w:after="0"/>
      </w:pPr>
      <w:r>
        <w:t>X2 = Nerozdelený zisk / celkový kapitál</w:t>
      </w:r>
      <w:r>
        <w:tab/>
      </w:r>
    </w:p>
    <w:p w14:paraId="5F18EED2" w14:textId="77777777" w:rsidR="00070252" w:rsidRDefault="00070252" w:rsidP="007C2172">
      <w:pPr>
        <w:pStyle w:val="Zkladntext"/>
        <w:numPr>
          <w:ilvl w:val="0"/>
          <w:numId w:val="5"/>
        </w:numPr>
        <w:spacing w:after="0"/>
      </w:pPr>
      <w:r>
        <w:t>X3 = (Zisk pred zdanením + Úroky ) / celkový kapitál</w:t>
      </w:r>
    </w:p>
    <w:p w14:paraId="5A8ED17E" w14:textId="77777777" w:rsidR="00070252" w:rsidRDefault="00070252" w:rsidP="007C2172">
      <w:pPr>
        <w:pStyle w:val="Zkladntext"/>
        <w:numPr>
          <w:ilvl w:val="0"/>
          <w:numId w:val="5"/>
        </w:numPr>
        <w:spacing w:after="0"/>
      </w:pPr>
      <w:r>
        <w:t>X4 = Trhová hodnota vlastného kapitálu (trhová cena akcií) / Cudzí kapitál</w:t>
      </w:r>
    </w:p>
    <w:p w14:paraId="3407BB7F" w14:textId="77777777" w:rsidR="00070252" w:rsidRDefault="00070252" w:rsidP="007C2172">
      <w:pPr>
        <w:pStyle w:val="Zkladntext"/>
        <w:numPr>
          <w:ilvl w:val="0"/>
          <w:numId w:val="5"/>
        </w:numPr>
        <w:spacing w:after="0"/>
      </w:pPr>
      <w:r>
        <w:t>X5 = Tržby / celkový kapitál</w:t>
      </w:r>
    </w:p>
    <w:p w14:paraId="27B0C01E" w14:textId="77777777" w:rsidR="00070252" w:rsidRDefault="00070252" w:rsidP="00070252"/>
    <w:p w14:paraId="42C71597" w14:textId="77777777" w:rsidR="00070252" w:rsidRDefault="00070252" w:rsidP="00070252">
      <w:pPr>
        <w:jc w:val="both"/>
      </w:pPr>
      <w:r>
        <w:t xml:space="preserve">Na základe diskriminačnej funkcie, kde jednotlivým ukazovateľom sa prisúdia rôzne váhy a vypočítajú tzv. "Z skóre", alebo rizikový index, ktorý hovorí o budúcom možnom bankrote podniku, alebo naopak o jeho pozitívnej finančnej situácií. </w:t>
      </w:r>
    </w:p>
    <w:p w14:paraId="6A9421C3" w14:textId="77777777" w:rsidR="00070252" w:rsidRDefault="00070252" w:rsidP="00070252">
      <w:pPr>
        <w:jc w:val="both"/>
      </w:pPr>
      <w:r>
        <w:t xml:space="preserve">Diskriminačná funkcia  - </w:t>
      </w:r>
      <w:r>
        <w:rPr>
          <w:i/>
        </w:rPr>
        <w:t>pre akciové spoločnosti</w:t>
      </w:r>
      <w:r>
        <w:t>:</w:t>
      </w:r>
    </w:p>
    <w:p w14:paraId="4FE022DC" w14:textId="77777777" w:rsidR="00070252" w:rsidRDefault="00070252" w:rsidP="00070252">
      <w:pPr>
        <w:rPr>
          <w:b/>
          <w:u w:val="dotted"/>
        </w:rPr>
      </w:pPr>
    </w:p>
    <w:p w14:paraId="64A636C6" w14:textId="77777777" w:rsidR="00070252" w:rsidRDefault="00070252" w:rsidP="00070252">
      <w:pPr>
        <w:pStyle w:val="Zkladntext"/>
        <w:rPr>
          <w:b/>
        </w:rPr>
      </w:pPr>
      <w:r>
        <w:lastRenderedPageBreak/>
        <w:tab/>
      </w:r>
      <w:r>
        <w:rPr>
          <w:b/>
        </w:rPr>
        <w:t>Z = 1,2 * X1  +  1,4 * X2  +  3,3 * X3  +  0,6 * X4  +  1,0 * X5</w:t>
      </w:r>
    </w:p>
    <w:p w14:paraId="57903680" w14:textId="77777777" w:rsidR="00070252" w:rsidRDefault="00070252" w:rsidP="00070252"/>
    <w:p w14:paraId="5287ADE8" w14:textId="77777777" w:rsidR="00070252" w:rsidRDefault="00070252" w:rsidP="00070252">
      <w:r>
        <w:t>Diskriminačná funkcia  - pre ostatné spoločnosti:</w:t>
      </w:r>
    </w:p>
    <w:p w14:paraId="3A277C37" w14:textId="77777777" w:rsidR="00070252" w:rsidRDefault="00070252" w:rsidP="00070252">
      <w:pPr>
        <w:pStyle w:val="Zkladntext"/>
        <w:rPr>
          <w:b/>
        </w:rPr>
      </w:pPr>
      <w:r>
        <w:tab/>
      </w:r>
      <w:r>
        <w:rPr>
          <w:b/>
        </w:rPr>
        <w:t>Z = 0,717 * X1  +  0,847 * X2  +  3,107* X3  +  0,420 * X4  +  0,998 * X5</w:t>
      </w:r>
    </w:p>
    <w:p w14:paraId="17D52924" w14:textId="77777777" w:rsidR="00070252" w:rsidRDefault="00070252" w:rsidP="00070252">
      <w:r>
        <w:t>Z – score alebo rizikový index</w:t>
      </w:r>
    </w:p>
    <w:p w14:paraId="679817C7" w14:textId="77777777" w:rsidR="00070252" w:rsidRDefault="00070252" w:rsidP="00070252"/>
    <w:tbl>
      <w:tblPr>
        <w:tblW w:w="0" w:type="auto"/>
        <w:tblInd w:w="-5" w:type="dxa"/>
        <w:tblLayout w:type="fixed"/>
        <w:tblCellMar>
          <w:left w:w="70" w:type="dxa"/>
          <w:right w:w="70" w:type="dxa"/>
        </w:tblCellMar>
        <w:tblLook w:val="0000" w:firstRow="0" w:lastRow="0" w:firstColumn="0" w:lastColumn="0" w:noHBand="0" w:noVBand="0"/>
      </w:tblPr>
      <w:tblGrid>
        <w:gridCol w:w="5300"/>
        <w:gridCol w:w="3170"/>
        <w:gridCol w:w="1580"/>
      </w:tblGrid>
      <w:tr w:rsidR="00070252" w14:paraId="3314E4C7" w14:textId="77777777" w:rsidTr="0056666E">
        <w:trPr>
          <w:trHeight w:val="255"/>
        </w:trPr>
        <w:tc>
          <w:tcPr>
            <w:tcW w:w="5300" w:type="dxa"/>
            <w:tcBorders>
              <w:top w:val="single" w:sz="8" w:space="0" w:color="000000"/>
            </w:tcBorders>
            <w:vAlign w:val="bottom"/>
          </w:tcPr>
          <w:p w14:paraId="50D514FE" w14:textId="77777777" w:rsidR="00070252" w:rsidRDefault="00070252" w:rsidP="006A5294">
            <w:pPr>
              <w:snapToGrid w:val="0"/>
              <w:rPr>
                <w:rFonts w:ascii="Arial" w:hAnsi="Arial" w:cs="Arial"/>
                <w:b/>
                <w:bCs/>
                <w:sz w:val="20"/>
                <w:szCs w:val="20"/>
              </w:rPr>
            </w:pPr>
            <w:r>
              <w:rPr>
                <w:rFonts w:ascii="Arial" w:hAnsi="Arial" w:cs="Arial"/>
                <w:b/>
                <w:bCs/>
                <w:sz w:val="20"/>
                <w:szCs w:val="20"/>
              </w:rPr>
              <w:t>Hodnotenie</w:t>
            </w:r>
          </w:p>
        </w:tc>
        <w:tc>
          <w:tcPr>
            <w:tcW w:w="3170" w:type="dxa"/>
            <w:tcBorders>
              <w:top w:val="single" w:sz="8" w:space="0" w:color="000000"/>
              <w:left w:val="single" w:sz="8" w:space="0" w:color="000000"/>
              <w:bottom w:val="single" w:sz="4" w:space="0" w:color="000000"/>
            </w:tcBorders>
            <w:vAlign w:val="bottom"/>
          </w:tcPr>
          <w:p w14:paraId="19933D1A" w14:textId="77777777" w:rsidR="00070252" w:rsidRDefault="00070252" w:rsidP="006A5294">
            <w:pPr>
              <w:snapToGrid w:val="0"/>
              <w:rPr>
                <w:rFonts w:ascii="Arial" w:hAnsi="Arial" w:cs="Arial"/>
                <w:sz w:val="20"/>
                <w:szCs w:val="20"/>
              </w:rPr>
            </w:pPr>
            <w:r>
              <w:rPr>
                <w:rFonts w:ascii="Arial" w:hAnsi="Arial" w:cs="Arial"/>
                <w:sz w:val="20"/>
                <w:szCs w:val="20"/>
              </w:rPr>
              <w:t>Firmy</w:t>
            </w:r>
          </w:p>
        </w:tc>
        <w:tc>
          <w:tcPr>
            <w:tcW w:w="1580" w:type="dxa"/>
            <w:tcBorders>
              <w:top w:val="single" w:sz="8" w:space="0" w:color="000000"/>
              <w:left w:val="single" w:sz="8" w:space="0" w:color="000000"/>
              <w:bottom w:val="single" w:sz="4" w:space="0" w:color="000000"/>
              <w:right w:val="single" w:sz="8" w:space="0" w:color="000000"/>
            </w:tcBorders>
            <w:vAlign w:val="bottom"/>
          </w:tcPr>
          <w:p w14:paraId="409BC658" w14:textId="77777777" w:rsidR="00070252" w:rsidRDefault="00070252" w:rsidP="006A5294">
            <w:pPr>
              <w:snapToGrid w:val="0"/>
              <w:rPr>
                <w:rFonts w:ascii="Arial" w:hAnsi="Arial" w:cs="Arial"/>
                <w:sz w:val="20"/>
                <w:szCs w:val="20"/>
              </w:rPr>
            </w:pPr>
            <w:r>
              <w:rPr>
                <w:rFonts w:ascii="Arial" w:hAnsi="Arial" w:cs="Arial"/>
                <w:sz w:val="20"/>
                <w:szCs w:val="20"/>
              </w:rPr>
              <w:t> </w:t>
            </w:r>
          </w:p>
        </w:tc>
      </w:tr>
      <w:tr w:rsidR="00070252" w14:paraId="79F1381E" w14:textId="77777777" w:rsidTr="0056666E">
        <w:trPr>
          <w:trHeight w:val="270"/>
        </w:trPr>
        <w:tc>
          <w:tcPr>
            <w:tcW w:w="5300" w:type="dxa"/>
            <w:tcBorders>
              <w:bottom w:val="double" w:sz="1" w:space="0" w:color="000000"/>
            </w:tcBorders>
            <w:vAlign w:val="bottom"/>
          </w:tcPr>
          <w:p w14:paraId="439972B8" w14:textId="77777777" w:rsidR="00070252" w:rsidRDefault="00070252" w:rsidP="006A5294">
            <w:pPr>
              <w:snapToGrid w:val="0"/>
              <w:rPr>
                <w:rFonts w:ascii="Arial" w:hAnsi="Arial" w:cs="Arial"/>
                <w:sz w:val="20"/>
                <w:szCs w:val="20"/>
              </w:rPr>
            </w:pPr>
            <w:r>
              <w:rPr>
                <w:rFonts w:ascii="Arial" w:hAnsi="Arial" w:cs="Arial"/>
                <w:sz w:val="20"/>
                <w:szCs w:val="20"/>
              </w:rPr>
              <w:t> </w:t>
            </w:r>
          </w:p>
        </w:tc>
        <w:tc>
          <w:tcPr>
            <w:tcW w:w="3170" w:type="dxa"/>
            <w:tcBorders>
              <w:left w:val="single" w:sz="8" w:space="0" w:color="000000"/>
              <w:bottom w:val="double" w:sz="1" w:space="0" w:color="000000"/>
            </w:tcBorders>
            <w:vAlign w:val="bottom"/>
          </w:tcPr>
          <w:p w14:paraId="70D2E12C" w14:textId="77777777" w:rsidR="00070252" w:rsidRDefault="00070252" w:rsidP="006A5294">
            <w:pPr>
              <w:snapToGrid w:val="0"/>
              <w:rPr>
                <w:rFonts w:ascii="Arial" w:hAnsi="Arial" w:cs="Arial"/>
                <w:sz w:val="20"/>
                <w:szCs w:val="20"/>
              </w:rPr>
            </w:pPr>
            <w:r>
              <w:rPr>
                <w:rFonts w:ascii="Arial" w:hAnsi="Arial" w:cs="Arial"/>
                <w:sz w:val="20"/>
                <w:szCs w:val="20"/>
              </w:rPr>
              <w:t>s akciami na burze</w:t>
            </w:r>
          </w:p>
        </w:tc>
        <w:tc>
          <w:tcPr>
            <w:tcW w:w="1580" w:type="dxa"/>
            <w:tcBorders>
              <w:left w:val="single" w:sz="8" w:space="0" w:color="000000"/>
              <w:bottom w:val="double" w:sz="1" w:space="0" w:color="000000"/>
              <w:right w:val="single" w:sz="8" w:space="0" w:color="000000"/>
            </w:tcBorders>
            <w:vAlign w:val="bottom"/>
          </w:tcPr>
          <w:p w14:paraId="65153723" w14:textId="77777777" w:rsidR="00070252" w:rsidRDefault="00070252" w:rsidP="006A5294">
            <w:pPr>
              <w:snapToGrid w:val="0"/>
              <w:rPr>
                <w:rFonts w:ascii="Arial" w:hAnsi="Arial" w:cs="Arial"/>
                <w:sz w:val="20"/>
                <w:szCs w:val="20"/>
              </w:rPr>
            </w:pPr>
            <w:r>
              <w:rPr>
                <w:rFonts w:ascii="Arial" w:hAnsi="Arial" w:cs="Arial"/>
                <w:sz w:val="20"/>
                <w:szCs w:val="20"/>
              </w:rPr>
              <w:t>ostatné</w:t>
            </w:r>
          </w:p>
        </w:tc>
      </w:tr>
      <w:tr w:rsidR="00070252" w14:paraId="34EAC77B" w14:textId="77777777" w:rsidTr="0056666E">
        <w:trPr>
          <w:trHeight w:val="270"/>
        </w:trPr>
        <w:tc>
          <w:tcPr>
            <w:tcW w:w="5300" w:type="dxa"/>
            <w:tcBorders>
              <w:left w:val="single" w:sz="4" w:space="0" w:color="000000"/>
              <w:bottom w:val="single" w:sz="4" w:space="0" w:color="000000"/>
            </w:tcBorders>
            <w:vAlign w:val="bottom"/>
          </w:tcPr>
          <w:p w14:paraId="3602C126" w14:textId="77777777" w:rsidR="00070252" w:rsidRDefault="00070252" w:rsidP="006A5294">
            <w:pPr>
              <w:snapToGrid w:val="0"/>
              <w:rPr>
                <w:rFonts w:ascii="Arial" w:hAnsi="Arial" w:cs="Arial"/>
                <w:sz w:val="20"/>
                <w:szCs w:val="20"/>
              </w:rPr>
            </w:pPr>
            <w:r>
              <w:rPr>
                <w:rFonts w:ascii="Arial" w:hAnsi="Arial" w:cs="Arial"/>
                <w:sz w:val="20"/>
                <w:szCs w:val="20"/>
              </w:rPr>
              <w:t>Firma je s dobrou finančne -ekonomickou situáciou</w:t>
            </w:r>
          </w:p>
        </w:tc>
        <w:tc>
          <w:tcPr>
            <w:tcW w:w="3170" w:type="dxa"/>
            <w:tcBorders>
              <w:left w:val="single" w:sz="8" w:space="0" w:color="000000"/>
              <w:bottom w:val="single" w:sz="4" w:space="0" w:color="000000"/>
            </w:tcBorders>
            <w:vAlign w:val="bottom"/>
          </w:tcPr>
          <w:p w14:paraId="22B89829" w14:textId="77777777" w:rsidR="00070252" w:rsidRDefault="00070252" w:rsidP="006A5294">
            <w:pPr>
              <w:snapToGrid w:val="0"/>
              <w:rPr>
                <w:rFonts w:ascii="Arial" w:hAnsi="Arial" w:cs="Arial"/>
                <w:sz w:val="20"/>
                <w:szCs w:val="20"/>
              </w:rPr>
            </w:pPr>
            <w:r>
              <w:rPr>
                <w:rFonts w:ascii="Arial" w:hAnsi="Arial" w:cs="Arial"/>
                <w:sz w:val="20"/>
                <w:szCs w:val="20"/>
              </w:rPr>
              <w:t>&gt;2,99</w:t>
            </w:r>
          </w:p>
        </w:tc>
        <w:tc>
          <w:tcPr>
            <w:tcW w:w="1580" w:type="dxa"/>
            <w:tcBorders>
              <w:left w:val="single" w:sz="8" w:space="0" w:color="000000"/>
              <w:bottom w:val="single" w:sz="4" w:space="0" w:color="000000"/>
              <w:right w:val="single" w:sz="8" w:space="0" w:color="000000"/>
            </w:tcBorders>
            <w:vAlign w:val="bottom"/>
          </w:tcPr>
          <w:p w14:paraId="1EB23011" w14:textId="77777777" w:rsidR="00070252" w:rsidRDefault="00070252" w:rsidP="006A5294">
            <w:pPr>
              <w:snapToGrid w:val="0"/>
              <w:rPr>
                <w:rFonts w:ascii="Arial" w:hAnsi="Arial" w:cs="Arial"/>
                <w:sz w:val="20"/>
                <w:szCs w:val="20"/>
              </w:rPr>
            </w:pPr>
            <w:r>
              <w:rPr>
                <w:rFonts w:ascii="Arial" w:hAnsi="Arial" w:cs="Arial"/>
                <w:sz w:val="20"/>
                <w:szCs w:val="20"/>
              </w:rPr>
              <w:t>&gt;2,9</w:t>
            </w:r>
          </w:p>
        </w:tc>
      </w:tr>
      <w:tr w:rsidR="00070252" w14:paraId="6CC56E87" w14:textId="77777777" w:rsidTr="0056666E">
        <w:trPr>
          <w:trHeight w:val="255"/>
        </w:trPr>
        <w:tc>
          <w:tcPr>
            <w:tcW w:w="5300" w:type="dxa"/>
            <w:tcBorders>
              <w:left w:val="single" w:sz="4" w:space="0" w:color="000000"/>
              <w:bottom w:val="single" w:sz="4" w:space="0" w:color="000000"/>
            </w:tcBorders>
            <w:vAlign w:val="bottom"/>
          </w:tcPr>
          <w:p w14:paraId="2DF38237" w14:textId="77777777" w:rsidR="00070252" w:rsidRDefault="00070252" w:rsidP="006A5294">
            <w:pPr>
              <w:snapToGrid w:val="0"/>
              <w:rPr>
                <w:rFonts w:ascii="Arial" w:hAnsi="Arial" w:cs="Arial"/>
                <w:sz w:val="20"/>
                <w:szCs w:val="20"/>
              </w:rPr>
            </w:pPr>
            <w:r>
              <w:rPr>
                <w:rFonts w:ascii="Arial" w:hAnsi="Arial" w:cs="Arial"/>
                <w:sz w:val="20"/>
                <w:szCs w:val="20"/>
              </w:rPr>
              <w:t>Firma s neurčitou finančnou situáciou</w:t>
            </w:r>
          </w:p>
        </w:tc>
        <w:tc>
          <w:tcPr>
            <w:tcW w:w="3170" w:type="dxa"/>
            <w:tcBorders>
              <w:left w:val="single" w:sz="8" w:space="0" w:color="000000"/>
              <w:bottom w:val="single" w:sz="4" w:space="0" w:color="000000"/>
            </w:tcBorders>
            <w:vAlign w:val="bottom"/>
          </w:tcPr>
          <w:p w14:paraId="71D74B39" w14:textId="77777777" w:rsidR="00070252" w:rsidRDefault="00070252" w:rsidP="006A5294">
            <w:pPr>
              <w:snapToGrid w:val="0"/>
              <w:rPr>
                <w:rFonts w:ascii="Arial" w:hAnsi="Arial" w:cs="Arial"/>
                <w:sz w:val="20"/>
                <w:szCs w:val="20"/>
              </w:rPr>
            </w:pPr>
            <w:r>
              <w:rPr>
                <w:rFonts w:ascii="Arial" w:hAnsi="Arial" w:cs="Arial"/>
                <w:sz w:val="20"/>
                <w:szCs w:val="20"/>
              </w:rPr>
              <w:t>1,81-2,99</w:t>
            </w:r>
          </w:p>
        </w:tc>
        <w:tc>
          <w:tcPr>
            <w:tcW w:w="1580" w:type="dxa"/>
            <w:tcBorders>
              <w:left w:val="single" w:sz="8" w:space="0" w:color="000000"/>
              <w:bottom w:val="single" w:sz="4" w:space="0" w:color="000000"/>
              <w:right w:val="single" w:sz="8" w:space="0" w:color="000000"/>
            </w:tcBorders>
            <w:vAlign w:val="bottom"/>
          </w:tcPr>
          <w:p w14:paraId="6B6DC257" w14:textId="77777777" w:rsidR="00070252" w:rsidRDefault="00070252" w:rsidP="006A5294">
            <w:pPr>
              <w:snapToGrid w:val="0"/>
              <w:rPr>
                <w:rFonts w:ascii="Arial" w:hAnsi="Arial" w:cs="Arial"/>
                <w:sz w:val="20"/>
                <w:szCs w:val="20"/>
              </w:rPr>
            </w:pPr>
            <w:r>
              <w:rPr>
                <w:rFonts w:ascii="Arial" w:hAnsi="Arial" w:cs="Arial"/>
                <w:sz w:val="20"/>
                <w:szCs w:val="20"/>
              </w:rPr>
              <w:t>1,2-2,9</w:t>
            </w:r>
          </w:p>
        </w:tc>
      </w:tr>
      <w:tr w:rsidR="00070252" w14:paraId="4623E0DD" w14:textId="77777777" w:rsidTr="0056666E">
        <w:trPr>
          <w:trHeight w:val="270"/>
        </w:trPr>
        <w:tc>
          <w:tcPr>
            <w:tcW w:w="5300" w:type="dxa"/>
            <w:tcBorders>
              <w:left w:val="single" w:sz="4" w:space="0" w:color="000000"/>
              <w:bottom w:val="single" w:sz="8" w:space="0" w:color="000000"/>
            </w:tcBorders>
            <w:vAlign w:val="bottom"/>
          </w:tcPr>
          <w:p w14:paraId="6D2E12AC" w14:textId="77777777" w:rsidR="00070252" w:rsidRDefault="00070252" w:rsidP="006A5294">
            <w:pPr>
              <w:snapToGrid w:val="0"/>
              <w:rPr>
                <w:rFonts w:ascii="Arial" w:hAnsi="Arial" w:cs="Arial"/>
                <w:sz w:val="20"/>
                <w:szCs w:val="20"/>
              </w:rPr>
            </w:pPr>
            <w:r>
              <w:rPr>
                <w:rFonts w:ascii="Arial" w:hAnsi="Arial" w:cs="Arial"/>
                <w:sz w:val="20"/>
                <w:szCs w:val="20"/>
              </w:rPr>
              <w:t>Firma s veľmi silnými finančnými problémami</w:t>
            </w:r>
          </w:p>
        </w:tc>
        <w:tc>
          <w:tcPr>
            <w:tcW w:w="3170" w:type="dxa"/>
            <w:tcBorders>
              <w:left w:val="single" w:sz="8" w:space="0" w:color="000000"/>
              <w:bottom w:val="single" w:sz="8" w:space="0" w:color="000000"/>
            </w:tcBorders>
            <w:vAlign w:val="bottom"/>
          </w:tcPr>
          <w:p w14:paraId="1B8F4467" w14:textId="77777777" w:rsidR="00070252" w:rsidRDefault="00070252" w:rsidP="006A5294">
            <w:pPr>
              <w:snapToGrid w:val="0"/>
              <w:rPr>
                <w:rFonts w:ascii="Arial" w:hAnsi="Arial" w:cs="Arial"/>
                <w:sz w:val="20"/>
                <w:szCs w:val="20"/>
              </w:rPr>
            </w:pPr>
            <w:r>
              <w:rPr>
                <w:rFonts w:ascii="Arial" w:hAnsi="Arial" w:cs="Arial"/>
                <w:sz w:val="20"/>
                <w:szCs w:val="20"/>
              </w:rPr>
              <w:t>&lt;1,81</w:t>
            </w:r>
          </w:p>
        </w:tc>
        <w:tc>
          <w:tcPr>
            <w:tcW w:w="1580" w:type="dxa"/>
            <w:tcBorders>
              <w:left w:val="single" w:sz="8" w:space="0" w:color="000000"/>
              <w:bottom w:val="single" w:sz="8" w:space="0" w:color="000000"/>
              <w:right w:val="single" w:sz="8" w:space="0" w:color="000000"/>
            </w:tcBorders>
            <w:vAlign w:val="bottom"/>
          </w:tcPr>
          <w:p w14:paraId="623FD6E4" w14:textId="77777777" w:rsidR="00070252" w:rsidRDefault="00070252" w:rsidP="006A5294">
            <w:pPr>
              <w:snapToGrid w:val="0"/>
              <w:rPr>
                <w:rFonts w:ascii="Arial" w:hAnsi="Arial" w:cs="Arial"/>
                <w:sz w:val="20"/>
                <w:szCs w:val="20"/>
              </w:rPr>
            </w:pPr>
            <w:r>
              <w:rPr>
                <w:rFonts w:ascii="Arial" w:hAnsi="Arial" w:cs="Arial"/>
                <w:sz w:val="20"/>
                <w:szCs w:val="20"/>
              </w:rPr>
              <w:t>&lt;1,2</w:t>
            </w:r>
          </w:p>
        </w:tc>
      </w:tr>
    </w:tbl>
    <w:p w14:paraId="697657AC" w14:textId="77777777" w:rsidR="00070252" w:rsidRDefault="00070252" w:rsidP="00070252">
      <w:pPr>
        <w:pStyle w:val="Zkladntext"/>
      </w:pPr>
    </w:p>
    <w:p w14:paraId="7C0E5612" w14:textId="77777777" w:rsidR="00070252" w:rsidRDefault="00070252" w:rsidP="00070252">
      <w:pPr>
        <w:jc w:val="both"/>
      </w:pPr>
      <w:r>
        <w:t xml:space="preserve">Hodnotenie podnikov podľa tohto indexu je nasledovné: </w:t>
      </w:r>
    </w:p>
    <w:p w14:paraId="4D08E2A8" w14:textId="77777777" w:rsidR="00070252" w:rsidRDefault="00070252" w:rsidP="00070252">
      <w:pPr>
        <w:pStyle w:val="Zkladntext"/>
        <w:spacing w:after="0"/>
        <w:ind w:left="2160" w:hanging="2160"/>
      </w:pPr>
      <w:r>
        <w:t xml:space="preserve">Ak  Z-index je </w:t>
      </w:r>
      <w:r>
        <w:tab/>
        <w:t xml:space="preserve">1,8 </w:t>
      </w:r>
      <w:r>
        <w:rPr>
          <w:rFonts w:ascii="Symbol" w:hAnsi="Symbol"/>
        </w:rPr>
        <w:t></w:t>
      </w:r>
      <w:r>
        <w:t>Z-index</w:t>
      </w:r>
      <w:r>
        <w:rPr>
          <w:rFonts w:ascii="Symbol" w:hAnsi="Symbol"/>
        </w:rPr>
        <w:t></w:t>
      </w:r>
      <w:r>
        <w:t xml:space="preserve"> hrozí bankrot, kritická finančná situácia</w:t>
      </w:r>
    </w:p>
    <w:p w14:paraId="68EC1315" w14:textId="77777777" w:rsidR="00070252" w:rsidRDefault="00070252" w:rsidP="00070252">
      <w:pPr>
        <w:pStyle w:val="Zkladntext"/>
        <w:spacing w:after="0"/>
        <w:ind w:left="2160" w:hanging="2160"/>
      </w:pPr>
      <w:r>
        <w:tab/>
        <w:t xml:space="preserve">1,81 </w:t>
      </w:r>
      <w:r>
        <w:rPr>
          <w:rFonts w:ascii="Symbol" w:hAnsi="Symbol"/>
        </w:rPr>
        <w:t></w:t>
      </w:r>
      <w:r>
        <w:t>Z-index</w:t>
      </w:r>
      <w:r>
        <w:rPr>
          <w:rFonts w:ascii="Symbol" w:hAnsi="Symbol"/>
        </w:rPr>
        <w:t></w:t>
      </w:r>
      <w:r>
        <w:t xml:space="preserve"> 2,99 </w:t>
      </w:r>
      <w:r>
        <w:rPr>
          <w:rFonts w:ascii="Symbol" w:hAnsi="Symbol"/>
        </w:rPr>
        <w:t></w:t>
      </w:r>
      <w:r>
        <w:t xml:space="preserve"> sivá zóna, pásmo nejasnej budúcnosti, oblasť nevyhranených výsledkov, z toho: </w:t>
      </w:r>
    </w:p>
    <w:p w14:paraId="43A4F47B" w14:textId="77777777" w:rsidR="00070252" w:rsidRDefault="00070252" w:rsidP="00070252">
      <w:pPr>
        <w:pStyle w:val="Zkladntext"/>
        <w:spacing w:after="0"/>
        <w:ind w:left="2160" w:hanging="2160"/>
      </w:pPr>
      <w:r>
        <w:tab/>
        <w:t>1,81-2,7 - vysoká pravdepodobnosť bankrotu</w:t>
      </w:r>
    </w:p>
    <w:p w14:paraId="2A43E315" w14:textId="77777777" w:rsidR="00070252" w:rsidRDefault="00070252" w:rsidP="00070252">
      <w:pPr>
        <w:pStyle w:val="Zkladntext"/>
        <w:spacing w:after="0"/>
        <w:ind w:left="2160" w:hanging="2160"/>
      </w:pPr>
      <w:r>
        <w:tab/>
        <w:t>2,8-2,9 - možná pravdepodobnosť bankrotu</w:t>
      </w:r>
    </w:p>
    <w:p w14:paraId="096B72A6" w14:textId="77777777" w:rsidR="00070252" w:rsidRDefault="00070252" w:rsidP="00070252">
      <w:pPr>
        <w:pStyle w:val="Zkladntext"/>
        <w:spacing w:after="0"/>
        <w:ind w:left="2160" w:hanging="2160"/>
      </w:pPr>
      <w:r>
        <w:tab/>
        <w:t xml:space="preserve">nad 2,99 </w:t>
      </w:r>
      <w:r>
        <w:rPr>
          <w:rFonts w:ascii="Symbol" w:hAnsi="Symbol"/>
        </w:rPr>
        <w:t></w:t>
      </w:r>
      <w:r>
        <w:t xml:space="preserve"> Prosperujúci podnik, finančná situácia podniku dobrá.</w:t>
      </w:r>
    </w:p>
    <w:p w14:paraId="7A1A11DC" w14:textId="77777777" w:rsidR="00070252" w:rsidRDefault="00070252" w:rsidP="00070252">
      <w:pPr>
        <w:jc w:val="both"/>
      </w:pPr>
    </w:p>
    <w:p w14:paraId="552C10AB" w14:textId="7349DDAE" w:rsidR="00070252" w:rsidRDefault="00070252" w:rsidP="00070252">
      <w:pPr>
        <w:jc w:val="both"/>
      </w:pPr>
      <w:r>
        <w:t>Altmanov model finančnej analýzy podniku uvádzame ako jeden z možných modelov použiteľných na hodnotenie finančnej analýzy žiadateľa zo súkromnej sféry. Príklady pre</w:t>
      </w:r>
      <w:r w:rsidR="00A75416">
        <w:t> </w:t>
      </w:r>
      <w:r>
        <w:t>excelovské modely finančnej analýzy žiadateľov o NFP vychádzajúce z účtovnej závierky  uvádzame v prílohe.</w:t>
      </w:r>
    </w:p>
    <w:p w14:paraId="168851C1" w14:textId="77777777" w:rsidR="00300974" w:rsidRDefault="00300974" w:rsidP="00070252">
      <w:pPr>
        <w:jc w:val="both"/>
      </w:pPr>
    </w:p>
    <w:p w14:paraId="06B52698" w14:textId="77777777" w:rsidR="00300974" w:rsidRDefault="00300974" w:rsidP="00070252">
      <w:pPr>
        <w:jc w:val="both"/>
      </w:pPr>
      <w:r>
        <w:t>Ako alternatívu Altmanovho indexu niektoré RO využívajú Index Bonity, primárne pri</w:t>
      </w:r>
      <w:r w:rsidR="00A75416">
        <w:t> </w:t>
      </w:r>
      <w:r>
        <w:t>súkromných podnikoch konajúcich vo verejnom záujme.</w:t>
      </w:r>
    </w:p>
    <w:p w14:paraId="6E9641A6" w14:textId="77777777" w:rsidR="00300974" w:rsidRDefault="00300974" w:rsidP="00070252">
      <w:pPr>
        <w:jc w:val="both"/>
      </w:pPr>
    </w:p>
    <w:p w14:paraId="1561727F" w14:textId="77777777" w:rsidR="00300974" w:rsidRPr="00626BB4" w:rsidRDefault="00300974" w:rsidP="006B1363">
      <w:pPr>
        <w:ind w:right="150"/>
        <w:rPr>
          <w:rFonts w:ascii="Arial" w:hAnsi="Arial" w:cs="Arial"/>
          <w:color w:val="000000"/>
          <w:sz w:val="19"/>
          <w:szCs w:val="19"/>
        </w:rPr>
      </w:pPr>
      <w:r w:rsidRPr="00626BB4">
        <w:rPr>
          <w:rFonts w:ascii="Arial" w:hAnsi="Arial" w:cs="Arial"/>
          <w:color w:val="000000"/>
          <w:sz w:val="19"/>
          <w:szCs w:val="19"/>
        </w:rPr>
        <w:t xml:space="preserve">Patrí do skupiny predikčných modelov. Nazývaný tiež indikátor bonity, pracuje s nasledujúcimi ukazovateľmi: </w:t>
      </w:r>
    </w:p>
    <w:p w14:paraId="567228E9" w14:textId="77777777" w:rsidR="00300974" w:rsidRPr="00626BB4" w:rsidRDefault="00300974" w:rsidP="006B1363">
      <w:pPr>
        <w:ind w:left="-900" w:right="150" w:firstLine="900"/>
        <w:rPr>
          <w:rFonts w:ascii="Arial" w:hAnsi="Arial" w:cs="Arial"/>
          <w:color w:val="000000"/>
          <w:sz w:val="19"/>
          <w:szCs w:val="19"/>
        </w:rPr>
      </w:pPr>
      <w:r>
        <w:rPr>
          <w:rFonts w:ascii="Arial" w:hAnsi="Arial" w:cs="Arial"/>
          <w:color w:val="000000"/>
          <w:sz w:val="19"/>
          <w:szCs w:val="19"/>
        </w:rPr>
        <w:t>◘  x1 = čistý pracovný kapitál</w:t>
      </w:r>
      <w:r w:rsidRPr="00626BB4">
        <w:rPr>
          <w:rFonts w:ascii="Arial" w:hAnsi="Arial" w:cs="Arial"/>
          <w:color w:val="000000"/>
          <w:sz w:val="19"/>
          <w:szCs w:val="19"/>
        </w:rPr>
        <w:t>/ cudzie zdroje</w:t>
      </w:r>
      <w:r>
        <w:rPr>
          <w:rFonts w:ascii="Arial" w:hAnsi="Arial" w:cs="Arial"/>
          <w:color w:val="000000"/>
          <w:sz w:val="19"/>
          <w:szCs w:val="19"/>
        </w:rPr>
        <w:t xml:space="preserve"> krytia</w:t>
      </w:r>
      <w:r w:rsidRPr="00626BB4">
        <w:rPr>
          <w:rFonts w:ascii="Arial" w:hAnsi="Arial" w:cs="Arial"/>
          <w:color w:val="000000"/>
          <w:sz w:val="19"/>
          <w:szCs w:val="19"/>
        </w:rPr>
        <w:t xml:space="preserve"> </w:t>
      </w:r>
    </w:p>
    <w:p w14:paraId="74984404" w14:textId="77777777" w:rsidR="00300974" w:rsidRPr="00626BB4" w:rsidRDefault="00300974" w:rsidP="006B1363">
      <w:pPr>
        <w:ind w:left="-900" w:right="150" w:firstLine="900"/>
        <w:rPr>
          <w:rFonts w:ascii="Arial" w:hAnsi="Arial" w:cs="Arial"/>
          <w:color w:val="000000"/>
          <w:sz w:val="19"/>
          <w:szCs w:val="19"/>
        </w:rPr>
      </w:pPr>
      <w:r>
        <w:rPr>
          <w:rFonts w:ascii="Arial" w:hAnsi="Arial" w:cs="Arial"/>
          <w:color w:val="000000"/>
          <w:sz w:val="19"/>
          <w:szCs w:val="19"/>
        </w:rPr>
        <w:t>◘  x2 = celkové zdroje krytia</w:t>
      </w:r>
      <w:r w:rsidRPr="00626BB4">
        <w:rPr>
          <w:rFonts w:ascii="Arial" w:hAnsi="Arial" w:cs="Arial"/>
          <w:color w:val="000000"/>
          <w:sz w:val="19"/>
          <w:szCs w:val="19"/>
        </w:rPr>
        <w:t xml:space="preserve"> / cudzie zdroje </w:t>
      </w:r>
      <w:r>
        <w:rPr>
          <w:rFonts w:ascii="Arial" w:hAnsi="Arial" w:cs="Arial"/>
          <w:color w:val="000000"/>
          <w:sz w:val="19"/>
          <w:szCs w:val="19"/>
        </w:rPr>
        <w:t>krytia</w:t>
      </w:r>
    </w:p>
    <w:p w14:paraId="10763156" w14:textId="77777777" w:rsidR="00300974" w:rsidRPr="00626BB4" w:rsidRDefault="00300974" w:rsidP="006B1363">
      <w:pPr>
        <w:ind w:left="-900" w:right="150" w:firstLine="900"/>
        <w:rPr>
          <w:rFonts w:ascii="Arial" w:hAnsi="Arial" w:cs="Arial"/>
          <w:color w:val="000000"/>
          <w:sz w:val="19"/>
          <w:szCs w:val="19"/>
        </w:rPr>
      </w:pPr>
      <w:r>
        <w:rPr>
          <w:rFonts w:ascii="Arial" w:hAnsi="Arial" w:cs="Arial"/>
          <w:color w:val="000000"/>
          <w:sz w:val="19"/>
          <w:szCs w:val="19"/>
        </w:rPr>
        <w:t>◘  x3 = hrubý zisk / celkové zdroje krytia</w:t>
      </w:r>
    </w:p>
    <w:p w14:paraId="214F68AA" w14:textId="77777777" w:rsidR="00300974" w:rsidRPr="00626BB4" w:rsidRDefault="00300974" w:rsidP="006B1363">
      <w:pPr>
        <w:ind w:left="-900" w:right="150" w:firstLine="900"/>
        <w:rPr>
          <w:rFonts w:ascii="Arial" w:hAnsi="Arial" w:cs="Arial"/>
          <w:color w:val="000000"/>
          <w:sz w:val="19"/>
          <w:szCs w:val="19"/>
        </w:rPr>
      </w:pPr>
      <w:r w:rsidRPr="00626BB4">
        <w:rPr>
          <w:rFonts w:ascii="Arial" w:hAnsi="Arial" w:cs="Arial"/>
          <w:color w:val="000000"/>
          <w:sz w:val="19"/>
          <w:szCs w:val="19"/>
        </w:rPr>
        <w:t xml:space="preserve">◘  </w:t>
      </w:r>
      <w:r>
        <w:rPr>
          <w:rFonts w:ascii="Arial" w:hAnsi="Arial" w:cs="Arial"/>
          <w:color w:val="000000"/>
          <w:sz w:val="19"/>
          <w:szCs w:val="19"/>
        </w:rPr>
        <w:t>x4 = hrubý zisk / celkové výnosy podniku</w:t>
      </w:r>
      <w:r w:rsidRPr="00626BB4">
        <w:rPr>
          <w:rFonts w:ascii="Arial" w:hAnsi="Arial" w:cs="Arial"/>
          <w:color w:val="000000"/>
          <w:sz w:val="19"/>
          <w:szCs w:val="19"/>
        </w:rPr>
        <w:t xml:space="preserve"> </w:t>
      </w:r>
    </w:p>
    <w:p w14:paraId="7E6F12FA" w14:textId="77777777" w:rsidR="00300974" w:rsidRPr="00626BB4" w:rsidRDefault="00300974" w:rsidP="006B1363">
      <w:pPr>
        <w:ind w:left="-900" w:right="150" w:firstLine="900"/>
        <w:rPr>
          <w:rFonts w:ascii="Arial" w:hAnsi="Arial" w:cs="Arial"/>
          <w:color w:val="000000"/>
          <w:sz w:val="19"/>
          <w:szCs w:val="19"/>
        </w:rPr>
      </w:pPr>
      <w:r w:rsidRPr="00626BB4">
        <w:rPr>
          <w:rFonts w:ascii="Arial" w:hAnsi="Arial" w:cs="Arial"/>
          <w:color w:val="000000"/>
          <w:sz w:val="19"/>
          <w:szCs w:val="19"/>
        </w:rPr>
        <w:t xml:space="preserve">◘  x5 = </w:t>
      </w:r>
      <w:r>
        <w:rPr>
          <w:rFonts w:ascii="Arial" w:hAnsi="Arial" w:cs="Arial"/>
          <w:color w:val="000000"/>
          <w:sz w:val="19"/>
          <w:szCs w:val="19"/>
        </w:rPr>
        <w:t>stav zásob / celkový majetok</w:t>
      </w:r>
      <w:r w:rsidRPr="00626BB4">
        <w:rPr>
          <w:rFonts w:ascii="Arial" w:hAnsi="Arial" w:cs="Arial"/>
          <w:color w:val="000000"/>
          <w:sz w:val="19"/>
          <w:szCs w:val="19"/>
        </w:rPr>
        <w:t xml:space="preserve"> </w:t>
      </w:r>
    </w:p>
    <w:p w14:paraId="0637FD21" w14:textId="77777777" w:rsidR="00300974" w:rsidRPr="00626BB4" w:rsidRDefault="00300974" w:rsidP="006B1363">
      <w:pPr>
        <w:ind w:left="-900" w:right="150" w:firstLine="900"/>
        <w:rPr>
          <w:rFonts w:ascii="Arial" w:hAnsi="Arial" w:cs="Arial"/>
          <w:color w:val="000000"/>
          <w:sz w:val="19"/>
          <w:szCs w:val="19"/>
        </w:rPr>
      </w:pPr>
      <w:r>
        <w:rPr>
          <w:rFonts w:ascii="Arial" w:hAnsi="Arial" w:cs="Arial"/>
          <w:color w:val="000000"/>
          <w:sz w:val="19"/>
          <w:szCs w:val="19"/>
        </w:rPr>
        <w:t>◘  x6 = celkové výnosy podniku / celková zdroje krytia</w:t>
      </w:r>
      <w:r w:rsidRPr="00626BB4">
        <w:rPr>
          <w:rFonts w:ascii="Arial" w:hAnsi="Arial" w:cs="Arial"/>
          <w:color w:val="000000"/>
          <w:sz w:val="19"/>
          <w:szCs w:val="19"/>
        </w:rPr>
        <w:t xml:space="preserve"> </w:t>
      </w:r>
    </w:p>
    <w:p w14:paraId="2CF69BA7" w14:textId="77777777" w:rsidR="00300974" w:rsidRPr="00626BB4" w:rsidRDefault="00300974" w:rsidP="00300974">
      <w:pPr>
        <w:ind w:left="-900" w:right="150"/>
        <w:jc w:val="center"/>
        <w:rPr>
          <w:rFonts w:ascii="Arial" w:hAnsi="Arial" w:cs="Arial"/>
          <w:color w:val="000000"/>
          <w:sz w:val="19"/>
          <w:szCs w:val="19"/>
        </w:rPr>
      </w:pPr>
      <w:r>
        <w:rPr>
          <w:rFonts w:ascii="Arial" w:hAnsi="Arial" w:cs="Arial"/>
          <w:color w:val="000000"/>
          <w:sz w:val="19"/>
          <w:szCs w:val="19"/>
        </w:rPr>
        <w:t xml:space="preserve">   </w:t>
      </w:r>
      <w:r w:rsidRPr="00626BB4">
        <w:rPr>
          <w:rFonts w:ascii="Arial" w:hAnsi="Arial" w:cs="Arial"/>
          <w:color w:val="000000"/>
          <w:sz w:val="19"/>
          <w:szCs w:val="19"/>
        </w:rPr>
        <w:t> </w:t>
      </w:r>
    </w:p>
    <w:p w14:paraId="0BBE2625" w14:textId="77777777" w:rsidR="00300974" w:rsidRPr="00626BB4" w:rsidRDefault="00300974" w:rsidP="006B1363">
      <w:pPr>
        <w:ind w:left="-900" w:right="150" w:firstLine="900"/>
        <w:rPr>
          <w:rFonts w:ascii="Arial" w:hAnsi="Arial" w:cs="Arial"/>
          <w:color w:val="000000"/>
          <w:sz w:val="19"/>
          <w:szCs w:val="19"/>
        </w:rPr>
      </w:pPr>
      <w:r w:rsidRPr="00626BB4">
        <w:rPr>
          <w:rFonts w:ascii="Arial" w:hAnsi="Arial" w:cs="Arial"/>
          <w:color w:val="000000"/>
          <w:sz w:val="19"/>
          <w:szCs w:val="19"/>
        </w:rPr>
        <w:t xml:space="preserve">Index bonity potom vypočítame z rovnice: </w:t>
      </w:r>
      <w:r w:rsidRPr="00626BB4">
        <w:rPr>
          <w:rFonts w:ascii="Arial" w:hAnsi="Arial" w:cs="Arial"/>
          <w:b/>
          <w:bCs/>
          <w:color w:val="000000"/>
          <w:sz w:val="19"/>
          <w:szCs w:val="19"/>
        </w:rPr>
        <w:t xml:space="preserve">Bi = 1,5.x1 + 0,08x2 + 10.x3 + 5.x4 + 0,3.x5 + 0,1.x6 </w:t>
      </w:r>
    </w:p>
    <w:p w14:paraId="18CA1011" w14:textId="77777777" w:rsidR="00300974" w:rsidRPr="00626BB4" w:rsidRDefault="00300974" w:rsidP="00300974">
      <w:pPr>
        <w:ind w:left="-900" w:right="150"/>
        <w:jc w:val="center"/>
        <w:rPr>
          <w:rFonts w:ascii="Arial" w:hAnsi="Arial" w:cs="Arial"/>
          <w:color w:val="000000"/>
          <w:sz w:val="19"/>
          <w:szCs w:val="19"/>
        </w:rPr>
      </w:pPr>
      <w:r w:rsidRPr="00626BB4">
        <w:rPr>
          <w:rFonts w:ascii="Arial" w:hAnsi="Arial" w:cs="Arial"/>
          <w:color w:val="000000"/>
          <w:sz w:val="19"/>
          <w:szCs w:val="19"/>
        </w:rPr>
        <w:t> </w:t>
      </w:r>
    </w:p>
    <w:p w14:paraId="1AD71F9D" w14:textId="77777777" w:rsidR="00300974" w:rsidRDefault="00300974" w:rsidP="006B1363">
      <w:pPr>
        <w:ind w:right="150"/>
        <w:jc w:val="both"/>
        <w:rPr>
          <w:rFonts w:ascii="Arial" w:hAnsi="Arial" w:cs="Arial"/>
          <w:color w:val="000000"/>
          <w:sz w:val="19"/>
          <w:szCs w:val="19"/>
        </w:rPr>
      </w:pPr>
      <w:r w:rsidRPr="00626BB4">
        <w:rPr>
          <w:rFonts w:ascii="Arial" w:hAnsi="Arial" w:cs="Arial"/>
          <w:color w:val="000000"/>
          <w:sz w:val="19"/>
          <w:szCs w:val="19"/>
        </w:rPr>
        <w:t xml:space="preserve">Čím väčšiu hodnotu Bi dostaneme, tým je </w:t>
      </w:r>
      <w:r w:rsidR="00233877">
        <w:rPr>
          <w:rFonts w:ascii="Arial" w:hAnsi="Arial" w:cs="Arial"/>
          <w:color w:val="000000"/>
          <w:sz w:val="19"/>
          <w:szCs w:val="19"/>
        </w:rPr>
        <w:t>finančne</w:t>
      </w:r>
      <w:r w:rsidRPr="00626BB4">
        <w:rPr>
          <w:rFonts w:ascii="Arial" w:hAnsi="Arial" w:cs="Arial"/>
          <w:color w:val="000000"/>
          <w:sz w:val="19"/>
          <w:szCs w:val="19"/>
        </w:rPr>
        <w:t xml:space="preserve"> ekonomická situácia hodnotenej firmy lepšia. Presnejšie závery môžeme vysloviť s využitím nasledujúcej hodnotiacej stupnice : (-3 až -2 ) extrémne zlá, ( -2 až -1 ) veľmi zlá, ( -1 až 0 ) zlá, ( 0 až 1 ) určité problémy, ( 1 až 2 ) dobrá, ( 2 až 3) veľmi dobr</w:t>
      </w:r>
      <w:r w:rsidR="00A75416">
        <w:rPr>
          <w:rFonts w:ascii="Arial" w:hAnsi="Arial" w:cs="Arial"/>
          <w:color w:val="000000"/>
          <w:sz w:val="19"/>
          <w:szCs w:val="19"/>
        </w:rPr>
        <w:t>á</w:t>
      </w:r>
      <w:r w:rsidRPr="00626BB4">
        <w:rPr>
          <w:rFonts w:ascii="Arial" w:hAnsi="Arial" w:cs="Arial"/>
          <w:color w:val="000000"/>
          <w:sz w:val="19"/>
          <w:szCs w:val="19"/>
        </w:rPr>
        <w:t>, (viac ako 3 ) extrémne dobr</w:t>
      </w:r>
      <w:r w:rsidR="00A75416">
        <w:rPr>
          <w:rFonts w:ascii="Arial" w:hAnsi="Arial" w:cs="Arial"/>
          <w:color w:val="000000"/>
          <w:sz w:val="19"/>
          <w:szCs w:val="19"/>
        </w:rPr>
        <w:t>á</w:t>
      </w:r>
      <w:r w:rsidRPr="00626BB4">
        <w:rPr>
          <w:rFonts w:ascii="Arial" w:hAnsi="Arial" w:cs="Arial"/>
          <w:color w:val="000000"/>
          <w:sz w:val="19"/>
          <w:szCs w:val="19"/>
        </w:rPr>
        <w:t xml:space="preserve">. </w:t>
      </w:r>
    </w:p>
    <w:p w14:paraId="49E48FCB" w14:textId="77777777" w:rsidR="00300974" w:rsidRDefault="00300974" w:rsidP="006B1363">
      <w:pPr>
        <w:ind w:right="150"/>
        <w:jc w:val="both"/>
        <w:rPr>
          <w:rFonts w:ascii="Arial" w:hAnsi="Arial" w:cs="Arial"/>
          <w:color w:val="000000"/>
          <w:sz w:val="19"/>
          <w:szCs w:val="19"/>
        </w:rPr>
      </w:pPr>
    </w:p>
    <w:p w14:paraId="606D3CB4" w14:textId="5F7EE30F" w:rsidR="00300974" w:rsidRPr="00626BB4" w:rsidRDefault="00300974" w:rsidP="006B1363">
      <w:pPr>
        <w:ind w:right="150"/>
        <w:jc w:val="both"/>
        <w:rPr>
          <w:rFonts w:ascii="Arial" w:hAnsi="Arial" w:cs="Arial"/>
          <w:color w:val="000000"/>
          <w:sz w:val="19"/>
          <w:szCs w:val="19"/>
        </w:rPr>
      </w:pPr>
      <w:r>
        <w:rPr>
          <w:rFonts w:ascii="Arial" w:hAnsi="Arial" w:cs="Arial"/>
          <w:color w:val="000000"/>
          <w:sz w:val="19"/>
          <w:szCs w:val="19"/>
        </w:rPr>
        <w:t>Model Indexu bonity je uvedený v Prílohe č.</w:t>
      </w:r>
      <w:r w:rsidR="00AE22FA">
        <w:rPr>
          <w:rFonts w:ascii="Arial" w:hAnsi="Arial" w:cs="Arial"/>
          <w:color w:val="000000"/>
          <w:sz w:val="19"/>
          <w:szCs w:val="19"/>
        </w:rPr>
        <w:t xml:space="preserve"> </w:t>
      </w:r>
      <w:r>
        <w:rPr>
          <w:rFonts w:ascii="Arial" w:hAnsi="Arial" w:cs="Arial"/>
          <w:color w:val="000000"/>
          <w:sz w:val="19"/>
          <w:szCs w:val="19"/>
        </w:rPr>
        <w:t>5</w:t>
      </w:r>
      <w:r w:rsidR="006B1363">
        <w:rPr>
          <w:rFonts w:ascii="Arial" w:hAnsi="Arial" w:cs="Arial"/>
          <w:color w:val="000000"/>
          <w:sz w:val="19"/>
          <w:szCs w:val="19"/>
        </w:rPr>
        <w:t xml:space="preserve"> </w:t>
      </w:r>
      <w:r>
        <w:rPr>
          <w:rFonts w:ascii="Arial" w:hAnsi="Arial" w:cs="Arial"/>
          <w:color w:val="000000"/>
          <w:sz w:val="19"/>
          <w:szCs w:val="19"/>
        </w:rPr>
        <w:t>tohto metodického pokynu.</w:t>
      </w:r>
    </w:p>
    <w:p w14:paraId="59BEBD0D" w14:textId="77777777" w:rsidR="00300974" w:rsidRDefault="00300974" w:rsidP="00070252">
      <w:pPr>
        <w:jc w:val="both"/>
      </w:pPr>
    </w:p>
    <w:p w14:paraId="0A4A007C" w14:textId="77777777" w:rsidR="002C6241" w:rsidRPr="00D01EA6" w:rsidRDefault="002C6241" w:rsidP="002C6241">
      <w:pPr>
        <w:pStyle w:val="MPCKO2"/>
        <w:rPr>
          <w:rFonts w:cs="Times New Roman"/>
          <w:sz w:val="24"/>
          <w:szCs w:val="24"/>
        </w:rPr>
      </w:pPr>
      <w:bookmarkStart w:id="79" w:name="_Toc527539393"/>
      <w:r w:rsidRPr="00D01EA6">
        <w:rPr>
          <w:rFonts w:cs="Times New Roman"/>
          <w:sz w:val="24"/>
          <w:szCs w:val="24"/>
        </w:rPr>
        <w:t>6.3</w:t>
      </w:r>
      <w:r w:rsidRPr="00D01EA6">
        <w:rPr>
          <w:rFonts w:cs="Times New Roman"/>
          <w:sz w:val="24"/>
          <w:szCs w:val="24"/>
        </w:rPr>
        <w:tab/>
        <w:t>Doplňujúce údaje pre hodnotenie primeranosti projektu</w:t>
      </w:r>
      <w:bookmarkEnd w:id="79"/>
    </w:p>
    <w:p w14:paraId="54015E2D" w14:textId="77777777" w:rsidR="002C6241" w:rsidRPr="00FC4977" w:rsidRDefault="002C6241" w:rsidP="002C6241">
      <w:pPr>
        <w:jc w:val="both"/>
      </w:pPr>
    </w:p>
    <w:p w14:paraId="5386C8FA" w14:textId="77777777" w:rsidR="002C6241" w:rsidRPr="00FC4977" w:rsidRDefault="002C6241" w:rsidP="002C6241">
      <w:pPr>
        <w:jc w:val="both"/>
      </w:pPr>
      <w:r w:rsidRPr="00D01EA6">
        <w:t xml:space="preserve">RO </w:t>
      </w:r>
      <w:r w:rsidRPr="00FC4977">
        <w:t>je oprávnený v špecifických prípadoch stanoviť aj ďalšie doplňujúce údaje, ktoré bude posudzovať s ohľadom na finančnú situáciu žiadateľa. Takými údajmi môže byť najmä posúdenie skutočnosti, či je:</w:t>
      </w:r>
    </w:p>
    <w:p w14:paraId="74D8F67C" w14:textId="77777777" w:rsidR="002C6241" w:rsidRPr="00FC4977" w:rsidRDefault="002C6241" w:rsidP="002C6241">
      <w:pPr>
        <w:jc w:val="both"/>
      </w:pPr>
    </w:p>
    <w:p w14:paraId="4274E0D1" w14:textId="77777777" w:rsidR="002C6241" w:rsidRPr="00FC4977" w:rsidRDefault="002C6241" w:rsidP="002C6241">
      <w:pPr>
        <w:pStyle w:val="Odsekzoznamu"/>
        <w:numPr>
          <w:ilvl w:val="0"/>
          <w:numId w:val="11"/>
        </w:numPr>
        <w:jc w:val="both"/>
      </w:pPr>
      <w:r w:rsidRPr="00FC4977">
        <w:t>subjekt žiadateľa na trhu aktívny (napr. cez posúdenie obrátkovosti celkového majetku subjektu počítaného k tržbám za vlastné tovary, výrobky a služby),</w:t>
      </w:r>
    </w:p>
    <w:p w14:paraId="18E18FD0" w14:textId="77777777" w:rsidR="002C6241" w:rsidRPr="00FC4977" w:rsidRDefault="002C6241" w:rsidP="002C6241">
      <w:pPr>
        <w:pStyle w:val="Odsekzoznamu"/>
        <w:numPr>
          <w:ilvl w:val="0"/>
          <w:numId w:val="11"/>
        </w:numPr>
        <w:jc w:val="both"/>
      </w:pPr>
      <w:r w:rsidRPr="00FC4977">
        <w:t>či je veľkosť projektu (celkových oprávnených výdavkov) primeraná k majetku subjektu žiadateľa (podiel celkových aktív majetku k celkových oprávneným výdavkom projektu).</w:t>
      </w:r>
    </w:p>
    <w:p w14:paraId="2056E8E5" w14:textId="77777777" w:rsidR="002C6241" w:rsidRPr="00FC4977" w:rsidRDefault="002C6241" w:rsidP="002C6241">
      <w:pPr>
        <w:jc w:val="both"/>
      </w:pPr>
    </w:p>
    <w:p w14:paraId="413153DC" w14:textId="77777777" w:rsidR="002C6241" w:rsidRPr="00FC4977" w:rsidRDefault="002C6241" w:rsidP="002C6241">
      <w:pPr>
        <w:jc w:val="both"/>
      </w:pPr>
      <w:r w:rsidRPr="00FC4977">
        <w:t>RO môže zvoliť rôzne doplňujúce údaje, ktorými bude skúmať primeranosť, resp. vhodnosť projektu, resp. subjektu žiadateľa prostredníctvom jeho ekonomickej situácie.</w:t>
      </w:r>
    </w:p>
    <w:p w14:paraId="1C6B0161" w14:textId="77777777" w:rsidR="002C6241" w:rsidRDefault="002C6241" w:rsidP="002C6241">
      <w:pPr>
        <w:jc w:val="both"/>
      </w:pPr>
    </w:p>
    <w:p w14:paraId="5020B3A3" w14:textId="77777777" w:rsidR="002C6241" w:rsidRPr="00FC4977" w:rsidRDefault="002C6241" w:rsidP="002C6241">
      <w:pPr>
        <w:jc w:val="both"/>
      </w:pPr>
    </w:p>
    <w:p w14:paraId="11986669" w14:textId="77777777" w:rsidR="002C6241" w:rsidRPr="00D01EA6" w:rsidRDefault="002C6241" w:rsidP="002C6241">
      <w:pPr>
        <w:pStyle w:val="MPCKO2"/>
        <w:rPr>
          <w:rFonts w:cs="Times New Roman"/>
          <w:sz w:val="24"/>
          <w:szCs w:val="24"/>
        </w:rPr>
      </w:pPr>
      <w:bookmarkStart w:id="80" w:name="_Toc527539394"/>
      <w:r w:rsidRPr="00D01EA6">
        <w:rPr>
          <w:rFonts w:cs="Times New Roman"/>
          <w:sz w:val="24"/>
          <w:szCs w:val="24"/>
        </w:rPr>
        <w:t>6.4</w:t>
      </w:r>
      <w:r w:rsidRPr="00D01EA6">
        <w:rPr>
          <w:rFonts w:cs="Times New Roman"/>
          <w:sz w:val="24"/>
          <w:szCs w:val="24"/>
        </w:rPr>
        <w:tab/>
        <w:t>Zdroje údajov</w:t>
      </w:r>
      <w:bookmarkEnd w:id="80"/>
    </w:p>
    <w:p w14:paraId="1E9D76BB" w14:textId="77777777" w:rsidR="002C6241" w:rsidRPr="00FC4977" w:rsidRDefault="002C6241" w:rsidP="002C6241">
      <w:pPr>
        <w:jc w:val="both"/>
      </w:pPr>
    </w:p>
    <w:p w14:paraId="19E09A56" w14:textId="77777777" w:rsidR="002C6241" w:rsidRPr="00FC4977" w:rsidRDefault="002C6241" w:rsidP="002C6241">
      <w:pPr>
        <w:jc w:val="both"/>
      </w:pPr>
      <w:r w:rsidRPr="00FC4977">
        <w:t>Hlavným zdrojom údajov je účtovná závierka žiadateľa. Údaje zodpovedajú referenčnému účtovnému obdobiu.</w:t>
      </w:r>
    </w:p>
    <w:p w14:paraId="588D83C6" w14:textId="77777777" w:rsidR="002C6241" w:rsidRPr="00FC4977" w:rsidRDefault="002C6241" w:rsidP="002C6241">
      <w:pPr>
        <w:jc w:val="both"/>
      </w:pPr>
    </w:p>
    <w:p w14:paraId="4805150D" w14:textId="77777777" w:rsidR="002C6241" w:rsidRPr="00FC4977" w:rsidRDefault="002C6241" w:rsidP="002C6241">
      <w:pPr>
        <w:jc w:val="both"/>
      </w:pPr>
      <w:r w:rsidRPr="00FC4977">
        <w:t>Referenčné účtovné obdobie je účtovné obdobie:</w:t>
      </w:r>
    </w:p>
    <w:p w14:paraId="06057090" w14:textId="77777777" w:rsidR="002C6241" w:rsidRPr="00FC4977" w:rsidRDefault="002C6241" w:rsidP="002C6241">
      <w:pPr>
        <w:jc w:val="both"/>
      </w:pPr>
    </w:p>
    <w:p w14:paraId="19BBF9D0" w14:textId="77777777" w:rsidR="002C6241" w:rsidRPr="00FC4977" w:rsidRDefault="002C6241" w:rsidP="002C6241">
      <w:pPr>
        <w:pStyle w:val="Odsekzoznamu"/>
        <w:numPr>
          <w:ilvl w:val="0"/>
          <w:numId w:val="57"/>
        </w:numPr>
        <w:jc w:val="both"/>
      </w:pPr>
      <w:r w:rsidRPr="00FC4977">
        <w:t>predchádzajúce účtovnému obdobiu, v ktorom žiadateľ predložil ŽoNFP, ak za toto referenčné účtovné obdobie disponuje žiadateľ  schválenou účtovnou závierkou,</w:t>
      </w:r>
    </w:p>
    <w:p w14:paraId="5B6B6E90" w14:textId="77777777" w:rsidR="002C6241" w:rsidRPr="00FC4977" w:rsidRDefault="002C6241" w:rsidP="002C6241">
      <w:pPr>
        <w:jc w:val="both"/>
      </w:pPr>
    </w:p>
    <w:p w14:paraId="437D6786" w14:textId="77777777" w:rsidR="002C6241" w:rsidRPr="00FC4977" w:rsidRDefault="002C6241" w:rsidP="002C6241">
      <w:pPr>
        <w:pStyle w:val="Odsekzoznamu"/>
        <w:numPr>
          <w:ilvl w:val="0"/>
          <w:numId w:val="57"/>
        </w:numPr>
        <w:jc w:val="both"/>
      </w:pPr>
      <w:r w:rsidRPr="00FC4977">
        <w:t>predchádzajúce účtovnému obdobiu, ktoré predchádza účtovnému obdobiu, v ktorom žiadateľ predložil ŽoNFP, ak žiadateľ nedisponuje schválenou účtovnou závierkou podľ písm. a)</w:t>
      </w:r>
    </w:p>
    <w:p w14:paraId="3CF95805" w14:textId="77777777" w:rsidR="002C6241" w:rsidRPr="00FC4977" w:rsidRDefault="002C6241" w:rsidP="002C6241">
      <w:pPr>
        <w:jc w:val="both"/>
      </w:pPr>
    </w:p>
    <w:p w14:paraId="44B29793" w14:textId="77777777" w:rsidR="002C6241" w:rsidRPr="00FC4977" w:rsidRDefault="002C6241" w:rsidP="002C6241">
      <w:pPr>
        <w:jc w:val="both"/>
      </w:pPr>
      <w:r w:rsidRPr="00FC4977">
        <w:t>Schválená účtovná závierka predstavuje zostavenú účtovnú závierku, ktorá je schválená štatutárnym orgánom žiadateľa. Schválenou účtovnou závierkou sa nemyslí jej overenie účtovným audítorom (ak má žiadateľ povinnosť vykonať overenie účtovnej závierky audítorom), alebo schválenie zastupiteľstvom a pod.</w:t>
      </w:r>
    </w:p>
    <w:p w14:paraId="126DC17D" w14:textId="77777777" w:rsidR="002C6241" w:rsidRPr="00FC4977" w:rsidRDefault="002C6241" w:rsidP="002C6241">
      <w:pPr>
        <w:jc w:val="both"/>
      </w:pPr>
    </w:p>
    <w:p w14:paraId="17A49F25" w14:textId="77777777" w:rsidR="002C6241" w:rsidRPr="00FC4977" w:rsidRDefault="002C6241" w:rsidP="002C6241">
      <w:pPr>
        <w:jc w:val="both"/>
      </w:pPr>
      <w:r w:rsidRPr="00FC4977">
        <w:t>S ohľadom na rôzne právne formy a spôsoby vedenia účtovníctva existujú rôzne účtovné výkazy, ktorých špecifiká je potrebné zohľadniť (niektoré údaje sa nemusia v účtovnej závierke nachádzať, alebo sa nachádzajú na iných riadkoch účtovnej závierke).</w:t>
      </w:r>
    </w:p>
    <w:p w14:paraId="217A13E7" w14:textId="77777777" w:rsidR="002C6241" w:rsidRPr="00FC4977" w:rsidRDefault="002C6241" w:rsidP="002C6241">
      <w:pPr>
        <w:jc w:val="both"/>
      </w:pPr>
    </w:p>
    <w:p w14:paraId="635A4701" w14:textId="77777777" w:rsidR="002C6241" w:rsidRPr="00FC4977" w:rsidRDefault="002C6241" w:rsidP="002C6241">
      <w:pPr>
        <w:jc w:val="both"/>
      </w:pPr>
      <w:r w:rsidRPr="00FC4977">
        <w:t>Najčastejšími účtovnými výkazmi sú:</w:t>
      </w:r>
    </w:p>
    <w:p w14:paraId="1962D326" w14:textId="77777777" w:rsidR="002C6241" w:rsidRDefault="002C6241" w:rsidP="002C6241">
      <w:pPr>
        <w:jc w:val="both"/>
      </w:pPr>
    </w:p>
    <w:tbl>
      <w:tblPr>
        <w:tblW w:w="794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20" w:firstRow="1" w:lastRow="0" w:firstColumn="0" w:lastColumn="0" w:noHBand="0" w:noVBand="1"/>
      </w:tblPr>
      <w:tblGrid>
        <w:gridCol w:w="1103"/>
        <w:gridCol w:w="1377"/>
        <w:gridCol w:w="1376"/>
        <w:gridCol w:w="1376"/>
        <w:gridCol w:w="1376"/>
        <w:gridCol w:w="1376"/>
        <w:gridCol w:w="1376"/>
      </w:tblGrid>
      <w:tr w:rsidR="002C6241" w:rsidRPr="00FC4977" w14:paraId="007DB83A" w14:textId="77777777" w:rsidTr="00AE22FA">
        <w:trPr>
          <w:trHeight w:val="1383"/>
        </w:trPr>
        <w:tc>
          <w:tcPr>
            <w:tcW w:w="900" w:type="dxa"/>
            <w:shd w:val="clear" w:color="auto" w:fill="A6A6A6" w:themeFill="background1" w:themeFillShade="A6"/>
            <w:tcMar>
              <w:top w:w="72" w:type="dxa"/>
              <w:left w:w="144" w:type="dxa"/>
              <w:bottom w:w="72" w:type="dxa"/>
              <w:right w:w="144" w:type="dxa"/>
            </w:tcMar>
            <w:hideMark/>
          </w:tcPr>
          <w:p w14:paraId="7F4B0DDA" w14:textId="77777777" w:rsidR="002C6241" w:rsidRPr="00FC4977" w:rsidRDefault="002C6241" w:rsidP="00AE22FA">
            <w:pPr>
              <w:jc w:val="both"/>
              <w:rPr>
                <w:sz w:val="20"/>
              </w:rPr>
            </w:pPr>
            <w:r w:rsidRPr="00FC4977">
              <w:rPr>
                <w:b/>
                <w:bCs/>
                <w:sz w:val="20"/>
              </w:rPr>
              <w:t>Účtovníctvo a ÚJ</w:t>
            </w:r>
          </w:p>
        </w:tc>
        <w:tc>
          <w:tcPr>
            <w:tcW w:w="1139" w:type="dxa"/>
            <w:shd w:val="clear" w:color="auto" w:fill="A6A6A6" w:themeFill="background1" w:themeFillShade="A6"/>
            <w:tcMar>
              <w:top w:w="72" w:type="dxa"/>
              <w:left w:w="144" w:type="dxa"/>
              <w:bottom w:w="72" w:type="dxa"/>
              <w:right w:w="144" w:type="dxa"/>
            </w:tcMar>
            <w:hideMark/>
          </w:tcPr>
          <w:p w14:paraId="7D5F551C" w14:textId="77777777" w:rsidR="002C6241" w:rsidRPr="00FC4977" w:rsidRDefault="002C6241" w:rsidP="00AE22FA">
            <w:pPr>
              <w:jc w:val="both"/>
              <w:rPr>
                <w:sz w:val="20"/>
              </w:rPr>
            </w:pPr>
            <w:r w:rsidRPr="00FC4977">
              <w:rPr>
                <w:b/>
                <w:bCs/>
                <w:sz w:val="20"/>
              </w:rPr>
              <w:t>Podvojné účtovníctvo</w:t>
            </w:r>
          </w:p>
          <w:p w14:paraId="4D51092F" w14:textId="77777777" w:rsidR="002C6241" w:rsidRPr="00FC4977" w:rsidRDefault="002C6241" w:rsidP="00AE22FA">
            <w:pPr>
              <w:jc w:val="both"/>
              <w:rPr>
                <w:sz w:val="20"/>
              </w:rPr>
            </w:pPr>
            <w:r w:rsidRPr="00FC4977">
              <w:rPr>
                <w:b/>
                <w:bCs/>
                <w:sz w:val="20"/>
              </w:rPr>
              <w:t>Podnikatelia</w:t>
            </w:r>
          </w:p>
        </w:tc>
        <w:tc>
          <w:tcPr>
            <w:tcW w:w="1169" w:type="dxa"/>
            <w:shd w:val="clear" w:color="auto" w:fill="A6A6A6" w:themeFill="background1" w:themeFillShade="A6"/>
            <w:tcMar>
              <w:top w:w="72" w:type="dxa"/>
              <w:left w:w="144" w:type="dxa"/>
              <w:bottom w:w="72" w:type="dxa"/>
              <w:right w:w="144" w:type="dxa"/>
            </w:tcMar>
            <w:hideMark/>
          </w:tcPr>
          <w:p w14:paraId="38DA2D36" w14:textId="77777777" w:rsidR="002C6241" w:rsidRPr="00FC4977" w:rsidRDefault="002C6241" w:rsidP="00AE22FA">
            <w:pPr>
              <w:jc w:val="both"/>
              <w:rPr>
                <w:sz w:val="20"/>
              </w:rPr>
            </w:pPr>
            <w:r w:rsidRPr="00FC4977">
              <w:rPr>
                <w:b/>
                <w:bCs/>
                <w:sz w:val="20"/>
              </w:rPr>
              <w:t>Podvojné účtovníctvo</w:t>
            </w:r>
          </w:p>
          <w:p w14:paraId="250541FE" w14:textId="77777777" w:rsidR="002C6241" w:rsidRPr="00FC4977" w:rsidRDefault="002C6241" w:rsidP="00AE22FA">
            <w:pPr>
              <w:jc w:val="both"/>
              <w:rPr>
                <w:sz w:val="20"/>
              </w:rPr>
            </w:pPr>
            <w:r w:rsidRPr="00FC4977">
              <w:rPr>
                <w:b/>
                <w:bCs/>
                <w:sz w:val="20"/>
              </w:rPr>
              <w:t>podnikatelia</w:t>
            </w:r>
          </w:p>
          <w:p w14:paraId="55C16ACA" w14:textId="77777777" w:rsidR="002C6241" w:rsidRPr="00FC4977" w:rsidRDefault="002C6241" w:rsidP="00AE22FA">
            <w:pPr>
              <w:jc w:val="both"/>
              <w:rPr>
                <w:sz w:val="20"/>
              </w:rPr>
            </w:pPr>
            <w:r w:rsidRPr="00FC4977">
              <w:rPr>
                <w:b/>
                <w:bCs/>
                <w:sz w:val="20"/>
              </w:rPr>
              <w:t>tzv. Mirko účtovné jednotky</w:t>
            </w:r>
          </w:p>
        </w:tc>
        <w:tc>
          <w:tcPr>
            <w:tcW w:w="1266" w:type="dxa"/>
            <w:shd w:val="clear" w:color="auto" w:fill="A6A6A6" w:themeFill="background1" w:themeFillShade="A6"/>
            <w:tcMar>
              <w:top w:w="72" w:type="dxa"/>
              <w:left w:w="144" w:type="dxa"/>
              <w:bottom w:w="72" w:type="dxa"/>
              <w:right w:w="144" w:type="dxa"/>
            </w:tcMar>
            <w:hideMark/>
          </w:tcPr>
          <w:p w14:paraId="782AA617" w14:textId="77777777" w:rsidR="002C6241" w:rsidRPr="00FC4977" w:rsidRDefault="002C6241" w:rsidP="00AE22FA">
            <w:pPr>
              <w:jc w:val="both"/>
              <w:rPr>
                <w:sz w:val="20"/>
              </w:rPr>
            </w:pPr>
            <w:r>
              <w:rPr>
                <w:b/>
                <w:bCs/>
                <w:sz w:val="20"/>
              </w:rPr>
              <w:t>J</w:t>
            </w:r>
            <w:r w:rsidRPr="00FC4977">
              <w:rPr>
                <w:b/>
                <w:bCs/>
                <w:sz w:val="20"/>
              </w:rPr>
              <w:t>ednoduché účtovníctvo podnikatelia</w:t>
            </w:r>
          </w:p>
        </w:tc>
        <w:tc>
          <w:tcPr>
            <w:tcW w:w="1169" w:type="dxa"/>
            <w:shd w:val="clear" w:color="auto" w:fill="A6A6A6" w:themeFill="background1" w:themeFillShade="A6"/>
            <w:tcMar>
              <w:top w:w="72" w:type="dxa"/>
              <w:left w:w="144" w:type="dxa"/>
              <w:bottom w:w="72" w:type="dxa"/>
              <w:right w:w="144" w:type="dxa"/>
            </w:tcMar>
            <w:hideMark/>
          </w:tcPr>
          <w:p w14:paraId="1732B0FA" w14:textId="77777777" w:rsidR="002C6241" w:rsidRPr="00FC4977" w:rsidRDefault="002C6241" w:rsidP="00AE22FA">
            <w:pPr>
              <w:jc w:val="both"/>
              <w:rPr>
                <w:sz w:val="20"/>
              </w:rPr>
            </w:pPr>
            <w:r w:rsidRPr="00FC4977">
              <w:rPr>
                <w:b/>
                <w:bCs/>
                <w:sz w:val="20"/>
              </w:rPr>
              <w:t>Podvojné účtovníctvo</w:t>
            </w:r>
          </w:p>
          <w:p w14:paraId="0EBC1A99" w14:textId="77777777" w:rsidR="002C6241" w:rsidRPr="00FC4977" w:rsidRDefault="002C6241" w:rsidP="00AE22FA">
            <w:pPr>
              <w:jc w:val="both"/>
              <w:rPr>
                <w:sz w:val="20"/>
              </w:rPr>
            </w:pPr>
            <w:r w:rsidRPr="00FC4977">
              <w:rPr>
                <w:b/>
                <w:bCs/>
                <w:sz w:val="20"/>
              </w:rPr>
              <w:t>verejný sektor</w:t>
            </w:r>
          </w:p>
        </w:tc>
        <w:tc>
          <w:tcPr>
            <w:tcW w:w="1169" w:type="dxa"/>
            <w:shd w:val="clear" w:color="auto" w:fill="A6A6A6" w:themeFill="background1" w:themeFillShade="A6"/>
            <w:tcMar>
              <w:top w:w="72" w:type="dxa"/>
              <w:left w:w="144" w:type="dxa"/>
              <w:bottom w:w="72" w:type="dxa"/>
              <w:right w:w="144" w:type="dxa"/>
            </w:tcMar>
            <w:hideMark/>
          </w:tcPr>
          <w:p w14:paraId="615526C3" w14:textId="77777777" w:rsidR="002C6241" w:rsidRPr="00FC4977" w:rsidRDefault="002C6241" w:rsidP="00AE22FA">
            <w:pPr>
              <w:jc w:val="both"/>
              <w:rPr>
                <w:sz w:val="20"/>
              </w:rPr>
            </w:pPr>
            <w:r w:rsidRPr="00FC4977">
              <w:rPr>
                <w:b/>
                <w:bCs/>
                <w:sz w:val="20"/>
              </w:rPr>
              <w:t>Podvojné účtovníctvo</w:t>
            </w:r>
          </w:p>
          <w:p w14:paraId="1ABCF61C" w14:textId="77777777" w:rsidR="002C6241" w:rsidRPr="00FC4977" w:rsidRDefault="002C6241" w:rsidP="00AE22FA">
            <w:pPr>
              <w:jc w:val="both"/>
              <w:rPr>
                <w:sz w:val="20"/>
              </w:rPr>
            </w:pPr>
            <w:r w:rsidRPr="00FC4977">
              <w:rPr>
                <w:b/>
                <w:bCs/>
                <w:sz w:val="20"/>
              </w:rPr>
              <w:t>neziskové org.</w:t>
            </w:r>
          </w:p>
        </w:tc>
        <w:tc>
          <w:tcPr>
            <w:tcW w:w="1137" w:type="dxa"/>
            <w:shd w:val="clear" w:color="auto" w:fill="A6A6A6" w:themeFill="background1" w:themeFillShade="A6"/>
            <w:tcMar>
              <w:top w:w="72" w:type="dxa"/>
              <w:left w:w="144" w:type="dxa"/>
              <w:bottom w:w="72" w:type="dxa"/>
              <w:right w:w="144" w:type="dxa"/>
            </w:tcMar>
            <w:hideMark/>
          </w:tcPr>
          <w:p w14:paraId="5E3A5FE5" w14:textId="77777777" w:rsidR="002C6241" w:rsidRPr="00FC4977" w:rsidRDefault="002C6241" w:rsidP="00AE22FA">
            <w:pPr>
              <w:jc w:val="both"/>
              <w:rPr>
                <w:sz w:val="20"/>
              </w:rPr>
            </w:pPr>
            <w:r>
              <w:rPr>
                <w:b/>
                <w:bCs/>
                <w:sz w:val="20"/>
              </w:rPr>
              <w:t>J</w:t>
            </w:r>
            <w:r w:rsidRPr="00ED0446">
              <w:rPr>
                <w:b/>
                <w:bCs/>
                <w:sz w:val="20"/>
              </w:rPr>
              <w:t xml:space="preserve">ednoduché účtovníctvo </w:t>
            </w:r>
            <w:r w:rsidRPr="00FC4977">
              <w:rPr>
                <w:b/>
                <w:bCs/>
                <w:sz w:val="20"/>
              </w:rPr>
              <w:t>neziskové org.</w:t>
            </w:r>
          </w:p>
        </w:tc>
      </w:tr>
      <w:tr w:rsidR="002C6241" w:rsidRPr="00FC4977" w14:paraId="772C08B8" w14:textId="77777777" w:rsidTr="00AE22FA">
        <w:trPr>
          <w:trHeight w:val="1003"/>
        </w:trPr>
        <w:tc>
          <w:tcPr>
            <w:tcW w:w="900" w:type="dxa"/>
            <w:shd w:val="clear" w:color="auto" w:fill="D9D9D9" w:themeFill="background1" w:themeFillShade="D9"/>
            <w:tcMar>
              <w:top w:w="72" w:type="dxa"/>
              <w:left w:w="144" w:type="dxa"/>
              <w:bottom w:w="72" w:type="dxa"/>
              <w:right w:w="144" w:type="dxa"/>
            </w:tcMar>
            <w:hideMark/>
          </w:tcPr>
          <w:p w14:paraId="721128FD" w14:textId="77777777" w:rsidR="002C6241" w:rsidRPr="00FC4977" w:rsidRDefault="002C6241" w:rsidP="00AE22FA">
            <w:pPr>
              <w:jc w:val="both"/>
              <w:rPr>
                <w:sz w:val="20"/>
              </w:rPr>
            </w:pPr>
            <w:r w:rsidRPr="00FC4977">
              <w:rPr>
                <w:sz w:val="20"/>
              </w:rPr>
              <w:t>Vzor tlačív</w:t>
            </w:r>
          </w:p>
        </w:tc>
        <w:tc>
          <w:tcPr>
            <w:tcW w:w="1139" w:type="dxa"/>
            <w:shd w:val="clear" w:color="auto" w:fill="FFFFFF" w:themeFill="background1"/>
            <w:tcMar>
              <w:top w:w="72" w:type="dxa"/>
              <w:left w:w="144" w:type="dxa"/>
              <w:bottom w:w="72" w:type="dxa"/>
              <w:right w:w="144" w:type="dxa"/>
            </w:tcMar>
            <w:hideMark/>
          </w:tcPr>
          <w:p w14:paraId="175E5A4A" w14:textId="77777777" w:rsidR="002C6241" w:rsidRPr="00FC4977" w:rsidRDefault="002C6241" w:rsidP="00AE22FA">
            <w:pPr>
              <w:jc w:val="both"/>
              <w:rPr>
                <w:sz w:val="20"/>
              </w:rPr>
            </w:pPr>
            <w:r w:rsidRPr="00FC4977">
              <w:rPr>
                <w:sz w:val="20"/>
              </w:rPr>
              <w:t>Úč POD</w:t>
            </w:r>
          </w:p>
        </w:tc>
        <w:tc>
          <w:tcPr>
            <w:tcW w:w="1169" w:type="dxa"/>
            <w:shd w:val="clear" w:color="auto" w:fill="FFFFFF" w:themeFill="background1"/>
            <w:tcMar>
              <w:top w:w="72" w:type="dxa"/>
              <w:left w:w="144" w:type="dxa"/>
              <w:bottom w:w="72" w:type="dxa"/>
              <w:right w:w="144" w:type="dxa"/>
            </w:tcMar>
            <w:hideMark/>
          </w:tcPr>
          <w:p w14:paraId="19BA88CD" w14:textId="77777777" w:rsidR="002C6241" w:rsidRPr="00FC4977" w:rsidRDefault="002C6241" w:rsidP="00AE22FA">
            <w:pPr>
              <w:jc w:val="both"/>
              <w:rPr>
                <w:sz w:val="20"/>
              </w:rPr>
            </w:pPr>
            <w:r w:rsidRPr="00FC4977">
              <w:rPr>
                <w:sz w:val="20"/>
              </w:rPr>
              <w:t>Úč MÚJ</w:t>
            </w:r>
          </w:p>
        </w:tc>
        <w:tc>
          <w:tcPr>
            <w:tcW w:w="1266" w:type="dxa"/>
            <w:shd w:val="clear" w:color="auto" w:fill="FFFFFF" w:themeFill="background1"/>
            <w:tcMar>
              <w:top w:w="72" w:type="dxa"/>
              <w:left w:w="144" w:type="dxa"/>
              <w:bottom w:w="72" w:type="dxa"/>
              <w:right w:w="144" w:type="dxa"/>
            </w:tcMar>
            <w:hideMark/>
          </w:tcPr>
          <w:p w14:paraId="241ED1A1" w14:textId="77777777" w:rsidR="002C6241" w:rsidRPr="00FC4977" w:rsidRDefault="002C6241" w:rsidP="00AE22FA">
            <w:pPr>
              <w:jc w:val="both"/>
              <w:rPr>
                <w:sz w:val="20"/>
              </w:rPr>
            </w:pPr>
            <w:r w:rsidRPr="00FC4977">
              <w:rPr>
                <w:sz w:val="20"/>
              </w:rPr>
              <w:t>Úč FO</w:t>
            </w:r>
          </w:p>
        </w:tc>
        <w:tc>
          <w:tcPr>
            <w:tcW w:w="1169" w:type="dxa"/>
            <w:shd w:val="clear" w:color="auto" w:fill="FFFFFF" w:themeFill="background1"/>
            <w:tcMar>
              <w:top w:w="72" w:type="dxa"/>
              <w:left w:w="144" w:type="dxa"/>
              <w:bottom w:w="72" w:type="dxa"/>
              <w:right w:w="144" w:type="dxa"/>
            </w:tcMar>
            <w:hideMark/>
          </w:tcPr>
          <w:p w14:paraId="4D5CC6F5" w14:textId="77777777" w:rsidR="002C6241" w:rsidRPr="00FC4977" w:rsidRDefault="002C6241" w:rsidP="00AE22FA">
            <w:pPr>
              <w:jc w:val="both"/>
              <w:rPr>
                <w:sz w:val="20"/>
              </w:rPr>
            </w:pPr>
            <w:r w:rsidRPr="00FC4977">
              <w:rPr>
                <w:sz w:val="20"/>
              </w:rPr>
              <w:t>ROPO SFOV</w:t>
            </w:r>
          </w:p>
        </w:tc>
        <w:tc>
          <w:tcPr>
            <w:tcW w:w="1169" w:type="dxa"/>
            <w:shd w:val="clear" w:color="auto" w:fill="FFFFFF" w:themeFill="background1"/>
            <w:tcMar>
              <w:top w:w="72" w:type="dxa"/>
              <w:left w:w="144" w:type="dxa"/>
              <w:bottom w:w="72" w:type="dxa"/>
              <w:right w:w="144" w:type="dxa"/>
            </w:tcMar>
            <w:hideMark/>
          </w:tcPr>
          <w:p w14:paraId="7B498B0E" w14:textId="77777777" w:rsidR="002C6241" w:rsidRPr="00FC4977" w:rsidRDefault="002C6241" w:rsidP="00AE22FA">
            <w:pPr>
              <w:jc w:val="both"/>
              <w:rPr>
                <w:sz w:val="20"/>
              </w:rPr>
            </w:pPr>
            <w:r w:rsidRPr="00FC4977">
              <w:rPr>
                <w:sz w:val="20"/>
              </w:rPr>
              <w:t>Úč NUJ</w:t>
            </w:r>
          </w:p>
        </w:tc>
        <w:tc>
          <w:tcPr>
            <w:tcW w:w="1137" w:type="dxa"/>
            <w:shd w:val="clear" w:color="auto" w:fill="FFFFFF" w:themeFill="background1"/>
            <w:tcMar>
              <w:top w:w="72" w:type="dxa"/>
              <w:left w:w="144" w:type="dxa"/>
              <w:bottom w:w="72" w:type="dxa"/>
              <w:right w:w="144" w:type="dxa"/>
            </w:tcMar>
            <w:hideMark/>
          </w:tcPr>
          <w:p w14:paraId="4F68810F" w14:textId="77777777" w:rsidR="002C6241" w:rsidRPr="00FC4977" w:rsidRDefault="002C6241" w:rsidP="00AE22FA">
            <w:pPr>
              <w:jc w:val="both"/>
              <w:rPr>
                <w:sz w:val="20"/>
              </w:rPr>
            </w:pPr>
            <w:r w:rsidRPr="00FC4977">
              <w:rPr>
                <w:sz w:val="20"/>
              </w:rPr>
              <w:t>Úč NO</w:t>
            </w:r>
          </w:p>
        </w:tc>
      </w:tr>
      <w:tr w:rsidR="002C6241" w:rsidRPr="00FC4977" w14:paraId="3FE42E23" w14:textId="77777777" w:rsidTr="00AE22FA">
        <w:trPr>
          <w:trHeight w:val="1003"/>
        </w:trPr>
        <w:tc>
          <w:tcPr>
            <w:tcW w:w="900" w:type="dxa"/>
            <w:shd w:val="clear" w:color="auto" w:fill="D9D9D9" w:themeFill="background1" w:themeFillShade="D9"/>
            <w:tcMar>
              <w:top w:w="72" w:type="dxa"/>
              <w:left w:w="144" w:type="dxa"/>
              <w:bottom w:w="72" w:type="dxa"/>
              <w:right w:w="144" w:type="dxa"/>
            </w:tcMar>
            <w:hideMark/>
          </w:tcPr>
          <w:p w14:paraId="6F5766BD" w14:textId="77777777" w:rsidR="002C6241" w:rsidRPr="00FC4977" w:rsidRDefault="002C6241" w:rsidP="00AE22FA">
            <w:pPr>
              <w:jc w:val="both"/>
              <w:rPr>
                <w:sz w:val="20"/>
              </w:rPr>
            </w:pPr>
            <w:r w:rsidRPr="00FC4977">
              <w:rPr>
                <w:sz w:val="20"/>
              </w:rPr>
              <w:lastRenderedPageBreak/>
              <w:t>Opatrenie MF SR</w:t>
            </w:r>
          </w:p>
        </w:tc>
        <w:tc>
          <w:tcPr>
            <w:tcW w:w="1139" w:type="dxa"/>
            <w:shd w:val="clear" w:color="auto" w:fill="FFFFFF" w:themeFill="background1"/>
            <w:tcMar>
              <w:top w:w="72" w:type="dxa"/>
              <w:left w:w="144" w:type="dxa"/>
              <w:bottom w:w="72" w:type="dxa"/>
              <w:right w:w="144" w:type="dxa"/>
            </w:tcMar>
            <w:hideMark/>
          </w:tcPr>
          <w:p w14:paraId="070D5015" w14:textId="77777777" w:rsidR="002C6241" w:rsidRPr="00FC4977" w:rsidRDefault="002C6241" w:rsidP="00AE22FA">
            <w:pPr>
              <w:jc w:val="both"/>
              <w:rPr>
                <w:sz w:val="20"/>
              </w:rPr>
            </w:pPr>
            <w:r w:rsidRPr="00FC4977">
              <w:rPr>
                <w:sz w:val="20"/>
              </w:rPr>
              <w:t>MF/14770/2017-74 VÚJ MF/14776/2017-74 malé ÚJ</w:t>
            </w:r>
          </w:p>
        </w:tc>
        <w:tc>
          <w:tcPr>
            <w:tcW w:w="1169" w:type="dxa"/>
            <w:shd w:val="clear" w:color="auto" w:fill="FFFFFF" w:themeFill="background1"/>
            <w:tcMar>
              <w:top w:w="72" w:type="dxa"/>
              <w:left w:w="144" w:type="dxa"/>
              <w:bottom w:w="72" w:type="dxa"/>
              <w:right w:w="144" w:type="dxa"/>
            </w:tcMar>
            <w:hideMark/>
          </w:tcPr>
          <w:p w14:paraId="24C5ED01" w14:textId="77777777" w:rsidR="002C6241" w:rsidRPr="00FC4977" w:rsidRDefault="002C6241" w:rsidP="00AE22FA">
            <w:pPr>
              <w:jc w:val="both"/>
              <w:rPr>
                <w:sz w:val="20"/>
              </w:rPr>
            </w:pPr>
            <w:r w:rsidRPr="00FC4977">
              <w:rPr>
                <w:sz w:val="20"/>
              </w:rPr>
              <w:t>MF/14775/2017-74</w:t>
            </w:r>
          </w:p>
        </w:tc>
        <w:tc>
          <w:tcPr>
            <w:tcW w:w="1266" w:type="dxa"/>
            <w:shd w:val="clear" w:color="auto" w:fill="FFFFFF" w:themeFill="background1"/>
            <w:tcMar>
              <w:top w:w="72" w:type="dxa"/>
              <w:left w:w="144" w:type="dxa"/>
              <w:bottom w:w="72" w:type="dxa"/>
              <w:right w:w="144" w:type="dxa"/>
            </w:tcMar>
            <w:hideMark/>
          </w:tcPr>
          <w:p w14:paraId="5821FBC1" w14:textId="77777777" w:rsidR="002C6241" w:rsidRPr="00FC4977" w:rsidRDefault="002C6241" w:rsidP="00AE22FA">
            <w:pPr>
              <w:jc w:val="both"/>
              <w:rPr>
                <w:sz w:val="20"/>
              </w:rPr>
            </w:pPr>
            <w:r w:rsidRPr="00FC4977">
              <w:rPr>
                <w:sz w:val="20"/>
              </w:rPr>
              <w:t>MF/18451/2015-74</w:t>
            </w:r>
          </w:p>
        </w:tc>
        <w:tc>
          <w:tcPr>
            <w:tcW w:w="1169" w:type="dxa"/>
            <w:shd w:val="clear" w:color="auto" w:fill="FFFFFF" w:themeFill="background1"/>
            <w:tcMar>
              <w:top w:w="72" w:type="dxa"/>
              <w:left w:w="144" w:type="dxa"/>
              <w:bottom w:w="72" w:type="dxa"/>
              <w:right w:w="144" w:type="dxa"/>
            </w:tcMar>
            <w:hideMark/>
          </w:tcPr>
          <w:p w14:paraId="2AC40464" w14:textId="77777777" w:rsidR="002C6241" w:rsidRPr="00FC4977" w:rsidRDefault="002C6241" w:rsidP="00AE22FA">
            <w:pPr>
              <w:jc w:val="both"/>
              <w:rPr>
                <w:sz w:val="20"/>
              </w:rPr>
            </w:pPr>
            <w:r w:rsidRPr="00FC4977">
              <w:rPr>
                <w:sz w:val="20"/>
              </w:rPr>
              <w:t>MF/21227/2014-31</w:t>
            </w:r>
          </w:p>
        </w:tc>
        <w:tc>
          <w:tcPr>
            <w:tcW w:w="1169" w:type="dxa"/>
            <w:shd w:val="clear" w:color="auto" w:fill="FFFFFF" w:themeFill="background1"/>
            <w:tcMar>
              <w:top w:w="72" w:type="dxa"/>
              <w:left w:w="144" w:type="dxa"/>
              <w:bottom w:w="72" w:type="dxa"/>
              <w:right w:w="144" w:type="dxa"/>
            </w:tcMar>
            <w:hideMark/>
          </w:tcPr>
          <w:p w14:paraId="3CE92BAC" w14:textId="77777777" w:rsidR="002C6241" w:rsidRPr="00FC4977" w:rsidRDefault="002C6241" w:rsidP="00AE22FA">
            <w:pPr>
              <w:jc w:val="both"/>
              <w:rPr>
                <w:sz w:val="20"/>
              </w:rPr>
            </w:pPr>
            <w:r w:rsidRPr="00FC4977">
              <w:rPr>
                <w:sz w:val="20"/>
              </w:rPr>
              <w:t>MF/19760/2015-74</w:t>
            </w:r>
          </w:p>
        </w:tc>
        <w:tc>
          <w:tcPr>
            <w:tcW w:w="1137" w:type="dxa"/>
            <w:shd w:val="clear" w:color="auto" w:fill="FFFFFF" w:themeFill="background1"/>
            <w:tcMar>
              <w:top w:w="72" w:type="dxa"/>
              <w:left w:w="144" w:type="dxa"/>
              <w:bottom w:w="72" w:type="dxa"/>
              <w:right w:w="144" w:type="dxa"/>
            </w:tcMar>
            <w:hideMark/>
          </w:tcPr>
          <w:p w14:paraId="583D39ED" w14:textId="77777777" w:rsidR="002C6241" w:rsidRPr="00FC4977" w:rsidRDefault="002C6241" w:rsidP="00AE22FA">
            <w:pPr>
              <w:jc w:val="both"/>
              <w:rPr>
                <w:sz w:val="20"/>
              </w:rPr>
            </w:pPr>
            <w:r w:rsidRPr="00FC4977">
              <w:rPr>
                <w:sz w:val="20"/>
              </w:rPr>
              <w:t>MF/19751/2015-74</w:t>
            </w:r>
          </w:p>
        </w:tc>
      </w:tr>
    </w:tbl>
    <w:p w14:paraId="056778A3" w14:textId="77777777" w:rsidR="006A5294" w:rsidRDefault="006A5294" w:rsidP="00070252">
      <w:pPr>
        <w:jc w:val="both"/>
      </w:pPr>
    </w:p>
    <w:p w14:paraId="6D8BC1AE" w14:textId="77777777" w:rsidR="006A5294" w:rsidRDefault="006A5294" w:rsidP="00070252">
      <w:pPr>
        <w:jc w:val="both"/>
      </w:pPr>
    </w:p>
    <w:p w14:paraId="25922075" w14:textId="73CA549E" w:rsidR="00070252" w:rsidRPr="0056666E" w:rsidRDefault="00070252" w:rsidP="00070252">
      <w:pPr>
        <w:jc w:val="both"/>
      </w:pPr>
      <w:r>
        <w:t>Na záver je nutné zdôrazniť, že tento metodický pokyn má slúžiť iba ako podpora pri</w:t>
      </w:r>
      <w:r w:rsidR="00A75416">
        <w:t> </w:t>
      </w:r>
      <w:r>
        <w:t>hodnotení projektov, keďže vzhľadom na špecifiká každého projektu či sektora nie je možné zostaviť 100</w:t>
      </w:r>
      <w:r w:rsidR="00E906C9">
        <w:t xml:space="preserve"> </w:t>
      </w:r>
      <w:r>
        <w:t xml:space="preserve">%-ne univerzálny model. </w:t>
      </w:r>
      <w:r w:rsidR="00B83309">
        <w:t>RO môže použiť vlastný model analýzy hodnotenia finančného zdravia žiadateľa o NFP.</w:t>
      </w:r>
    </w:p>
    <w:p w14:paraId="71F3DFE0" w14:textId="77777777" w:rsidR="00460F75" w:rsidRDefault="006A5294" w:rsidP="006A5294">
      <w:pPr>
        <w:pStyle w:val="MPCKO1"/>
      </w:pPr>
      <w:bookmarkStart w:id="81" w:name="_Toc406160880"/>
      <w:bookmarkStart w:id="82" w:name="_Toc406160970"/>
      <w:bookmarkStart w:id="83" w:name="_Toc527539395"/>
      <w:r>
        <w:t>Zoznam príloh</w:t>
      </w:r>
      <w:bookmarkEnd w:id="81"/>
      <w:bookmarkEnd w:id="82"/>
      <w:bookmarkEnd w:id="83"/>
    </w:p>
    <w:bookmarkEnd w:id="1"/>
    <w:bookmarkEnd w:id="2"/>
    <w:p w14:paraId="33E07722" w14:textId="77777777" w:rsidR="006A5294" w:rsidRDefault="002C59A2" w:rsidP="006A5294">
      <w:r>
        <w:t>Príloha 1: Model súhrnného ukazovateľa hodnotenia firmy</w:t>
      </w:r>
    </w:p>
    <w:p w14:paraId="4547166A" w14:textId="77777777" w:rsidR="002C59A2" w:rsidRDefault="002C59A2" w:rsidP="006A5294">
      <w:r>
        <w:t>Príloha 2: Model hodnotenia subjektu verejnej správy</w:t>
      </w:r>
    </w:p>
    <w:p w14:paraId="5333A9C9" w14:textId="77777777" w:rsidR="002C59A2" w:rsidRDefault="005916F7" w:rsidP="006A5294">
      <w:r>
        <w:t>Príloha 3: Kontrolný zoznam</w:t>
      </w:r>
      <w:r w:rsidR="002C59A2">
        <w:t xml:space="preserve"> pre kontrolu CBA</w:t>
      </w:r>
    </w:p>
    <w:p w14:paraId="00057697" w14:textId="77777777" w:rsidR="001A315B" w:rsidRDefault="001A315B" w:rsidP="006A5294">
      <w:r>
        <w:t>Príloha 4: Ilustratívny príklad z metodického pokynu</w:t>
      </w:r>
    </w:p>
    <w:p w14:paraId="6CA327EA" w14:textId="77777777" w:rsidR="00233877" w:rsidRPr="006A5294" w:rsidRDefault="00233877" w:rsidP="006A5294">
      <w:r>
        <w:t>Príloha 5: Model indexu bonity</w:t>
      </w:r>
    </w:p>
    <w:sectPr w:rsidR="00233877" w:rsidRPr="006A5294" w:rsidSect="00623659">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0259EA" w14:textId="77777777" w:rsidR="009A1D39" w:rsidRDefault="009A1D39" w:rsidP="00B948E0">
      <w:r>
        <w:separator/>
      </w:r>
    </w:p>
  </w:endnote>
  <w:endnote w:type="continuationSeparator" w:id="0">
    <w:p w14:paraId="1B92FA57" w14:textId="77777777" w:rsidR="009A1D39" w:rsidRDefault="009A1D39" w:rsidP="00B948E0">
      <w:r>
        <w:continuationSeparator/>
      </w:r>
    </w:p>
  </w:endnote>
  <w:endnote w:type="continuationNotice" w:id="1">
    <w:p w14:paraId="75028F34" w14:textId="77777777" w:rsidR="009A1D39" w:rsidRDefault="009A1D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Lucida Sans Unicode">
    <w:panose1 w:val="020B0602030504020204"/>
    <w:charset w:val="EE"/>
    <w:family w:val="swiss"/>
    <w:pitch w:val="variable"/>
    <w:sig w:usb0="80000AFF" w:usb1="0000396B" w:usb2="00000000" w:usb3="00000000" w:csb0="000000B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EE"/>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6BC6D9" w14:textId="77777777" w:rsidR="00592ED8" w:rsidRDefault="00592ED8">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0EBD13" w14:textId="77777777" w:rsidR="00AE22FA" w:rsidRPr="00CF60E2" w:rsidRDefault="00AE22FA" w:rsidP="00CF60E2">
    <w:pPr>
      <w:tabs>
        <w:tab w:val="center" w:pos="4536"/>
        <w:tab w:val="right" w:pos="9072"/>
      </w:tabs>
      <w:jc w:val="right"/>
    </w:pPr>
    <w:r>
      <w:rPr>
        <w:noProof/>
      </w:rPr>
      <mc:AlternateContent>
        <mc:Choice Requires="wps">
          <w:drawing>
            <wp:anchor distT="0" distB="0" distL="114300" distR="114300" simplePos="0" relativeHeight="251653120" behindDoc="0" locked="0" layoutInCell="1" allowOverlap="1" wp14:anchorId="12BA1E4A" wp14:editId="0928B648">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79295AD0" id="Rovná spojnica 4" o:spid="_x0000_s1026" style="position:absolute;flip:y;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" strokecolor="#4f81bd" strokeweight="3pt">
              <v:shadow on="t" color="black" opacity="22937f" origin=",.5" offset="0,.63889mm"/>
              <o:lock v:ext="edit" shapetype="f"/>
            </v:line>
          </w:pict>
        </mc:Fallback>
      </mc:AlternateContent>
    </w:r>
  </w:p>
  <w:p w14:paraId="5378772A" w14:textId="6E1FC163" w:rsidR="00AE22FA" w:rsidRPr="00CF60E2" w:rsidRDefault="00AE22FA" w:rsidP="00CF60E2">
    <w:pPr>
      <w:tabs>
        <w:tab w:val="center" w:pos="4536"/>
        <w:tab w:val="right" w:pos="9072"/>
      </w:tabs>
      <w:jc w:val="right"/>
    </w:pPr>
    <w:r w:rsidRPr="00CF60E2">
      <w:rPr>
        <w:noProof/>
      </w:rPr>
      <w:drawing>
        <wp:anchor distT="0" distB="0" distL="114300" distR="114300" simplePos="0" relativeHeight="251655168" behindDoc="1" locked="0" layoutInCell="1" allowOverlap="1" wp14:anchorId="79E5A0E0" wp14:editId="79599E78">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anchor>
      </w:drawing>
    </w:r>
    <w:r w:rsidRPr="00CF60E2">
      <w:t xml:space="preserve">Strana </w:t>
    </w:r>
    <w:sdt>
      <w:sdtPr>
        <w:id w:val="320479949"/>
        <w:docPartObj>
          <w:docPartGallery w:val="Page Numbers (Bottom of Page)"/>
          <w:docPartUnique/>
        </w:docPartObj>
      </w:sdtPr>
      <w:sdtEndPr/>
      <w:sdtContent>
        <w:r>
          <w:fldChar w:fldCharType="begin"/>
        </w:r>
        <w:r>
          <w:instrText>PAGE   \* MERGEFORMAT</w:instrText>
        </w:r>
        <w:r>
          <w:fldChar w:fldCharType="separate"/>
        </w:r>
        <w:r w:rsidR="00AE0354">
          <w:rPr>
            <w:noProof/>
          </w:rPr>
          <w:t>1</w:t>
        </w:r>
        <w:r>
          <w:rPr>
            <w:noProof/>
          </w:rPr>
          <w:fldChar w:fldCharType="end"/>
        </w:r>
      </w:sdtContent>
    </w:sdt>
  </w:p>
  <w:p w14:paraId="4F806A5D" w14:textId="77777777" w:rsidR="00AE22FA" w:rsidRDefault="00AE22FA">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8C6C61" w14:textId="77777777" w:rsidR="00592ED8" w:rsidRDefault="00592ED8">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A0B34B" w14:textId="77777777" w:rsidR="009A1D39" w:rsidRDefault="009A1D39" w:rsidP="00B948E0">
      <w:r>
        <w:separator/>
      </w:r>
    </w:p>
  </w:footnote>
  <w:footnote w:type="continuationSeparator" w:id="0">
    <w:p w14:paraId="066B2E33" w14:textId="77777777" w:rsidR="009A1D39" w:rsidRDefault="009A1D39" w:rsidP="00B948E0">
      <w:r>
        <w:continuationSeparator/>
      </w:r>
    </w:p>
  </w:footnote>
  <w:footnote w:type="continuationNotice" w:id="1">
    <w:p w14:paraId="748403B0" w14:textId="77777777" w:rsidR="009A1D39" w:rsidRDefault="009A1D39"/>
  </w:footnote>
  <w:footnote w:id="2">
    <w:p w14:paraId="4A3F2A87" w14:textId="77777777" w:rsidR="00AE22FA" w:rsidRDefault="00AE22FA">
      <w:pPr>
        <w:pStyle w:val="Textpoznmkypodiarou"/>
      </w:pPr>
      <w:r>
        <w:rPr>
          <w:rStyle w:val="Odkaznapoznmkupodiarou"/>
        </w:rPr>
        <w:footnoteRef/>
      </w:r>
      <w:r>
        <w:t xml:space="preserve"> Pri posudzovaní finančnej ziskovosti národného kapitálu berieme do úvahy finančné prostriedky poskytnuté z národných zdrojov (súkromných aj verejných) bez pomoci EU.</w:t>
      </w:r>
    </w:p>
  </w:footnote>
  <w:footnote w:id="3">
    <w:p w14:paraId="744F61AB" w14:textId="77777777" w:rsidR="00AE22FA" w:rsidRPr="003959D5" w:rsidRDefault="00AE22FA" w:rsidP="004E27DF">
      <w:pPr>
        <w:pStyle w:val="Textpoznmkypodiarou"/>
        <w:rPr>
          <w:lang w:val="pl-PL"/>
        </w:rPr>
      </w:pPr>
      <w:r>
        <w:rPr>
          <w:rStyle w:val="Odkaznapoznmkupodiarou"/>
        </w:rPr>
        <w:footnoteRef/>
      </w:r>
      <w:r w:rsidRPr="003959D5">
        <w:rPr>
          <w:lang w:val="pl-PL"/>
        </w:rPr>
        <w:tab/>
        <w:t>Populácia, ktorá má z projektu priamy prínos.</w:t>
      </w:r>
    </w:p>
  </w:footnote>
  <w:footnote w:id="4">
    <w:p w14:paraId="2462DB27" w14:textId="77777777" w:rsidR="00AE22FA" w:rsidRDefault="00AE22FA">
      <w:pPr>
        <w:pStyle w:val="Textpoznmkypodiarou"/>
      </w:pPr>
      <w:r>
        <w:rPr>
          <w:rStyle w:val="Odkaznapoznmkupodiarou"/>
        </w:rPr>
        <w:footnoteRef/>
      </w:r>
      <w:r>
        <w:t xml:space="preserve"> </w:t>
      </w:r>
      <w:r>
        <w:rPr>
          <w:color w:val="1F497D"/>
        </w:rPr>
        <w:t>V zmysle návrhu zmluvy o NFP je pojem bezodkladne uvedený ako „</w:t>
      </w:r>
      <w:r>
        <w:t>najneskôr do siedmich dní od vzniku skutočnosti rozhodnej pre počítanie lehoty; lehoty, ibaže sa v konkrétnom ustanovení Zmluvy o poskytnutí NFP stanovuje odlišná lehota platná pre konkrétny prípad; pri počítaní lehôt je prvým dňom lehoty deň nasledujúci po dni vzniku príslušnej udalosti“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7C02BB" w14:textId="77777777" w:rsidR="00592ED8" w:rsidRDefault="00592ED8">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7E2EB9" w14:textId="60F55EFB" w:rsidR="00AE22FA" w:rsidRPr="00CF60E2" w:rsidRDefault="00AE22FA" w:rsidP="00CF60E2">
    <w:pPr>
      <w:tabs>
        <w:tab w:val="center" w:pos="4536"/>
        <w:tab w:val="right" w:pos="9072"/>
      </w:tabs>
    </w:pPr>
    <w:r>
      <w:rPr>
        <w:noProof/>
      </w:rPr>
      <mc:AlternateContent>
        <mc:Choice Requires="wps">
          <w:drawing>
            <wp:anchor distT="0" distB="0" distL="114300" distR="114300" simplePos="0" relativeHeight="251641856" behindDoc="0" locked="0" layoutInCell="1" allowOverlap="1" wp14:anchorId="2F41FBAC" wp14:editId="1160D266">
              <wp:simplePos x="0" y="0"/>
              <wp:positionH relativeFrom="column">
                <wp:posOffset>-4445</wp:posOffset>
              </wp:positionH>
              <wp:positionV relativeFrom="paragraph">
                <wp:posOffset>135255</wp:posOffset>
              </wp:positionV>
              <wp:extent cx="5762625" cy="9525"/>
              <wp:effectExtent l="57150" t="38100" r="47625" b="85725"/>
              <wp:wrapNone/>
              <wp:docPr id="3" name="Rovná spojnica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7A69FFD6" id="Rovná spojnica 3" o:spid="_x0000_s1026" style="position:absolute;flip:y;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" strokecolor="#4f81bd" strokeweight="3pt">
              <v:shadow on="t" color="black" opacity="22937f" origin=",.5" offset="0,.63889mm"/>
              <o:lock v:ext="edit" shapetype="f"/>
            </v:line>
          </w:pict>
        </mc:Fallback>
      </mc:AlternateContent>
    </w:r>
  </w:p>
  <w:sdt>
    <w:sdtPr>
      <w:rPr>
        <w:szCs w:val="20"/>
      </w:rPr>
      <w:id w:val="2070840989"/>
      <w:date w:fullDate="2018-10-31T00:00:00Z">
        <w:dateFormat w:val="dd.MM.yyyy"/>
        <w:lid w:val="sk-SK"/>
        <w:storeMappedDataAs w:val="dateTime"/>
        <w:calendar w:val="gregorian"/>
      </w:date>
    </w:sdtPr>
    <w:sdtEndPr/>
    <w:sdtContent>
      <w:p w14:paraId="26D35AF5" w14:textId="77777777" w:rsidR="00AE22FA" w:rsidRPr="00CF60E2" w:rsidRDefault="00AE22FA" w:rsidP="00CF60E2">
        <w:pPr>
          <w:tabs>
            <w:tab w:val="center" w:pos="4536"/>
            <w:tab w:val="right" w:pos="9072"/>
          </w:tabs>
          <w:jc w:val="right"/>
        </w:pPr>
        <w:r>
          <w:rPr>
            <w:szCs w:val="20"/>
          </w:rPr>
          <w:t>31.10.2018</w:t>
        </w:r>
      </w:p>
    </w:sdtContent>
  </w:sdt>
  <w:p w14:paraId="15552446" w14:textId="77777777" w:rsidR="00AE22FA" w:rsidRDefault="00AE22FA">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9B6603" w14:textId="77777777" w:rsidR="00592ED8" w:rsidRDefault="00592ED8">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C22325C"/>
    <w:lvl w:ilvl="0">
      <w:start w:val="1"/>
      <w:numFmt w:val="decimal"/>
      <w:pStyle w:val="slovanzoznam"/>
      <w:lvlText w:val="%1."/>
      <w:lvlJc w:val="left"/>
      <w:pPr>
        <w:tabs>
          <w:tab w:val="num" w:pos="360"/>
        </w:tabs>
        <w:ind w:left="360" w:hanging="360"/>
      </w:pPr>
    </w:lvl>
  </w:abstractNum>
  <w:abstractNum w:abstractNumId="1"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Symbol" w:hAnsi="Symbol"/>
      </w:rPr>
    </w:lvl>
  </w:abstractNum>
  <w:abstractNum w:abstractNumId="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4" w15:restartNumberingAfterBreak="0">
    <w:nsid w:val="00000005"/>
    <w:multiLevelType w:val="singleLevel"/>
    <w:tmpl w:val="00000005"/>
    <w:name w:val="WW8Num6"/>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6"/>
    <w:multiLevelType w:val="singleLevel"/>
    <w:tmpl w:val="DCF68D38"/>
    <w:name w:val="WW8Num7"/>
    <w:lvl w:ilvl="0">
      <w:start w:val="1"/>
      <w:numFmt w:val="lowerLetter"/>
      <w:lvlText w:val="%1)"/>
      <w:lvlJc w:val="left"/>
      <w:pPr>
        <w:tabs>
          <w:tab w:val="num" w:pos="720"/>
        </w:tabs>
        <w:ind w:left="720" w:hanging="360"/>
      </w:pPr>
      <w:rPr>
        <w:rFonts w:ascii="Times New Roman" w:eastAsia="Times New Roman" w:hAnsi="Times New Roman" w:cs="Times New Roman"/>
      </w:rPr>
    </w:lvl>
  </w:abstractNum>
  <w:abstractNum w:abstractNumId="6" w15:restartNumberingAfterBreak="0">
    <w:nsid w:val="00000007"/>
    <w:multiLevelType w:val="singleLevel"/>
    <w:tmpl w:val="00000007"/>
    <w:name w:val="WW8Num8"/>
    <w:lvl w:ilvl="0">
      <w:start w:val="2"/>
      <w:numFmt w:val="bullet"/>
      <w:lvlText w:val="-"/>
      <w:lvlJc w:val="left"/>
      <w:pPr>
        <w:tabs>
          <w:tab w:val="num" w:pos="720"/>
        </w:tabs>
        <w:ind w:left="720" w:hanging="360"/>
      </w:pPr>
      <w:rPr>
        <w:rFonts w:ascii="Times New Roman" w:hAnsi="Times New Roman" w:cs="Times New Roman"/>
      </w:rPr>
    </w:lvl>
  </w:abstractNum>
  <w:abstractNum w:abstractNumId="7" w15:restartNumberingAfterBreak="0">
    <w:nsid w:val="00000008"/>
    <w:multiLevelType w:val="singleLevel"/>
    <w:tmpl w:val="00000008"/>
    <w:name w:val="WW8Num9"/>
    <w:lvl w:ilvl="0">
      <w:start w:val="1"/>
      <w:numFmt w:val="bullet"/>
      <w:lvlText w:val=""/>
      <w:lvlJc w:val="left"/>
      <w:pPr>
        <w:tabs>
          <w:tab w:val="num" w:pos="720"/>
        </w:tabs>
        <w:ind w:left="720" w:hanging="360"/>
      </w:pPr>
      <w:rPr>
        <w:rFonts w:ascii="Symbol" w:hAnsi="Symbol"/>
      </w:rPr>
    </w:lvl>
  </w:abstractNum>
  <w:abstractNum w:abstractNumId="8" w15:restartNumberingAfterBreak="0">
    <w:nsid w:val="00000009"/>
    <w:multiLevelType w:val="multilevel"/>
    <w:tmpl w:val="98E8A404"/>
    <w:name w:val="WW8Num17"/>
    <w:lvl w:ilvl="0">
      <w:start w:val="1"/>
      <w:numFmt w:val="decimal"/>
      <w:lvlText w:val="%1."/>
      <w:lvlJc w:val="left"/>
      <w:pPr>
        <w:tabs>
          <w:tab w:val="num" w:pos="720"/>
        </w:tabs>
        <w:ind w:left="720" w:hanging="360"/>
      </w:pPr>
    </w:lvl>
    <w:lvl w:ilvl="1">
      <w:start w:val="5"/>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0000000A"/>
    <w:multiLevelType w:val="singleLevel"/>
    <w:tmpl w:val="041B0017"/>
    <w:lvl w:ilvl="0">
      <w:start w:val="1"/>
      <w:numFmt w:val="lowerLetter"/>
      <w:lvlText w:val="%1)"/>
      <w:lvlJc w:val="left"/>
      <w:pPr>
        <w:ind w:left="720" w:hanging="360"/>
      </w:pPr>
    </w:lvl>
  </w:abstractNum>
  <w:abstractNum w:abstractNumId="10" w15:restartNumberingAfterBreak="0">
    <w:nsid w:val="0000000B"/>
    <w:multiLevelType w:val="multilevel"/>
    <w:tmpl w:val="4EDE061A"/>
    <w:name w:val="WW8Num20"/>
    <w:lvl w:ilvl="0">
      <w:start w:val="1"/>
      <w:numFmt w:val="decimal"/>
      <w:lvlText w:val="%1."/>
      <w:lvlJc w:val="left"/>
      <w:pPr>
        <w:tabs>
          <w:tab w:val="num" w:pos="786"/>
        </w:tabs>
        <w:ind w:left="786" w:hanging="360"/>
      </w:pPr>
    </w:lvl>
    <w:lvl w:ilvl="1">
      <w:start w:val="8"/>
      <w:numFmt w:val="decimal"/>
      <w:isLgl/>
      <w:lvlText w:val="%1.%2"/>
      <w:lvlJc w:val="left"/>
      <w:pPr>
        <w:ind w:left="1215" w:hanging="735"/>
      </w:pPr>
      <w:rPr>
        <w:rFonts w:hint="default"/>
      </w:rPr>
    </w:lvl>
    <w:lvl w:ilvl="2">
      <w:start w:val="1"/>
      <w:numFmt w:val="decimal"/>
      <w:isLgl/>
      <w:lvlText w:val="%1.%2.%3"/>
      <w:lvlJc w:val="left"/>
      <w:pPr>
        <w:ind w:left="1215" w:hanging="735"/>
      </w:pPr>
      <w:rPr>
        <w:rFonts w:hint="default"/>
      </w:rPr>
    </w:lvl>
    <w:lvl w:ilvl="3">
      <w:start w:val="1"/>
      <w:numFmt w:val="decimal"/>
      <w:isLgl/>
      <w:lvlText w:val="%1.%2.%3.%4"/>
      <w:lvlJc w:val="left"/>
      <w:pPr>
        <w:ind w:left="1560" w:hanging="1080"/>
      </w:pPr>
      <w:rPr>
        <w:rFonts w:hint="default"/>
      </w:rPr>
    </w:lvl>
    <w:lvl w:ilvl="4">
      <w:start w:val="1"/>
      <w:numFmt w:val="decimal"/>
      <w:isLgl/>
      <w:lvlText w:val="%1.%2.%3.%4.%5"/>
      <w:lvlJc w:val="left"/>
      <w:pPr>
        <w:ind w:left="1560" w:hanging="1080"/>
      </w:pPr>
      <w:rPr>
        <w:rFonts w:hint="default"/>
      </w:rPr>
    </w:lvl>
    <w:lvl w:ilvl="5">
      <w:start w:val="1"/>
      <w:numFmt w:val="decimal"/>
      <w:isLgl/>
      <w:lvlText w:val="%1.%2.%3.%4.%5.%6"/>
      <w:lvlJc w:val="left"/>
      <w:pPr>
        <w:ind w:left="1920" w:hanging="1440"/>
      </w:pPr>
      <w:rPr>
        <w:rFonts w:hint="default"/>
      </w:rPr>
    </w:lvl>
    <w:lvl w:ilvl="6">
      <w:start w:val="1"/>
      <w:numFmt w:val="decimal"/>
      <w:isLgl/>
      <w:lvlText w:val="%1.%2.%3.%4.%5.%6.%7"/>
      <w:lvlJc w:val="left"/>
      <w:pPr>
        <w:ind w:left="1920" w:hanging="1440"/>
      </w:pPr>
      <w:rPr>
        <w:rFonts w:hint="default"/>
      </w:rPr>
    </w:lvl>
    <w:lvl w:ilvl="7">
      <w:start w:val="1"/>
      <w:numFmt w:val="decimal"/>
      <w:isLgl/>
      <w:lvlText w:val="%1.%2.%3.%4.%5.%6.%7.%8"/>
      <w:lvlJc w:val="left"/>
      <w:pPr>
        <w:ind w:left="2280" w:hanging="1800"/>
      </w:pPr>
      <w:rPr>
        <w:rFonts w:hint="default"/>
      </w:rPr>
    </w:lvl>
    <w:lvl w:ilvl="8">
      <w:start w:val="1"/>
      <w:numFmt w:val="decimal"/>
      <w:isLgl/>
      <w:lvlText w:val="%1.%2.%3.%4.%5.%6.%7.%8.%9"/>
      <w:lvlJc w:val="left"/>
      <w:pPr>
        <w:ind w:left="2640" w:hanging="2160"/>
      </w:pPr>
      <w:rPr>
        <w:rFonts w:hint="default"/>
      </w:rPr>
    </w:lvl>
  </w:abstractNum>
  <w:abstractNum w:abstractNumId="11" w15:restartNumberingAfterBreak="0">
    <w:nsid w:val="0000000C"/>
    <w:multiLevelType w:val="multilevel"/>
    <w:tmpl w:val="0000000C"/>
    <w:name w:val="WW8Num21"/>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2" w15:restartNumberingAfterBreak="0">
    <w:nsid w:val="0000000D"/>
    <w:multiLevelType w:val="singleLevel"/>
    <w:tmpl w:val="0000000D"/>
    <w:name w:val="WW8Num28"/>
    <w:lvl w:ilvl="0">
      <w:numFmt w:val="bullet"/>
      <w:lvlText w:val="-"/>
      <w:lvlJc w:val="left"/>
      <w:pPr>
        <w:tabs>
          <w:tab w:val="num" w:pos="720"/>
        </w:tabs>
        <w:ind w:left="720" w:hanging="360"/>
      </w:pPr>
      <w:rPr>
        <w:rFonts w:ascii="Arial" w:hAnsi="Arial" w:cs="Arial"/>
      </w:rPr>
    </w:lvl>
  </w:abstractNum>
  <w:abstractNum w:abstractNumId="13" w15:restartNumberingAfterBreak="0">
    <w:nsid w:val="0000000E"/>
    <w:multiLevelType w:val="multilevel"/>
    <w:tmpl w:val="0000000E"/>
    <w:name w:val="WW8Num29"/>
    <w:lvl w:ilvl="0">
      <w:start w:val="1"/>
      <w:numFmt w:val="decimal"/>
      <w:lvlText w:val="%1."/>
      <w:lvlJc w:val="left"/>
      <w:pPr>
        <w:tabs>
          <w:tab w:val="num" w:pos="720"/>
        </w:tabs>
        <w:ind w:left="720" w:hanging="360"/>
      </w:pPr>
    </w:lvl>
    <w:lvl w:ilvl="1">
      <w:start w:val="1"/>
      <w:numFmt w:val="decimal"/>
      <w:lvlText w:val="%1.%2"/>
      <w:lvlJc w:val="left"/>
      <w:pPr>
        <w:tabs>
          <w:tab w:val="num" w:pos="0"/>
        </w:tabs>
        <w:ind w:left="735" w:hanging="375"/>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520" w:hanging="2160"/>
      </w:pPr>
    </w:lvl>
  </w:abstractNum>
  <w:abstractNum w:abstractNumId="14" w15:restartNumberingAfterBreak="0">
    <w:nsid w:val="0000000F"/>
    <w:multiLevelType w:val="singleLevel"/>
    <w:tmpl w:val="0000000F"/>
    <w:name w:val="WW8Num31"/>
    <w:lvl w:ilvl="0">
      <w:start w:val="8"/>
      <w:numFmt w:val="bullet"/>
      <w:lvlText w:val="-"/>
      <w:lvlJc w:val="left"/>
      <w:pPr>
        <w:tabs>
          <w:tab w:val="num" w:pos="720"/>
        </w:tabs>
        <w:ind w:left="720" w:hanging="360"/>
      </w:pPr>
      <w:rPr>
        <w:rFonts w:ascii="Times New Roman" w:hAnsi="Times New Roman" w:cs="Times New Roman"/>
      </w:rPr>
    </w:lvl>
  </w:abstractNum>
  <w:abstractNum w:abstractNumId="15" w15:restartNumberingAfterBreak="0">
    <w:nsid w:val="00000010"/>
    <w:multiLevelType w:val="singleLevel"/>
    <w:tmpl w:val="00000010"/>
    <w:name w:val="WW8Num32"/>
    <w:lvl w:ilvl="0">
      <w:start w:val="1"/>
      <w:numFmt w:val="lowerLetter"/>
      <w:lvlText w:val="%1)"/>
      <w:lvlJc w:val="left"/>
      <w:pPr>
        <w:tabs>
          <w:tab w:val="num" w:pos="360"/>
        </w:tabs>
        <w:ind w:left="360" w:hanging="360"/>
      </w:pPr>
    </w:lvl>
  </w:abstractNum>
  <w:abstractNum w:abstractNumId="16" w15:restartNumberingAfterBreak="0">
    <w:nsid w:val="00000011"/>
    <w:multiLevelType w:val="singleLevel"/>
    <w:tmpl w:val="00000011"/>
    <w:name w:val="WW8Num33"/>
    <w:lvl w:ilvl="0">
      <w:start w:val="1"/>
      <w:numFmt w:val="bullet"/>
      <w:lvlText w:val=""/>
      <w:lvlJc w:val="left"/>
      <w:pPr>
        <w:tabs>
          <w:tab w:val="num" w:pos="720"/>
        </w:tabs>
        <w:ind w:left="720" w:hanging="360"/>
      </w:pPr>
      <w:rPr>
        <w:rFonts w:ascii="Symbol" w:hAnsi="Symbol"/>
      </w:rPr>
    </w:lvl>
  </w:abstractNum>
  <w:abstractNum w:abstractNumId="17" w15:restartNumberingAfterBreak="0">
    <w:nsid w:val="00000012"/>
    <w:multiLevelType w:val="singleLevel"/>
    <w:tmpl w:val="B2BE9416"/>
    <w:name w:val="WW8Num35"/>
    <w:lvl w:ilvl="0">
      <w:start w:val="1"/>
      <w:numFmt w:val="lowerLetter"/>
      <w:lvlText w:val="%1)"/>
      <w:lvlJc w:val="left"/>
      <w:pPr>
        <w:tabs>
          <w:tab w:val="num" w:pos="720"/>
        </w:tabs>
        <w:ind w:left="720" w:hanging="360"/>
      </w:pPr>
      <w:rPr>
        <w:rFonts w:ascii="Times New Roman" w:eastAsia="Times New Roman" w:hAnsi="Times New Roman" w:cs="Times New Roman"/>
      </w:rPr>
    </w:lvl>
  </w:abstractNum>
  <w:abstractNum w:abstractNumId="18" w15:restartNumberingAfterBreak="0">
    <w:nsid w:val="00000013"/>
    <w:multiLevelType w:val="singleLevel"/>
    <w:tmpl w:val="3C1E94E4"/>
    <w:name w:val="WW8Num36"/>
    <w:lvl w:ilvl="0">
      <w:start w:val="1"/>
      <w:numFmt w:val="lowerLetter"/>
      <w:lvlText w:val="%1)"/>
      <w:lvlJc w:val="left"/>
      <w:pPr>
        <w:tabs>
          <w:tab w:val="num" w:pos="720"/>
        </w:tabs>
        <w:ind w:left="720" w:hanging="360"/>
      </w:pPr>
      <w:rPr>
        <w:rFonts w:ascii="Times New Roman" w:eastAsia="Times New Roman" w:hAnsi="Times New Roman" w:cs="Times New Roman"/>
      </w:rPr>
    </w:lvl>
  </w:abstractNum>
  <w:abstractNum w:abstractNumId="19" w15:restartNumberingAfterBreak="0">
    <w:nsid w:val="00000014"/>
    <w:multiLevelType w:val="singleLevel"/>
    <w:tmpl w:val="00000014"/>
    <w:name w:val="WW8Num39"/>
    <w:lvl w:ilvl="0">
      <w:start w:val="1"/>
      <w:numFmt w:val="bullet"/>
      <w:lvlText w:val=""/>
      <w:lvlJc w:val="left"/>
      <w:pPr>
        <w:tabs>
          <w:tab w:val="num" w:pos="1069"/>
        </w:tabs>
        <w:ind w:left="1069" w:hanging="360"/>
      </w:pPr>
      <w:rPr>
        <w:rFonts w:ascii="Symbol" w:hAnsi="Symbol"/>
      </w:rPr>
    </w:lvl>
  </w:abstractNum>
  <w:abstractNum w:abstractNumId="20" w15:restartNumberingAfterBreak="0">
    <w:nsid w:val="00000015"/>
    <w:multiLevelType w:val="singleLevel"/>
    <w:tmpl w:val="00000015"/>
    <w:name w:val="WW8Num41"/>
    <w:lvl w:ilvl="0">
      <w:start w:val="1"/>
      <w:numFmt w:val="lowerLetter"/>
      <w:lvlText w:val="%1)"/>
      <w:lvlJc w:val="left"/>
      <w:pPr>
        <w:tabs>
          <w:tab w:val="num" w:pos="0"/>
        </w:tabs>
        <w:ind w:left="720" w:hanging="360"/>
      </w:pPr>
      <w:rPr>
        <w:rFonts w:ascii="Arial" w:hAnsi="Arial"/>
        <w:b/>
      </w:rPr>
    </w:lvl>
  </w:abstractNum>
  <w:abstractNum w:abstractNumId="21" w15:restartNumberingAfterBreak="0">
    <w:nsid w:val="00000016"/>
    <w:multiLevelType w:val="singleLevel"/>
    <w:tmpl w:val="00000016"/>
    <w:name w:val="WW8Num44"/>
    <w:lvl w:ilvl="0">
      <w:start w:val="1"/>
      <w:numFmt w:val="bullet"/>
      <w:lvlText w:val=""/>
      <w:lvlJc w:val="left"/>
      <w:pPr>
        <w:tabs>
          <w:tab w:val="num" w:pos="720"/>
        </w:tabs>
        <w:ind w:left="720" w:hanging="360"/>
      </w:pPr>
      <w:rPr>
        <w:rFonts w:ascii="Symbol" w:hAnsi="Symbol"/>
      </w:rPr>
    </w:lvl>
  </w:abstractNum>
  <w:abstractNum w:abstractNumId="22" w15:restartNumberingAfterBreak="0">
    <w:nsid w:val="00000017"/>
    <w:multiLevelType w:val="multilevel"/>
    <w:tmpl w:val="A43E8998"/>
    <w:name w:val="WW8Num45"/>
    <w:lvl w:ilvl="0">
      <w:start w:val="1"/>
      <w:numFmt w:val="decimal"/>
      <w:lvlText w:val="%1."/>
      <w:lvlJc w:val="left"/>
      <w:pPr>
        <w:tabs>
          <w:tab w:val="num" w:pos="720"/>
        </w:tabs>
        <w:ind w:left="720" w:hanging="360"/>
      </w:pPr>
    </w:lvl>
    <w:lvl w:ilvl="1">
      <w:start w:val="4"/>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15:restartNumberingAfterBreak="0">
    <w:nsid w:val="00000018"/>
    <w:multiLevelType w:val="singleLevel"/>
    <w:tmpl w:val="00000018"/>
    <w:name w:val="WW8Num46"/>
    <w:lvl w:ilvl="0">
      <w:start w:val="1"/>
      <w:numFmt w:val="bullet"/>
      <w:lvlText w:val=""/>
      <w:lvlJc w:val="left"/>
      <w:pPr>
        <w:tabs>
          <w:tab w:val="num" w:pos="720"/>
        </w:tabs>
        <w:ind w:left="720" w:hanging="360"/>
      </w:pPr>
      <w:rPr>
        <w:rFonts w:ascii="Symbol" w:hAnsi="Symbol"/>
      </w:rPr>
    </w:lvl>
  </w:abstractNum>
  <w:abstractNum w:abstractNumId="24" w15:restartNumberingAfterBreak="0">
    <w:nsid w:val="00000019"/>
    <w:multiLevelType w:val="singleLevel"/>
    <w:tmpl w:val="00000019"/>
    <w:name w:val="WW8Num49"/>
    <w:lvl w:ilvl="0">
      <w:start w:val="1"/>
      <w:numFmt w:val="decimal"/>
      <w:lvlText w:val="%1."/>
      <w:lvlJc w:val="left"/>
      <w:pPr>
        <w:tabs>
          <w:tab w:val="num" w:pos="720"/>
        </w:tabs>
        <w:ind w:left="720" w:hanging="360"/>
      </w:pPr>
      <w:rPr>
        <w:rFonts w:ascii="Times New Roman" w:eastAsia="Times New Roman" w:hAnsi="Times New Roman" w:cs="Times New Roman"/>
      </w:rPr>
    </w:lvl>
  </w:abstractNum>
  <w:abstractNum w:abstractNumId="25" w15:restartNumberingAfterBreak="0">
    <w:nsid w:val="0000001A"/>
    <w:multiLevelType w:val="singleLevel"/>
    <w:tmpl w:val="0000001A"/>
    <w:name w:val="WW8Num53"/>
    <w:lvl w:ilvl="0">
      <w:start w:val="1"/>
      <w:numFmt w:val="bullet"/>
      <w:lvlText w:val=""/>
      <w:lvlJc w:val="left"/>
      <w:pPr>
        <w:tabs>
          <w:tab w:val="num" w:pos="0"/>
        </w:tabs>
        <w:ind w:left="720" w:hanging="360"/>
      </w:pPr>
      <w:rPr>
        <w:rFonts w:ascii="Symbol" w:hAnsi="Symbol"/>
      </w:rPr>
    </w:lvl>
  </w:abstractNum>
  <w:abstractNum w:abstractNumId="26" w15:restartNumberingAfterBreak="0">
    <w:nsid w:val="01717B1F"/>
    <w:multiLevelType w:val="hybridMultilevel"/>
    <w:tmpl w:val="4C969C3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047E1711"/>
    <w:multiLevelType w:val="hybridMultilevel"/>
    <w:tmpl w:val="363E44E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05B1108D"/>
    <w:multiLevelType w:val="multilevel"/>
    <w:tmpl w:val="43E8A65A"/>
    <w:lvl w:ilvl="0">
      <w:start w:val="1"/>
      <w:numFmt w:val="decimal"/>
      <w:lvlText w:val="%1)"/>
      <w:lvlJc w:val="left"/>
      <w:pPr>
        <w:tabs>
          <w:tab w:val="num" w:pos="1417"/>
        </w:tabs>
        <w:ind w:left="1417" w:hanging="567"/>
      </w:p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9" w15:restartNumberingAfterBreak="0">
    <w:nsid w:val="09AC3E68"/>
    <w:multiLevelType w:val="hybridMultilevel"/>
    <w:tmpl w:val="D4B0E5D2"/>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0B0166E3"/>
    <w:multiLevelType w:val="hybridMultilevel"/>
    <w:tmpl w:val="DB783EF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0CDB5D7E"/>
    <w:multiLevelType w:val="hybridMultilevel"/>
    <w:tmpl w:val="C978815C"/>
    <w:lvl w:ilvl="0" w:tplc="AC1403B0">
      <w:start w:val="1"/>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11603168"/>
    <w:multiLevelType w:val="hybridMultilevel"/>
    <w:tmpl w:val="65ACD7EC"/>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14AC35E6"/>
    <w:multiLevelType w:val="hybridMultilevel"/>
    <w:tmpl w:val="F2A0AB5C"/>
    <w:lvl w:ilvl="0" w:tplc="041B001B">
      <w:start w:val="1"/>
      <w:numFmt w:val="lowerRoman"/>
      <w:lvlText w:val="%1."/>
      <w:lvlJc w:val="right"/>
      <w:pPr>
        <w:ind w:left="2160" w:hanging="18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1754184A"/>
    <w:multiLevelType w:val="hybridMultilevel"/>
    <w:tmpl w:val="2648EE9E"/>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5" w15:restartNumberingAfterBreak="0">
    <w:nsid w:val="183E3095"/>
    <w:multiLevelType w:val="hybridMultilevel"/>
    <w:tmpl w:val="E16A2C60"/>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18843207"/>
    <w:multiLevelType w:val="multilevel"/>
    <w:tmpl w:val="FFBA1FD8"/>
    <w:lvl w:ilvl="0">
      <w:start w:val="1"/>
      <w:numFmt w:val="decimal"/>
      <w:lvlText w:val="%1)"/>
      <w:lvlJc w:val="left"/>
      <w:pPr>
        <w:tabs>
          <w:tab w:val="num" w:pos="1701"/>
        </w:tabs>
        <w:ind w:left="1701" w:hanging="850"/>
      </w:pPr>
    </w:lvl>
    <w:lvl w:ilvl="1">
      <w:start w:val="1"/>
      <w:numFmt w:val="lowerLetter"/>
      <w:lvlText w:val="(%2)"/>
      <w:lvlJc w:val="left"/>
      <w:pPr>
        <w:tabs>
          <w:tab w:val="num" w:pos="991"/>
        </w:tabs>
        <w:ind w:left="991" w:hanging="850"/>
      </w:pPr>
    </w:lvl>
    <w:lvl w:ilvl="2">
      <w:start w:val="1"/>
      <w:numFmt w:val="decimal"/>
      <w:lvlText w:val="(%3)"/>
      <w:lvlJc w:val="left"/>
      <w:pPr>
        <w:tabs>
          <w:tab w:val="num" w:pos="1558"/>
        </w:tabs>
        <w:ind w:left="1558" w:hanging="567"/>
      </w:pPr>
    </w:lvl>
    <w:lvl w:ilvl="3">
      <w:start w:val="1"/>
      <w:numFmt w:val="lowerLetter"/>
      <w:lvlText w:val="(%4)"/>
      <w:lvlJc w:val="left"/>
      <w:pPr>
        <w:tabs>
          <w:tab w:val="num" w:pos="1558"/>
        </w:tabs>
        <w:ind w:left="1558" w:hanging="567"/>
      </w:pPr>
    </w:lvl>
    <w:lvl w:ilvl="4">
      <w:start w:val="1"/>
      <w:numFmt w:val="decimal"/>
      <w:lvlText w:val="(%5)"/>
      <w:lvlJc w:val="left"/>
      <w:pPr>
        <w:tabs>
          <w:tab w:val="num" w:pos="2125"/>
        </w:tabs>
        <w:ind w:left="2125" w:hanging="567"/>
      </w:pPr>
    </w:lvl>
    <w:lvl w:ilvl="5">
      <w:start w:val="1"/>
      <w:numFmt w:val="lowerLetter"/>
      <w:lvlText w:val="(%6)"/>
      <w:lvlJc w:val="left"/>
      <w:pPr>
        <w:tabs>
          <w:tab w:val="num" w:pos="2125"/>
        </w:tabs>
        <w:ind w:left="2125" w:hanging="567"/>
      </w:pPr>
    </w:lvl>
    <w:lvl w:ilvl="6">
      <w:start w:val="1"/>
      <w:numFmt w:val="decimal"/>
      <w:lvlText w:val="(%7)"/>
      <w:lvlJc w:val="left"/>
      <w:pPr>
        <w:tabs>
          <w:tab w:val="num" w:pos="2692"/>
        </w:tabs>
        <w:ind w:left="2692" w:hanging="567"/>
      </w:pPr>
    </w:lvl>
    <w:lvl w:ilvl="7">
      <w:start w:val="1"/>
      <w:numFmt w:val="lowerLetter"/>
      <w:lvlText w:val="(%8)"/>
      <w:lvlJc w:val="left"/>
      <w:pPr>
        <w:tabs>
          <w:tab w:val="num" w:pos="2692"/>
        </w:tabs>
        <w:ind w:left="2692" w:hanging="567"/>
      </w:pPr>
    </w:lvl>
    <w:lvl w:ilvl="8">
      <w:start w:val="1"/>
      <w:numFmt w:val="lowerLetter"/>
      <w:lvlText w:val="(%9)"/>
      <w:lvlJc w:val="left"/>
      <w:pPr>
        <w:tabs>
          <w:tab w:val="num" w:pos="3259"/>
        </w:tabs>
        <w:ind w:left="3259" w:hanging="567"/>
      </w:pPr>
    </w:lvl>
  </w:abstractNum>
  <w:abstractNum w:abstractNumId="37" w15:restartNumberingAfterBreak="0">
    <w:nsid w:val="19741B8D"/>
    <w:multiLevelType w:val="multilevel"/>
    <w:tmpl w:val="43E8A65A"/>
    <w:lvl w:ilvl="0">
      <w:start w:val="1"/>
      <w:numFmt w:val="decimal"/>
      <w:lvlText w:val="%1)"/>
      <w:lvlJc w:val="left"/>
      <w:pPr>
        <w:tabs>
          <w:tab w:val="num" w:pos="1417"/>
        </w:tabs>
        <w:ind w:left="1417" w:hanging="567"/>
      </w:p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39" w15:restartNumberingAfterBreak="0">
    <w:nsid w:val="1BB11347"/>
    <w:multiLevelType w:val="hybridMultilevel"/>
    <w:tmpl w:val="2648EE9E"/>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0" w15:restartNumberingAfterBreak="0">
    <w:nsid w:val="1D47563F"/>
    <w:multiLevelType w:val="hybridMultilevel"/>
    <w:tmpl w:val="E4AC3926"/>
    <w:lvl w:ilvl="0" w:tplc="041B0011">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212546F7"/>
    <w:multiLevelType w:val="hybridMultilevel"/>
    <w:tmpl w:val="205017A8"/>
    <w:lvl w:ilvl="0" w:tplc="CA82629C">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228C1DCF"/>
    <w:multiLevelType w:val="hybridMultilevel"/>
    <w:tmpl w:val="67C68B80"/>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26664F6D"/>
    <w:multiLevelType w:val="hybridMultilevel"/>
    <w:tmpl w:val="808014F2"/>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280A3040"/>
    <w:multiLevelType w:val="hybridMultilevel"/>
    <w:tmpl w:val="91249F3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295E2D97"/>
    <w:multiLevelType w:val="hybridMultilevel"/>
    <w:tmpl w:val="8A58C5EC"/>
    <w:lvl w:ilvl="0" w:tplc="041B001B">
      <w:start w:val="1"/>
      <w:numFmt w:val="lowerRoman"/>
      <w:lvlText w:val="%1."/>
      <w:lvlJc w:val="righ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47" w15:restartNumberingAfterBreak="0">
    <w:nsid w:val="296B1F27"/>
    <w:multiLevelType w:val="hybridMultilevel"/>
    <w:tmpl w:val="71289C5A"/>
    <w:lvl w:ilvl="0" w:tplc="041B000F">
      <w:start w:val="1"/>
      <w:numFmt w:val="decimal"/>
      <w:lvlText w:val="%1."/>
      <w:lvlJc w:val="left"/>
      <w:pPr>
        <w:ind w:left="720" w:hanging="360"/>
      </w:pPr>
      <w:rPr>
        <w:rFonts w:hint="default"/>
      </w:rPr>
    </w:lvl>
    <w:lvl w:ilvl="1" w:tplc="C846E06E">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2EA23DEA"/>
    <w:multiLevelType w:val="hybridMultilevel"/>
    <w:tmpl w:val="EA8CC306"/>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2EDD1EC0"/>
    <w:multiLevelType w:val="hybridMultilevel"/>
    <w:tmpl w:val="66204A74"/>
    <w:lvl w:ilvl="0" w:tplc="041B0011">
      <w:start w:val="1"/>
      <w:numFmt w:val="decimal"/>
      <w:lvlText w:val="%1)"/>
      <w:lvlJc w:val="left"/>
      <w:pPr>
        <w:ind w:left="720" w:hanging="360"/>
      </w:pPr>
      <w:rPr>
        <w:rFonts w:hint="default"/>
      </w:rPr>
    </w:lvl>
    <w:lvl w:ilvl="1" w:tplc="9FCC04E6">
      <w:start w:val="1"/>
      <w:numFmt w:val="decimal"/>
      <w:lvlText w:val="%2."/>
      <w:lvlJc w:val="left"/>
      <w:pPr>
        <w:ind w:left="2070" w:hanging="99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30EB5636"/>
    <w:multiLevelType w:val="hybridMultilevel"/>
    <w:tmpl w:val="4F4EF91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3896053E"/>
    <w:multiLevelType w:val="hybridMultilevel"/>
    <w:tmpl w:val="ADD2FDDC"/>
    <w:lvl w:ilvl="0" w:tplc="041B0017">
      <w:start w:val="1"/>
      <w:numFmt w:val="lowerLetter"/>
      <w:lvlText w:val="%1)"/>
      <w:lvlJc w:val="left"/>
      <w:pPr>
        <w:ind w:left="720" w:hanging="360"/>
      </w:pPr>
      <w:rPr>
        <w:rFonts w:hint="default"/>
        <w:color w:val="auto"/>
        <w:sz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3ACA0DBA"/>
    <w:multiLevelType w:val="hybridMultilevel"/>
    <w:tmpl w:val="6F8CB592"/>
    <w:lvl w:ilvl="0" w:tplc="041B0011">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414F2A56"/>
    <w:multiLevelType w:val="multilevel"/>
    <w:tmpl w:val="D9B694A6"/>
    <w:lvl w:ilvl="0">
      <w:start w:val="1"/>
      <w:numFmt w:val="lowerLetter"/>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4" w15:restartNumberingAfterBreak="0">
    <w:nsid w:val="42713452"/>
    <w:multiLevelType w:val="multilevel"/>
    <w:tmpl w:val="230875FE"/>
    <w:name w:val="Tiret 1"/>
    <w:lvl w:ilvl="0">
      <w:start w:val="1"/>
      <w:numFmt w:val="decimal"/>
      <w:lvlText w:val="%1."/>
      <w:lvlJc w:val="left"/>
      <w:pPr>
        <w:tabs>
          <w:tab w:val="num" w:pos="1417"/>
        </w:tabs>
        <w:ind w:left="1417" w:hanging="567"/>
      </w:pPr>
      <w:rPr>
        <w:rFonts w:ascii="Times New Roman" w:eastAsia="Calibri" w:hAnsi="Times New Roman" w:cs="Times New Roman"/>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5" w15:restartNumberingAfterBreak="0">
    <w:nsid w:val="4552127F"/>
    <w:multiLevelType w:val="singleLevel"/>
    <w:tmpl w:val="9E84A474"/>
    <w:name w:val="Bullet 0"/>
    <w:lvl w:ilvl="0">
      <w:start w:val="1"/>
      <w:numFmt w:val="lowerLetter"/>
      <w:lvlRestart w:val="0"/>
      <w:pStyle w:val="Bullet0"/>
      <w:lvlText w:val="%1)"/>
      <w:lvlJc w:val="left"/>
      <w:pPr>
        <w:tabs>
          <w:tab w:val="num" w:pos="850"/>
        </w:tabs>
        <w:ind w:left="850" w:hanging="850"/>
      </w:pPr>
      <w:rPr>
        <w:rFonts w:ascii="Times New Roman" w:eastAsia="Calibri" w:hAnsi="Times New Roman" w:cs="Times New Roman"/>
      </w:rPr>
    </w:lvl>
  </w:abstractNum>
  <w:abstractNum w:abstractNumId="56" w15:restartNumberingAfterBreak="0">
    <w:nsid w:val="45D95F16"/>
    <w:multiLevelType w:val="hybridMultilevel"/>
    <w:tmpl w:val="3322243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4D020AD8"/>
    <w:multiLevelType w:val="hybridMultilevel"/>
    <w:tmpl w:val="4992E53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4DEC0F8E"/>
    <w:multiLevelType w:val="hybridMultilevel"/>
    <w:tmpl w:val="EAC2B40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50D11E51"/>
    <w:multiLevelType w:val="hybridMultilevel"/>
    <w:tmpl w:val="3176C36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15:restartNumberingAfterBreak="0">
    <w:nsid w:val="50D36F39"/>
    <w:multiLevelType w:val="multilevel"/>
    <w:tmpl w:val="66DA488A"/>
    <w:lvl w:ilvl="0">
      <w:start w:val="1"/>
      <w:numFmt w:val="lowerRoman"/>
      <w:lvlText w:val="%1."/>
      <w:lvlJc w:val="righ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61" w15:restartNumberingAfterBreak="0">
    <w:nsid w:val="54BD0BEC"/>
    <w:multiLevelType w:val="singleLevel"/>
    <w:tmpl w:val="72D6F376"/>
    <w:lvl w:ilvl="0">
      <w:start w:val="1"/>
      <w:numFmt w:val="bullet"/>
      <w:pStyle w:val="Zoznamsodrkami"/>
      <w:lvlText w:val=""/>
      <w:lvlJc w:val="left"/>
      <w:pPr>
        <w:tabs>
          <w:tab w:val="num" w:pos="283"/>
        </w:tabs>
        <w:ind w:left="283" w:hanging="283"/>
      </w:pPr>
      <w:rPr>
        <w:rFonts w:ascii="Symbol" w:hAnsi="Symbol"/>
      </w:rPr>
    </w:lvl>
  </w:abstractNum>
  <w:abstractNum w:abstractNumId="62" w15:restartNumberingAfterBreak="0">
    <w:nsid w:val="55670B67"/>
    <w:multiLevelType w:val="hybridMultilevel"/>
    <w:tmpl w:val="26B68FBE"/>
    <w:lvl w:ilvl="0" w:tplc="041B0013">
      <w:start w:val="1"/>
      <w:numFmt w:val="upperRoman"/>
      <w:lvlText w:val="%1."/>
      <w:lvlJc w:val="righ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5CA31A15"/>
    <w:multiLevelType w:val="multilevel"/>
    <w:tmpl w:val="94E47E94"/>
    <w:name w:val="Tiret 0"/>
    <w:lvl w:ilvl="0">
      <w:start w:val="1"/>
      <w:numFmt w:val="decimal"/>
      <w:lvlRestart w:val="0"/>
      <w:pStyle w:val="Tiret0"/>
      <w:lvlText w:val="%1."/>
      <w:lvlJc w:val="left"/>
      <w:pPr>
        <w:tabs>
          <w:tab w:val="num" w:pos="850"/>
        </w:tabs>
        <w:ind w:left="850" w:hanging="850"/>
      </w:pPr>
      <w:rPr>
        <w:rFonts w:ascii="Times New Roman" w:eastAsia="Calibri" w:hAnsi="Times New Roman" w:cs="Times New Roman"/>
      </w:r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64" w15:restartNumberingAfterBreak="0">
    <w:nsid w:val="5D106B17"/>
    <w:multiLevelType w:val="hybridMultilevel"/>
    <w:tmpl w:val="4D4AA9D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6898600D"/>
    <w:multiLevelType w:val="hybridMultilevel"/>
    <w:tmpl w:val="18E6814A"/>
    <w:lvl w:ilvl="0" w:tplc="8AC63AE4">
      <w:start w:val="1"/>
      <w:numFmt w:val="lowerLetter"/>
      <w:lvlText w:val="%1)"/>
      <w:lvlJc w:val="left"/>
      <w:pPr>
        <w:ind w:left="720" w:hanging="360"/>
      </w:pPr>
      <w:rPr>
        <w:rFonts w:ascii="Times New Roman" w:eastAsia="Times New Roman" w:hAnsi="Times New Roman" w:cs="Times New Roman"/>
        <w:b w:val="0"/>
      </w:rPr>
    </w:lvl>
    <w:lvl w:ilvl="1" w:tplc="84FC27EC" w:tentative="1">
      <w:start w:val="1"/>
      <w:numFmt w:val="bullet"/>
      <w:lvlText w:val="o"/>
      <w:lvlJc w:val="left"/>
      <w:pPr>
        <w:ind w:left="1440" w:hanging="360"/>
      </w:pPr>
      <w:rPr>
        <w:rFonts w:ascii="Courier New" w:hAnsi="Courier New" w:cs="Courier New" w:hint="default"/>
      </w:rPr>
    </w:lvl>
    <w:lvl w:ilvl="2" w:tplc="DDC43226" w:tentative="1">
      <w:start w:val="1"/>
      <w:numFmt w:val="bullet"/>
      <w:lvlText w:val=""/>
      <w:lvlJc w:val="left"/>
      <w:pPr>
        <w:ind w:left="2160" w:hanging="360"/>
      </w:pPr>
      <w:rPr>
        <w:rFonts w:ascii="Wingdings" w:hAnsi="Wingdings" w:hint="default"/>
      </w:rPr>
    </w:lvl>
    <w:lvl w:ilvl="3" w:tplc="5F7C7D0E" w:tentative="1">
      <w:start w:val="1"/>
      <w:numFmt w:val="bullet"/>
      <w:lvlText w:val=""/>
      <w:lvlJc w:val="left"/>
      <w:pPr>
        <w:ind w:left="2880" w:hanging="360"/>
      </w:pPr>
      <w:rPr>
        <w:rFonts w:ascii="Symbol" w:hAnsi="Symbol" w:hint="default"/>
      </w:rPr>
    </w:lvl>
    <w:lvl w:ilvl="4" w:tplc="2570B528" w:tentative="1">
      <w:start w:val="1"/>
      <w:numFmt w:val="bullet"/>
      <w:lvlText w:val="o"/>
      <w:lvlJc w:val="left"/>
      <w:pPr>
        <w:ind w:left="3600" w:hanging="360"/>
      </w:pPr>
      <w:rPr>
        <w:rFonts w:ascii="Courier New" w:hAnsi="Courier New" w:cs="Courier New" w:hint="default"/>
      </w:rPr>
    </w:lvl>
    <w:lvl w:ilvl="5" w:tplc="6776B4D4" w:tentative="1">
      <w:start w:val="1"/>
      <w:numFmt w:val="bullet"/>
      <w:lvlText w:val=""/>
      <w:lvlJc w:val="left"/>
      <w:pPr>
        <w:ind w:left="4320" w:hanging="360"/>
      </w:pPr>
      <w:rPr>
        <w:rFonts w:ascii="Wingdings" w:hAnsi="Wingdings" w:hint="default"/>
      </w:rPr>
    </w:lvl>
    <w:lvl w:ilvl="6" w:tplc="B2E6B7D2" w:tentative="1">
      <w:start w:val="1"/>
      <w:numFmt w:val="bullet"/>
      <w:lvlText w:val=""/>
      <w:lvlJc w:val="left"/>
      <w:pPr>
        <w:ind w:left="5040" w:hanging="360"/>
      </w:pPr>
      <w:rPr>
        <w:rFonts w:ascii="Symbol" w:hAnsi="Symbol" w:hint="default"/>
      </w:rPr>
    </w:lvl>
    <w:lvl w:ilvl="7" w:tplc="7FC0802E" w:tentative="1">
      <w:start w:val="1"/>
      <w:numFmt w:val="bullet"/>
      <w:lvlText w:val="o"/>
      <w:lvlJc w:val="left"/>
      <w:pPr>
        <w:ind w:left="5760" w:hanging="360"/>
      </w:pPr>
      <w:rPr>
        <w:rFonts w:ascii="Courier New" w:hAnsi="Courier New" w:cs="Courier New" w:hint="default"/>
      </w:rPr>
    </w:lvl>
    <w:lvl w:ilvl="8" w:tplc="FC528638" w:tentative="1">
      <w:start w:val="1"/>
      <w:numFmt w:val="bullet"/>
      <w:lvlText w:val=""/>
      <w:lvlJc w:val="left"/>
      <w:pPr>
        <w:ind w:left="6480" w:hanging="360"/>
      </w:pPr>
      <w:rPr>
        <w:rFonts w:ascii="Wingdings" w:hAnsi="Wingdings" w:hint="default"/>
      </w:rPr>
    </w:lvl>
  </w:abstractNum>
  <w:abstractNum w:abstractNumId="66" w15:restartNumberingAfterBreak="0">
    <w:nsid w:val="68FE2135"/>
    <w:multiLevelType w:val="hybridMultilevel"/>
    <w:tmpl w:val="29E48328"/>
    <w:lvl w:ilvl="0" w:tplc="041B0011">
      <w:start w:val="1"/>
      <w:numFmt w:val="decimal"/>
      <w:lvlText w:val="%1)"/>
      <w:lvlJc w:val="left"/>
      <w:pPr>
        <w:ind w:left="1428" w:hanging="360"/>
      </w:pPr>
    </w:lvl>
    <w:lvl w:ilvl="1" w:tplc="041B0011">
      <w:start w:val="1"/>
      <w:numFmt w:val="decimal"/>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67" w15:restartNumberingAfterBreak="0">
    <w:nsid w:val="6A3C5C32"/>
    <w:multiLevelType w:val="hybridMultilevel"/>
    <w:tmpl w:val="CF5227E4"/>
    <w:name w:val="0.7228144"/>
    <w:lvl w:ilvl="0" w:tplc="3A0C4412">
      <w:start w:val="1"/>
      <w:numFmt w:val="decimal"/>
      <w:lvlText w:val="%1."/>
      <w:lvlJc w:val="left"/>
      <w:pPr>
        <w:ind w:left="420" w:hanging="360"/>
      </w:pPr>
      <w:rPr>
        <w:rFonts w:hint="default"/>
      </w:rPr>
    </w:lvl>
    <w:lvl w:ilvl="1" w:tplc="EF7ABD80" w:tentative="1">
      <w:start w:val="1"/>
      <w:numFmt w:val="lowerLetter"/>
      <w:lvlText w:val="%2."/>
      <w:lvlJc w:val="left"/>
      <w:pPr>
        <w:ind w:left="1140" w:hanging="360"/>
      </w:pPr>
    </w:lvl>
    <w:lvl w:ilvl="2" w:tplc="7D1402FA" w:tentative="1">
      <w:start w:val="1"/>
      <w:numFmt w:val="lowerRoman"/>
      <w:lvlText w:val="%3."/>
      <w:lvlJc w:val="right"/>
      <w:pPr>
        <w:ind w:left="1860" w:hanging="180"/>
      </w:pPr>
    </w:lvl>
    <w:lvl w:ilvl="3" w:tplc="96AA914A" w:tentative="1">
      <w:start w:val="1"/>
      <w:numFmt w:val="decimal"/>
      <w:lvlText w:val="%4."/>
      <w:lvlJc w:val="left"/>
      <w:pPr>
        <w:ind w:left="2580" w:hanging="360"/>
      </w:pPr>
    </w:lvl>
    <w:lvl w:ilvl="4" w:tplc="4BF8E7C2" w:tentative="1">
      <w:start w:val="1"/>
      <w:numFmt w:val="lowerLetter"/>
      <w:lvlText w:val="%5."/>
      <w:lvlJc w:val="left"/>
      <w:pPr>
        <w:ind w:left="3300" w:hanging="360"/>
      </w:pPr>
    </w:lvl>
    <w:lvl w:ilvl="5" w:tplc="94482F1E" w:tentative="1">
      <w:start w:val="1"/>
      <w:numFmt w:val="lowerRoman"/>
      <w:lvlText w:val="%6."/>
      <w:lvlJc w:val="right"/>
      <w:pPr>
        <w:ind w:left="4020" w:hanging="180"/>
      </w:pPr>
    </w:lvl>
    <w:lvl w:ilvl="6" w:tplc="EBA233F8" w:tentative="1">
      <w:start w:val="1"/>
      <w:numFmt w:val="decimal"/>
      <w:lvlText w:val="%7."/>
      <w:lvlJc w:val="left"/>
      <w:pPr>
        <w:ind w:left="4740" w:hanging="360"/>
      </w:pPr>
    </w:lvl>
    <w:lvl w:ilvl="7" w:tplc="0D086ACA" w:tentative="1">
      <w:start w:val="1"/>
      <w:numFmt w:val="lowerLetter"/>
      <w:lvlText w:val="%8."/>
      <w:lvlJc w:val="left"/>
      <w:pPr>
        <w:ind w:left="5460" w:hanging="360"/>
      </w:pPr>
    </w:lvl>
    <w:lvl w:ilvl="8" w:tplc="35820D94" w:tentative="1">
      <w:start w:val="1"/>
      <w:numFmt w:val="lowerRoman"/>
      <w:lvlText w:val="%9."/>
      <w:lvlJc w:val="right"/>
      <w:pPr>
        <w:ind w:left="6180" w:hanging="180"/>
      </w:pPr>
    </w:lvl>
  </w:abstractNum>
  <w:abstractNum w:abstractNumId="68" w15:restartNumberingAfterBreak="0">
    <w:nsid w:val="6BD2304F"/>
    <w:multiLevelType w:val="hybridMultilevel"/>
    <w:tmpl w:val="D9646844"/>
    <w:lvl w:ilvl="0" w:tplc="983EE95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9" w15:restartNumberingAfterBreak="0">
    <w:nsid w:val="6C791A9E"/>
    <w:multiLevelType w:val="hybridMultilevel"/>
    <w:tmpl w:val="9ABA6446"/>
    <w:lvl w:ilvl="0" w:tplc="CFB0341C">
      <w:start w:val="1"/>
      <w:numFmt w:val="decimal"/>
      <w:lvlText w:val="%1."/>
      <w:lvlJc w:val="left"/>
      <w:pPr>
        <w:ind w:left="1080" w:hanging="360"/>
      </w:pPr>
      <w:rPr>
        <w:rFonts w:hint="default"/>
        <w:b/>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70" w15:restartNumberingAfterBreak="0">
    <w:nsid w:val="6CCB785F"/>
    <w:multiLevelType w:val="multilevel"/>
    <w:tmpl w:val="6CE2BB7A"/>
    <w:lvl w:ilvl="0">
      <w:start w:val="1"/>
      <w:numFmt w:val="upperRoman"/>
      <w:lvlText w:val="%1."/>
      <w:lvlJc w:val="righ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71" w15:restartNumberingAfterBreak="0">
    <w:nsid w:val="6E6B5AC5"/>
    <w:multiLevelType w:val="hybridMultilevel"/>
    <w:tmpl w:val="E5D2255A"/>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2" w15:restartNumberingAfterBreak="0">
    <w:nsid w:val="6FBE24D9"/>
    <w:multiLevelType w:val="hybridMultilevel"/>
    <w:tmpl w:val="82D6CDB4"/>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15:restartNumberingAfterBreak="0">
    <w:nsid w:val="7AC52EE0"/>
    <w:multiLevelType w:val="hybridMultilevel"/>
    <w:tmpl w:val="42E493F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7B8900B5"/>
    <w:multiLevelType w:val="hybridMultilevel"/>
    <w:tmpl w:val="B268D5B0"/>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75" w15:restartNumberingAfterBreak="0">
    <w:nsid w:val="7BCF06F7"/>
    <w:multiLevelType w:val="multilevel"/>
    <w:tmpl w:val="70F83620"/>
    <w:lvl w:ilvl="0">
      <w:start w:val="1"/>
      <w:numFmt w:val="upperRoman"/>
      <w:lvlText w:val="%1."/>
      <w:lvlJc w:val="righ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76" w15:restartNumberingAfterBreak="0">
    <w:nsid w:val="7E6A778F"/>
    <w:multiLevelType w:val="multilevel"/>
    <w:tmpl w:val="FFBA1FD8"/>
    <w:lvl w:ilvl="0">
      <w:start w:val="1"/>
      <w:numFmt w:val="decimal"/>
      <w:lvlText w:val="%1)"/>
      <w:lvlJc w:val="left"/>
      <w:pPr>
        <w:tabs>
          <w:tab w:val="num" w:pos="1560"/>
        </w:tabs>
        <w:ind w:left="156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num w:numId="1">
    <w:abstractNumId w:val="68"/>
  </w:num>
  <w:num w:numId="2">
    <w:abstractNumId w:val="5"/>
  </w:num>
  <w:num w:numId="3">
    <w:abstractNumId w:val="9"/>
  </w:num>
  <w:num w:numId="4">
    <w:abstractNumId w:val="10"/>
  </w:num>
  <w:num w:numId="5">
    <w:abstractNumId w:val="11"/>
  </w:num>
  <w:num w:numId="6">
    <w:abstractNumId w:val="15"/>
  </w:num>
  <w:num w:numId="7">
    <w:abstractNumId w:val="17"/>
  </w:num>
  <w:num w:numId="8">
    <w:abstractNumId w:val="61"/>
  </w:num>
  <w:num w:numId="9">
    <w:abstractNumId w:val="65"/>
  </w:num>
  <w:num w:numId="10">
    <w:abstractNumId w:val="40"/>
  </w:num>
  <w:num w:numId="11">
    <w:abstractNumId w:val="59"/>
  </w:num>
  <w:num w:numId="12">
    <w:abstractNumId w:val="54"/>
  </w:num>
  <w:num w:numId="13">
    <w:abstractNumId w:val="55"/>
  </w:num>
  <w:num w:numId="1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43"/>
  </w:num>
  <w:num w:numId="17">
    <w:abstractNumId w:val="63"/>
  </w:num>
  <w:num w:numId="18">
    <w:abstractNumId w:val="69"/>
  </w:num>
  <w:num w:numId="19">
    <w:abstractNumId w:val="41"/>
  </w:num>
  <w:num w:numId="20">
    <w:abstractNumId w:val="31"/>
  </w:num>
  <w:num w:numId="21">
    <w:abstractNumId w:val="47"/>
  </w:num>
  <w:num w:numId="22">
    <w:abstractNumId w:val="30"/>
  </w:num>
  <w:num w:numId="23">
    <w:abstractNumId w:val="26"/>
  </w:num>
  <w:num w:numId="24">
    <w:abstractNumId w:val="64"/>
  </w:num>
  <w:num w:numId="25">
    <w:abstractNumId w:val="73"/>
  </w:num>
  <w:num w:numId="26">
    <w:abstractNumId w:val="51"/>
  </w:num>
  <w:num w:numId="27">
    <w:abstractNumId w:val="58"/>
  </w:num>
  <w:num w:numId="28">
    <w:abstractNumId w:val="42"/>
  </w:num>
  <w:num w:numId="29">
    <w:abstractNumId w:val="72"/>
  </w:num>
  <w:num w:numId="30">
    <w:abstractNumId w:val="32"/>
  </w:num>
  <w:num w:numId="31">
    <w:abstractNumId w:val="75"/>
  </w:num>
  <w:num w:numId="32">
    <w:abstractNumId w:val="52"/>
  </w:num>
  <w:num w:numId="33">
    <w:abstractNumId w:val="44"/>
  </w:num>
  <w:num w:numId="34">
    <w:abstractNumId w:val="50"/>
  </w:num>
  <w:num w:numId="35">
    <w:abstractNumId w:val="53"/>
  </w:num>
  <w:num w:numId="36">
    <w:abstractNumId w:val="57"/>
  </w:num>
  <w:num w:numId="37">
    <w:abstractNumId w:val="35"/>
  </w:num>
  <w:num w:numId="38">
    <w:abstractNumId w:val="29"/>
  </w:num>
  <w:num w:numId="39">
    <w:abstractNumId w:val="76"/>
  </w:num>
  <w:num w:numId="40">
    <w:abstractNumId w:val="36"/>
  </w:num>
  <w:num w:numId="41">
    <w:abstractNumId w:val="62"/>
  </w:num>
  <w:num w:numId="42">
    <w:abstractNumId w:val="34"/>
  </w:num>
  <w:num w:numId="43">
    <w:abstractNumId w:val="74"/>
  </w:num>
  <w:num w:numId="44">
    <w:abstractNumId w:val="49"/>
  </w:num>
  <w:num w:numId="45">
    <w:abstractNumId w:val="66"/>
  </w:num>
  <w:num w:numId="46">
    <w:abstractNumId w:val="37"/>
  </w:num>
  <w:num w:numId="47">
    <w:abstractNumId w:val="28"/>
  </w:num>
  <w:num w:numId="48">
    <w:abstractNumId w:val="71"/>
  </w:num>
  <w:num w:numId="49">
    <w:abstractNumId w:val="70"/>
  </w:num>
  <w:num w:numId="50">
    <w:abstractNumId w:val="60"/>
  </w:num>
  <w:num w:numId="51">
    <w:abstractNumId w:val="46"/>
  </w:num>
  <w:num w:numId="52">
    <w:abstractNumId w:val="56"/>
  </w:num>
  <w:num w:numId="53">
    <w:abstractNumId w:val="48"/>
  </w:num>
  <w:num w:numId="54">
    <w:abstractNumId w:val="39"/>
  </w:num>
  <w:num w:numId="55">
    <w:abstractNumId w:val="33"/>
  </w:num>
  <w:num w:numId="56">
    <w:abstractNumId w:val="27"/>
  </w:num>
  <w:num w:numId="57">
    <w:abstractNumId w:val="45"/>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B6"/>
    <w:rsid w:val="00003C71"/>
    <w:rsid w:val="00006973"/>
    <w:rsid w:val="000119D2"/>
    <w:rsid w:val="00017350"/>
    <w:rsid w:val="0002058B"/>
    <w:rsid w:val="000273ED"/>
    <w:rsid w:val="000339D9"/>
    <w:rsid w:val="00034644"/>
    <w:rsid w:val="00042704"/>
    <w:rsid w:val="00045C69"/>
    <w:rsid w:val="000500EF"/>
    <w:rsid w:val="00050728"/>
    <w:rsid w:val="0006033D"/>
    <w:rsid w:val="0006287A"/>
    <w:rsid w:val="00066955"/>
    <w:rsid w:val="00067768"/>
    <w:rsid w:val="00070252"/>
    <w:rsid w:val="00071088"/>
    <w:rsid w:val="0007428E"/>
    <w:rsid w:val="00074804"/>
    <w:rsid w:val="00076E38"/>
    <w:rsid w:val="0009064E"/>
    <w:rsid w:val="0009091C"/>
    <w:rsid w:val="00092F73"/>
    <w:rsid w:val="00096662"/>
    <w:rsid w:val="00096F1B"/>
    <w:rsid w:val="000B7677"/>
    <w:rsid w:val="000C09FD"/>
    <w:rsid w:val="000D298C"/>
    <w:rsid w:val="000D6B86"/>
    <w:rsid w:val="000E2AA4"/>
    <w:rsid w:val="000E3547"/>
    <w:rsid w:val="000F7492"/>
    <w:rsid w:val="001024B9"/>
    <w:rsid w:val="00116F61"/>
    <w:rsid w:val="001175BA"/>
    <w:rsid w:val="0012043E"/>
    <w:rsid w:val="00120DC0"/>
    <w:rsid w:val="00122588"/>
    <w:rsid w:val="00127627"/>
    <w:rsid w:val="00127AED"/>
    <w:rsid w:val="00130E2B"/>
    <w:rsid w:val="001343C2"/>
    <w:rsid w:val="001434A7"/>
    <w:rsid w:val="0014641E"/>
    <w:rsid w:val="0015233E"/>
    <w:rsid w:val="00153DF9"/>
    <w:rsid w:val="00155CB5"/>
    <w:rsid w:val="0015622B"/>
    <w:rsid w:val="00166BBC"/>
    <w:rsid w:val="00173917"/>
    <w:rsid w:val="001801BC"/>
    <w:rsid w:val="001873B5"/>
    <w:rsid w:val="0018752D"/>
    <w:rsid w:val="001906F7"/>
    <w:rsid w:val="001A0943"/>
    <w:rsid w:val="001A315B"/>
    <w:rsid w:val="001A4827"/>
    <w:rsid w:val="001B0E71"/>
    <w:rsid w:val="001B12DC"/>
    <w:rsid w:val="001B27DA"/>
    <w:rsid w:val="001B6E9F"/>
    <w:rsid w:val="001C5086"/>
    <w:rsid w:val="001C513F"/>
    <w:rsid w:val="001D19CF"/>
    <w:rsid w:val="001D3C29"/>
    <w:rsid w:val="001D4758"/>
    <w:rsid w:val="001D4B25"/>
    <w:rsid w:val="001D5209"/>
    <w:rsid w:val="001E0FAB"/>
    <w:rsid w:val="001E65D3"/>
    <w:rsid w:val="001F0193"/>
    <w:rsid w:val="001F3AE9"/>
    <w:rsid w:val="0021030D"/>
    <w:rsid w:val="002259C4"/>
    <w:rsid w:val="00225A05"/>
    <w:rsid w:val="0022621B"/>
    <w:rsid w:val="00233877"/>
    <w:rsid w:val="00236A18"/>
    <w:rsid w:val="0024598E"/>
    <w:rsid w:val="00246970"/>
    <w:rsid w:val="00256224"/>
    <w:rsid w:val="00256687"/>
    <w:rsid w:val="00264072"/>
    <w:rsid w:val="0027333C"/>
    <w:rsid w:val="0027386F"/>
    <w:rsid w:val="00274479"/>
    <w:rsid w:val="00280026"/>
    <w:rsid w:val="00280A9B"/>
    <w:rsid w:val="002839B2"/>
    <w:rsid w:val="002854E4"/>
    <w:rsid w:val="00294972"/>
    <w:rsid w:val="002A1E17"/>
    <w:rsid w:val="002B0ACF"/>
    <w:rsid w:val="002B0CD6"/>
    <w:rsid w:val="002B1132"/>
    <w:rsid w:val="002B17EC"/>
    <w:rsid w:val="002B4AAE"/>
    <w:rsid w:val="002B7622"/>
    <w:rsid w:val="002C046A"/>
    <w:rsid w:val="002C59A2"/>
    <w:rsid w:val="002C6241"/>
    <w:rsid w:val="002D19D1"/>
    <w:rsid w:val="002D65BD"/>
    <w:rsid w:val="002E076D"/>
    <w:rsid w:val="002E08E3"/>
    <w:rsid w:val="002E611C"/>
    <w:rsid w:val="002E7F32"/>
    <w:rsid w:val="002E7F66"/>
    <w:rsid w:val="002F0D9B"/>
    <w:rsid w:val="002F72BC"/>
    <w:rsid w:val="00300974"/>
    <w:rsid w:val="003055B2"/>
    <w:rsid w:val="00306C55"/>
    <w:rsid w:val="003128A0"/>
    <w:rsid w:val="00312B0E"/>
    <w:rsid w:val="00315497"/>
    <w:rsid w:val="003203BE"/>
    <w:rsid w:val="0033589B"/>
    <w:rsid w:val="003566AA"/>
    <w:rsid w:val="00357528"/>
    <w:rsid w:val="00357613"/>
    <w:rsid w:val="00367029"/>
    <w:rsid w:val="0038020A"/>
    <w:rsid w:val="00383C89"/>
    <w:rsid w:val="00386CBA"/>
    <w:rsid w:val="00393784"/>
    <w:rsid w:val="00395AE0"/>
    <w:rsid w:val="003A67E1"/>
    <w:rsid w:val="003B0DFE"/>
    <w:rsid w:val="003B2F8A"/>
    <w:rsid w:val="003B7DB6"/>
    <w:rsid w:val="003C0FE6"/>
    <w:rsid w:val="003C1C55"/>
    <w:rsid w:val="003C1EB4"/>
    <w:rsid w:val="003C2544"/>
    <w:rsid w:val="003D568C"/>
    <w:rsid w:val="003E2051"/>
    <w:rsid w:val="003E73B7"/>
    <w:rsid w:val="003F067B"/>
    <w:rsid w:val="004062DC"/>
    <w:rsid w:val="00410FC9"/>
    <w:rsid w:val="00416E2D"/>
    <w:rsid w:val="00425D1A"/>
    <w:rsid w:val="00427FC6"/>
    <w:rsid w:val="00432DF1"/>
    <w:rsid w:val="00432E52"/>
    <w:rsid w:val="00440C92"/>
    <w:rsid w:val="004445A9"/>
    <w:rsid w:val="00447BA3"/>
    <w:rsid w:val="00456603"/>
    <w:rsid w:val="00460F75"/>
    <w:rsid w:val="0047545E"/>
    <w:rsid w:val="00477B8E"/>
    <w:rsid w:val="00490AF9"/>
    <w:rsid w:val="00491D68"/>
    <w:rsid w:val="00493F0A"/>
    <w:rsid w:val="0049757D"/>
    <w:rsid w:val="00497CDC"/>
    <w:rsid w:val="004A0829"/>
    <w:rsid w:val="004A0E6A"/>
    <w:rsid w:val="004A42F9"/>
    <w:rsid w:val="004B11F9"/>
    <w:rsid w:val="004C1071"/>
    <w:rsid w:val="004C552C"/>
    <w:rsid w:val="004D0AF6"/>
    <w:rsid w:val="004D3748"/>
    <w:rsid w:val="004E1A10"/>
    <w:rsid w:val="004E2120"/>
    <w:rsid w:val="004E27DF"/>
    <w:rsid w:val="004E3ABD"/>
    <w:rsid w:val="004E50CD"/>
    <w:rsid w:val="004E6946"/>
    <w:rsid w:val="004F4A72"/>
    <w:rsid w:val="004F7EAD"/>
    <w:rsid w:val="005048C9"/>
    <w:rsid w:val="0051004A"/>
    <w:rsid w:val="005122F6"/>
    <w:rsid w:val="00514F85"/>
    <w:rsid w:val="005267E6"/>
    <w:rsid w:val="0052749C"/>
    <w:rsid w:val="00541FF5"/>
    <w:rsid w:val="005459CD"/>
    <w:rsid w:val="0055262B"/>
    <w:rsid w:val="00555872"/>
    <w:rsid w:val="005577A9"/>
    <w:rsid w:val="00560DA3"/>
    <w:rsid w:val="0056666E"/>
    <w:rsid w:val="00571AB8"/>
    <w:rsid w:val="00573BA0"/>
    <w:rsid w:val="00573EA3"/>
    <w:rsid w:val="0057619A"/>
    <w:rsid w:val="005767A7"/>
    <w:rsid w:val="005800C7"/>
    <w:rsid w:val="00580A58"/>
    <w:rsid w:val="0058401D"/>
    <w:rsid w:val="00586E37"/>
    <w:rsid w:val="00586FDB"/>
    <w:rsid w:val="005871E9"/>
    <w:rsid w:val="005916F7"/>
    <w:rsid w:val="00592ED8"/>
    <w:rsid w:val="00594065"/>
    <w:rsid w:val="00597D60"/>
    <w:rsid w:val="005B49EF"/>
    <w:rsid w:val="005D0666"/>
    <w:rsid w:val="005D33EC"/>
    <w:rsid w:val="005D600B"/>
    <w:rsid w:val="005F5B71"/>
    <w:rsid w:val="005F6B3B"/>
    <w:rsid w:val="00603E3E"/>
    <w:rsid w:val="006125E1"/>
    <w:rsid w:val="00615AD3"/>
    <w:rsid w:val="00622D7A"/>
    <w:rsid w:val="00623659"/>
    <w:rsid w:val="0063166C"/>
    <w:rsid w:val="00632919"/>
    <w:rsid w:val="00635AAD"/>
    <w:rsid w:val="006479DF"/>
    <w:rsid w:val="00651445"/>
    <w:rsid w:val="00651C09"/>
    <w:rsid w:val="006549B2"/>
    <w:rsid w:val="00656302"/>
    <w:rsid w:val="00660DCB"/>
    <w:rsid w:val="00665845"/>
    <w:rsid w:val="006719A0"/>
    <w:rsid w:val="006828A8"/>
    <w:rsid w:val="00683553"/>
    <w:rsid w:val="00685136"/>
    <w:rsid w:val="00687102"/>
    <w:rsid w:val="006A5157"/>
    <w:rsid w:val="006A5294"/>
    <w:rsid w:val="006A626D"/>
    <w:rsid w:val="006A7DF2"/>
    <w:rsid w:val="006B1363"/>
    <w:rsid w:val="006C6A25"/>
    <w:rsid w:val="006D082A"/>
    <w:rsid w:val="006D3B82"/>
    <w:rsid w:val="006D5CD7"/>
    <w:rsid w:val="006D664B"/>
    <w:rsid w:val="006E4A8F"/>
    <w:rsid w:val="006E6AFB"/>
    <w:rsid w:val="006F15B4"/>
    <w:rsid w:val="00713B2C"/>
    <w:rsid w:val="0071412C"/>
    <w:rsid w:val="0072107E"/>
    <w:rsid w:val="00727C8F"/>
    <w:rsid w:val="007309E2"/>
    <w:rsid w:val="00733696"/>
    <w:rsid w:val="00754C93"/>
    <w:rsid w:val="00757777"/>
    <w:rsid w:val="00761D5E"/>
    <w:rsid w:val="0076414C"/>
    <w:rsid w:val="00765555"/>
    <w:rsid w:val="00770A04"/>
    <w:rsid w:val="00771CC6"/>
    <w:rsid w:val="0077696D"/>
    <w:rsid w:val="00776EF0"/>
    <w:rsid w:val="00781BE0"/>
    <w:rsid w:val="007822D7"/>
    <w:rsid w:val="00782970"/>
    <w:rsid w:val="007A0A10"/>
    <w:rsid w:val="007A50D8"/>
    <w:rsid w:val="007A564A"/>
    <w:rsid w:val="007A60EF"/>
    <w:rsid w:val="007C2172"/>
    <w:rsid w:val="007C60E9"/>
    <w:rsid w:val="007D05AB"/>
    <w:rsid w:val="007D30EB"/>
    <w:rsid w:val="007F0D9A"/>
    <w:rsid w:val="007F0EAF"/>
    <w:rsid w:val="007F6126"/>
    <w:rsid w:val="00801225"/>
    <w:rsid w:val="008109BA"/>
    <w:rsid w:val="00812C86"/>
    <w:rsid w:val="008218E9"/>
    <w:rsid w:val="008348D6"/>
    <w:rsid w:val="0084743A"/>
    <w:rsid w:val="00850467"/>
    <w:rsid w:val="0086239F"/>
    <w:rsid w:val="00863AC2"/>
    <w:rsid w:val="008743E6"/>
    <w:rsid w:val="00874F08"/>
    <w:rsid w:val="008806AC"/>
    <w:rsid w:val="008851DE"/>
    <w:rsid w:val="00887F0F"/>
    <w:rsid w:val="00895CF5"/>
    <w:rsid w:val="00897520"/>
    <w:rsid w:val="008A034F"/>
    <w:rsid w:val="008A6876"/>
    <w:rsid w:val="008C271F"/>
    <w:rsid w:val="008C7666"/>
    <w:rsid w:val="008D0E76"/>
    <w:rsid w:val="008D0F9C"/>
    <w:rsid w:val="008D2E02"/>
    <w:rsid w:val="008D34EF"/>
    <w:rsid w:val="008D55E2"/>
    <w:rsid w:val="008E06C1"/>
    <w:rsid w:val="008E5524"/>
    <w:rsid w:val="008F2627"/>
    <w:rsid w:val="008F6A13"/>
    <w:rsid w:val="0090110D"/>
    <w:rsid w:val="00911D80"/>
    <w:rsid w:val="00925E73"/>
    <w:rsid w:val="00926284"/>
    <w:rsid w:val="009337EA"/>
    <w:rsid w:val="00943C7B"/>
    <w:rsid w:val="009455E7"/>
    <w:rsid w:val="00955F68"/>
    <w:rsid w:val="00975DBF"/>
    <w:rsid w:val="00977AA2"/>
    <w:rsid w:val="00977CF6"/>
    <w:rsid w:val="009836CF"/>
    <w:rsid w:val="009839CF"/>
    <w:rsid w:val="00984E2B"/>
    <w:rsid w:val="009A0FAA"/>
    <w:rsid w:val="009A1D39"/>
    <w:rsid w:val="009B1C2E"/>
    <w:rsid w:val="009B3141"/>
    <w:rsid w:val="009B421D"/>
    <w:rsid w:val="009C1583"/>
    <w:rsid w:val="009C34C0"/>
    <w:rsid w:val="009C54E4"/>
    <w:rsid w:val="009C6DB7"/>
    <w:rsid w:val="009D5C37"/>
    <w:rsid w:val="009E1BDB"/>
    <w:rsid w:val="009E28B3"/>
    <w:rsid w:val="009E3FDC"/>
    <w:rsid w:val="009F0E83"/>
    <w:rsid w:val="009F6DC3"/>
    <w:rsid w:val="00A00463"/>
    <w:rsid w:val="00A061AA"/>
    <w:rsid w:val="00A06362"/>
    <w:rsid w:val="00A1377D"/>
    <w:rsid w:val="00A144AE"/>
    <w:rsid w:val="00A16201"/>
    <w:rsid w:val="00A27F77"/>
    <w:rsid w:val="00A3048A"/>
    <w:rsid w:val="00A417AA"/>
    <w:rsid w:val="00A51005"/>
    <w:rsid w:val="00A55BB0"/>
    <w:rsid w:val="00A5714E"/>
    <w:rsid w:val="00A62256"/>
    <w:rsid w:val="00A6348B"/>
    <w:rsid w:val="00A71215"/>
    <w:rsid w:val="00A75416"/>
    <w:rsid w:val="00A755A4"/>
    <w:rsid w:val="00A76BD0"/>
    <w:rsid w:val="00A77D2F"/>
    <w:rsid w:val="00A77DBD"/>
    <w:rsid w:val="00A805E8"/>
    <w:rsid w:val="00A80D04"/>
    <w:rsid w:val="00A91931"/>
    <w:rsid w:val="00A9254C"/>
    <w:rsid w:val="00A965CC"/>
    <w:rsid w:val="00AA0E53"/>
    <w:rsid w:val="00AA1C1A"/>
    <w:rsid w:val="00AA1DEA"/>
    <w:rsid w:val="00AA1FBE"/>
    <w:rsid w:val="00AB29E7"/>
    <w:rsid w:val="00AB310E"/>
    <w:rsid w:val="00AB755C"/>
    <w:rsid w:val="00AC2166"/>
    <w:rsid w:val="00AC7801"/>
    <w:rsid w:val="00AE0354"/>
    <w:rsid w:val="00AE1340"/>
    <w:rsid w:val="00AE22FA"/>
    <w:rsid w:val="00AE6B17"/>
    <w:rsid w:val="00B054C9"/>
    <w:rsid w:val="00B12061"/>
    <w:rsid w:val="00B128FD"/>
    <w:rsid w:val="00B2535F"/>
    <w:rsid w:val="00B301B2"/>
    <w:rsid w:val="00B315E9"/>
    <w:rsid w:val="00B403CD"/>
    <w:rsid w:val="00B4284E"/>
    <w:rsid w:val="00B43998"/>
    <w:rsid w:val="00B44578"/>
    <w:rsid w:val="00B44C3F"/>
    <w:rsid w:val="00B53B4A"/>
    <w:rsid w:val="00B548A6"/>
    <w:rsid w:val="00B83309"/>
    <w:rsid w:val="00B840AA"/>
    <w:rsid w:val="00B8632E"/>
    <w:rsid w:val="00B876AC"/>
    <w:rsid w:val="00B90008"/>
    <w:rsid w:val="00B91F3C"/>
    <w:rsid w:val="00B948E0"/>
    <w:rsid w:val="00B97FD0"/>
    <w:rsid w:val="00BA089F"/>
    <w:rsid w:val="00BA13ED"/>
    <w:rsid w:val="00BA40D4"/>
    <w:rsid w:val="00BA4376"/>
    <w:rsid w:val="00BA4607"/>
    <w:rsid w:val="00BC31A0"/>
    <w:rsid w:val="00BC4BAC"/>
    <w:rsid w:val="00BC5328"/>
    <w:rsid w:val="00BC5CF7"/>
    <w:rsid w:val="00BE0387"/>
    <w:rsid w:val="00BE7BF3"/>
    <w:rsid w:val="00BF1D80"/>
    <w:rsid w:val="00C1604D"/>
    <w:rsid w:val="00C2033C"/>
    <w:rsid w:val="00C214B6"/>
    <w:rsid w:val="00C348A2"/>
    <w:rsid w:val="00C374A0"/>
    <w:rsid w:val="00C37537"/>
    <w:rsid w:val="00C37B65"/>
    <w:rsid w:val="00C53EBC"/>
    <w:rsid w:val="00C5646E"/>
    <w:rsid w:val="00C6439D"/>
    <w:rsid w:val="00C92BB4"/>
    <w:rsid w:val="00C92BF0"/>
    <w:rsid w:val="00C9520E"/>
    <w:rsid w:val="00C97092"/>
    <w:rsid w:val="00CA0FB2"/>
    <w:rsid w:val="00CA208E"/>
    <w:rsid w:val="00CB6F67"/>
    <w:rsid w:val="00CD00C7"/>
    <w:rsid w:val="00CD3D13"/>
    <w:rsid w:val="00CD74FC"/>
    <w:rsid w:val="00CD7629"/>
    <w:rsid w:val="00CD7894"/>
    <w:rsid w:val="00CF23CF"/>
    <w:rsid w:val="00CF58FC"/>
    <w:rsid w:val="00CF60E2"/>
    <w:rsid w:val="00D034E9"/>
    <w:rsid w:val="00D04B65"/>
    <w:rsid w:val="00D05350"/>
    <w:rsid w:val="00D054BC"/>
    <w:rsid w:val="00D072AF"/>
    <w:rsid w:val="00D10C91"/>
    <w:rsid w:val="00D15736"/>
    <w:rsid w:val="00D239D4"/>
    <w:rsid w:val="00D31AE1"/>
    <w:rsid w:val="00D34912"/>
    <w:rsid w:val="00D373BA"/>
    <w:rsid w:val="00D467AA"/>
    <w:rsid w:val="00D50A7B"/>
    <w:rsid w:val="00D53E6D"/>
    <w:rsid w:val="00D54762"/>
    <w:rsid w:val="00D60A3D"/>
    <w:rsid w:val="00D61BB6"/>
    <w:rsid w:val="00D657BD"/>
    <w:rsid w:val="00D7033C"/>
    <w:rsid w:val="00D86DA2"/>
    <w:rsid w:val="00D95549"/>
    <w:rsid w:val="00DB1365"/>
    <w:rsid w:val="00DB798B"/>
    <w:rsid w:val="00DC6252"/>
    <w:rsid w:val="00DD5768"/>
    <w:rsid w:val="00DD582A"/>
    <w:rsid w:val="00DD6767"/>
    <w:rsid w:val="00DF6EEF"/>
    <w:rsid w:val="00E1608D"/>
    <w:rsid w:val="00E204F9"/>
    <w:rsid w:val="00E24D44"/>
    <w:rsid w:val="00E262B3"/>
    <w:rsid w:val="00E372AA"/>
    <w:rsid w:val="00E40048"/>
    <w:rsid w:val="00E43E88"/>
    <w:rsid w:val="00E44C80"/>
    <w:rsid w:val="00E52D37"/>
    <w:rsid w:val="00E5416A"/>
    <w:rsid w:val="00E62393"/>
    <w:rsid w:val="00E66D03"/>
    <w:rsid w:val="00E742C1"/>
    <w:rsid w:val="00E745C0"/>
    <w:rsid w:val="00E74EA1"/>
    <w:rsid w:val="00E7702D"/>
    <w:rsid w:val="00E81A70"/>
    <w:rsid w:val="00E81FB9"/>
    <w:rsid w:val="00E83AEC"/>
    <w:rsid w:val="00E869F3"/>
    <w:rsid w:val="00E906C9"/>
    <w:rsid w:val="00EA19B3"/>
    <w:rsid w:val="00EA580A"/>
    <w:rsid w:val="00EA63CA"/>
    <w:rsid w:val="00EB2368"/>
    <w:rsid w:val="00EB2416"/>
    <w:rsid w:val="00EC182B"/>
    <w:rsid w:val="00EC7067"/>
    <w:rsid w:val="00EE70FE"/>
    <w:rsid w:val="00EF4289"/>
    <w:rsid w:val="00EF44AA"/>
    <w:rsid w:val="00EF742B"/>
    <w:rsid w:val="00EF7B45"/>
    <w:rsid w:val="00F02B94"/>
    <w:rsid w:val="00F0607A"/>
    <w:rsid w:val="00F06BAD"/>
    <w:rsid w:val="00F10B9D"/>
    <w:rsid w:val="00F129E4"/>
    <w:rsid w:val="00F24515"/>
    <w:rsid w:val="00F248A0"/>
    <w:rsid w:val="00F26B1B"/>
    <w:rsid w:val="00F27075"/>
    <w:rsid w:val="00F322BA"/>
    <w:rsid w:val="00F36C6F"/>
    <w:rsid w:val="00F36F67"/>
    <w:rsid w:val="00F43072"/>
    <w:rsid w:val="00F43E9A"/>
    <w:rsid w:val="00F639D8"/>
    <w:rsid w:val="00F70BDF"/>
    <w:rsid w:val="00F7361E"/>
    <w:rsid w:val="00F73709"/>
    <w:rsid w:val="00F80A92"/>
    <w:rsid w:val="00F85C60"/>
    <w:rsid w:val="00F94F1D"/>
    <w:rsid w:val="00F978F2"/>
    <w:rsid w:val="00F97E8C"/>
    <w:rsid w:val="00FA325A"/>
    <w:rsid w:val="00FB4864"/>
    <w:rsid w:val="00FB63A1"/>
    <w:rsid w:val="00FB65F4"/>
    <w:rsid w:val="00FC04A6"/>
    <w:rsid w:val="00FC0F30"/>
    <w:rsid w:val="00FD7C37"/>
    <w:rsid w:val="00FE02BC"/>
    <w:rsid w:val="00FE5A9C"/>
    <w:rsid w:val="00FF0442"/>
    <w:rsid w:val="00FF36D1"/>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D61BB6"/>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qFormat/>
    <w:rsid w:val="00070252"/>
    <w:pPr>
      <w:widowControl w:val="0"/>
      <w:suppressAutoHyphens/>
      <w:spacing w:before="240" w:after="60"/>
      <w:ind w:left="4320" w:hanging="180"/>
      <w:jc w:val="both"/>
      <w:outlineLvl w:val="5"/>
    </w:pPr>
    <w:rPr>
      <w:i/>
      <w:color w:val="000000"/>
      <w:sz w:val="22"/>
      <w:szCs w:val="20"/>
      <w:lang w:val="nl-NL" w:eastAsia="ar-SA"/>
    </w:rPr>
  </w:style>
  <w:style w:type="paragraph" w:styleId="Nadpis7">
    <w:name w:val="heading 7"/>
    <w:basedOn w:val="Normlny"/>
    <w:next w:val="Normlny"/>
    <w:link w:val="Nadpis7Char"/>
    <w:qFormat/>
    <w:rsid w:val="00070252"/>
    <w:pPr>
      <w:keepNext/>
      <w:widowControl w:val="0"/>
      <w:suppressAutoHyphens/>
      <w:ind w:left="5040" w:hanging="360"/>
      <w:jc w:val="both"/>
      <w:outlineLvl w:val="6"/>
    </w:pPr>
    <w:rPr>
      <w:b/>
      <w:color w:val="000000"/>
      <w:szCs w:val="20"/>
      <w:lang w:val="nl-NL" w:eastAsia="ar-SA"/>
    </w:rPr>
  </w:style>
  <w:style w:type="paragraph" w:styleId="Nadpis8">
    <w:name w:val="heading 8"/>
    <w:basedOn w:val="Normlny"/>
    <w:next w:val="Normlny"/>
    <w:link w:val="Nadpis8Char"/>
    <w:qFormat/>
    <w:rsid w:val="00070252"/>
    <w:pPr>
      <w:keepNext/>
      <w:suppressAutoHyphens/>
      <w:ind w:left="5760" w:hanging="360"/>
      <w:jc w:val="both"/>
      <w:outlineLvl w:val="7"/>
    </w:pPr>
    <w:rPr>
      <w:i/>
      <w:szCs w:val="20"/>
      <w:lang w:eastAsia="ar-SA"/>
    </w:rPr>
  </w:style>
  <w:style w:type="paragraph" w:styleId="Nadpis9">
    <w:name w:val="heading 9"/>
    <w:basedOn w:val="Normlny"/>
    <w:next w:val="Normlny"/>
    <w:link w:val="Nadpis9Char"/>
    <w:qFormat/>
    <w:rsid w:val="00070252"/>
    <w:pPr>
      <w:keepNext/>
      <w:suppressAutoHyphens/>
      <w:ind w:left="6480" w:hanging="180"/>
      <w:jc w:val="both"/>
      <w:outlineLvl w:val="8"/>
    </w:pPr>
    <w:rPr>
      <w:b/>
      <w:szCs w:val="20"/>
      <w:lang w:eastAsia="ar-SA"/>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nhideWhenUsed/>
    <w:rsid w:val="00D61BB6"/>
    <w:rPr>
      <w:rFonts w:ascii="Tahoma" w:hAnsi="Tahoma" w:cs="Tahoma"/>
      <w:sz w:val="16"/>
      <w:szCs w:val="16"/>
    </w:rPr>
  </w:style>
  <w:style w:type="character" w:customStyle="1" w:styleId="TextbublinyChar">
    <w:name w:val="Text bubliny Char"/>
    <w:basedOn w:val="Predvolenpsmoodseku"/>
    <w:link w:val="Textbubliny"/>
    <w:rsid w:val="00D61BB6"/>
    <w:rPr>
      <w:rFonts w:ascii="Tahoma" w:eastAsia="Times New Roman" w:hAnsi="Tahoma" w:cs="Tahoma"/>
      <w:sz w:val="16"/>
      <w:szCs w:val="16"/>
      <w:lang w:eastAsia="sk-SK"/>
    </w:rPr>
  </w:style>
  <w:style w:type="character" w:styleId="Odkaznakomentr">
    <w:name w:val="annotation reference"/>
    <w:basedOn w:val="Predvolenpsmoodseku"/>
    <w:unhideWhenUsed/>
    <w:rsid w:val="004C1071"/>
    <w:rPr>
      <w:sz w:val="16"/>
      <w:szCs w:val="16"/>
    </w:rPr>
  </w:style>
  <w:style w:type="paragraph" w:styleId="Textkomentra">
    <w:name w:val="annotation text"/>
    <w:basedOn w:val="Normlny"/>
    <w:link w:val="TextkomentraChar"/>
    <w:unhideWhenUsed/>
    <w:rsid w:val="004C1071"/>
    <w:rPr>
      <w:sz w:val="20"/>
      <w:szCs w:val="20"/>
    </w:rPr>
  </w:style>
  <w:style w:type="character" w:customStyle="1" w:styleId="TextkomentraChar">
    <w:name w:val="Text komentára Char"/>
    <w:basedOn w:val="Predvolenpsmoodseku"/>
    <w:link w:val="Textkomentra"/>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aliases w:val="body,Odsek zoznamu2"/>
    <w:basedOn w:val="Normlny"/>
    <w:link w:val="OdsekzoznamuChar"/>
    <w:uiPriority w:val="34"/>
    <w:qFormat/>
    <w:rsid w:val="00B948E0"/>
    <w:pPr>
      <w:ind w:left="720"/>
      <w:contextualSpacing/>
    </w:pPr>
  </w:style>
  <w:style w:type="paragraph" w:styleId="Obsah1">
    <w:name w:val="toc 1"/>
    <w:basedOn w:val="Normlny"/>
    <w:next w:val="Normlny"/>
    <w:autoRedefine/>
    <w:unhideWhenUsed/>
    <w:rsid w:val="00B948E0"/>
    <w:pPr>
      <w:spacing w:after="100"/>
    </w:pPr>
  </w:style>
  <w:style w:type="paragraph" w:styleId="Hlavika">
    <w:name w:val="header"/>
    <w:basedOn w:val="Normlny"/>
    <w:link w:val="HlavikaChar"/>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uiPriority w:val="99"/>
    <w:unhideWhenUsed/>
    <w:rsid w:val="008806AC"/>
    <w:rPr>
      <w:sz w:val="20"/>
      <w:szCs w:val="20"/>
    </w:rPr>
  </w:style>
  <w:style w:type="character" w:customStyle="1" w:styleId="TextpoznmkypodiarouChar">
    <w:name w:val="Text poznámky pod čiarou Char"/>
    <w:basedOn w:val="Predvolenpsmoodseku"/>
    <w:link w:val="Textpoznmkypodiarou"/>
    <w:uiPriority w:val="99"/>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1"/>
      </w:numPr>
      <w:spacing w:before="200" w:after="200"/>
      <w:ind w:left="714" w:hanging="357"/>
      <w:contextualSpacing/>
      <w:jc w:val="both"/>
    </w:pPr>
  </w:style>
  <w:style w:type="character" w:customStyle="1" w:styleId="Nadpis1Char">
    <w:name w:val="Nadpis 1 Char"/>
    <w:basedOn w:val="Predvolenpsmoodseku"/>
    <w:link w:val="Nadpis1"/>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F94F1D"/>
    <w:pPr>
      <w:tabs>
        <w:tab w:val="left" w:pos="284"/>
        <w:tab w:val="right" w:leader="dot" w:pos="9062"/>
      </w:tabs>
      <w:spacing w:after="100"/>
    </w:pPr>
    <w:rPr>
      <w:b/>
      <w:noProof/>
    </w:rPr>
  </w:style>
  <w:style w:type="paragraph" w:styleId="Obsah3">
    <w:name w:val="toc 3"/>
    <w:basedOn w:val="Normlny"/>
    <w:next w:val="Normlny"/>
    <w:autoRedefine/>
    <w:uiPriority w:val="39"/>
    <w:unhideWhenUsed/>
    <w:rsid w:val="009A0FAA"/>
    <w:pPr>
      <w:tabs>
        <w:tab w:val="right" w:leader="dot" w:pos="9062"/>
      </w:tabs>
      <w:spacing w:after="100"/>
      <w:ind w:left="851" w:hanging="371"/>
      <w:jc w:val="both"/>
    </w:pPr>
  </w:style>
  <w:style w:type="paragraph" w:styleId="Obsah4">
    <w:name w:val="toc 4"/>
    <w:basedOn w:val="Normlny"/>
    <w:next w:val="Normlny"/>
    <w:autoRedefine/>
    <w:uiPriority w:val="39"/>
    <w:unhideWhenUsed/>
    <w:rsid w:val="009A0FAA"/>
    <w:pPr>
      <w:tabs>
        <w:tab w:val="right" w:leader="dot" w:pos="9062"/>
      </w:tabs>
      <w:spacing w:after="100"/>
      <w:ind w:left="1560" w:hanging="709"/>
      <w:jc w:val="both"/>
    </w:pPr>
  </w:style>
  <w:style w:type="paragraph" w:styleId="Obsah5">
    <w:name w:val="toc 5"/>
    <w:basedOn w:val="Normlny"/>
    <w:next w:val="Normlny"/>
    <w:autoRedefine/>
    <w:unhideWhenUsed/>
    <w:rsid w:val="00460F75"/>
    <w:pPr>
      <w:spacing w:after="100"/>
      <w:ind w:left="960"/>
    </w:pPr>
  </w:style>
  <w:style w:type="paragraph" w:customStyle="1" w:styleId="Default">
    <w:name w:val="Default"/>
    <w:rsid w:val="00895CF5"/>
    <w:pPr>
      <w:autoSpaceDE w:val="0"/>
      <w:autoSpaceDN w:val="0"/>
      <w:adjustRightInd w:val="0"/>
      <w:spacing w:after="0" w:line="240" w:lineRule="auto"/>
    </w:pPr>
    <w:rPr>
      <w:rFonts w:ascii="Arial" w:hAnsi="Arial" w:cs="Arial"/>
      <w:color w:val="000000"/>
      <w:sz w:val="24"/>
      <w:szCs w:val="24"/>
    </w:rPr>
  </w:style>
  <w:style w:type="character" w:customStyle="1" w:styleId="Nadpis6Char">
    <w:name w:val="Nadpis 6 Char"/>
    <w:basedOn w:val="Predvolenpsmoodseku"/>
    <w:link w:val="Nadpis6"/>
    <w:rsid w:val="00070252"/>
    <w:rPr>
      <w:rFonts w:ascii="Times New Roman" w:eastAsia="Times New Roman" w:hAnsi="Times New Roman" w:cs="Times New Roman"/>
      <w:i/>
      <w:color w:val="000000"/>
      <w:szCs w:val="20"/>
      <w:lang w:val="nl-NL" w:eastAsia="ar-SA"/>
    </w:rPr>
  </w:style>
  <w:style w:type="character" w:customStyle="1" w:styleId="Nadpis7Char">
    <w:name w:val="Nadpis 7 Char"/>
    <w:basedOn w:val="Predvolenpsmoodseku"/>
    <w:link w:val="Nadpis7"/>
    <w:rsid w:val="00070252"/>
    <w:rPr>
      <w:rFonts w:ascii="Times New Roman" w:eastAsia="Times New Roman" w:hAnsi="Times New Roman" w:cs="Times New Roman"/>
      <w:b/>
      <w:color w:val="000000"/>
      <w:sz w:val="24"/>
      <w:szCs w:val="20"/>
      <w:lang w:val="nl-NL" w:eastAsia="ar-SA"/>
    </w:rPr>
  </w:style>
  <w:style w:type="character" w:customStyle="1" w:styleId="Nadpis8Char">
    <w:name w:val="Nadpis 8 Char"/>
    <w:basedOn w:val="Predvolenpsmoodseku"/>
    <w:link w:val="Nadpis8"/>
    <w:rsid w:val="00070252"/>
    <w:rPr>
      <w:rFonts w:ascii="Times New Roman" w:eastAsia="Times New Roman" w:hAnsi="Times New Roman" w:cs="Times New Roman"/>
      <w:i/>
      <w:sz w:val="24"/>
      <w:szCs w:val="20"/>
      <w:lang w:eastAsia="ar-SA"/>
    </w:rPr>
  </w:style>
  <w:style w:type="character" w:customStyle="1" w:styleId="Nadpis9Char">
    <w:name w:val="Nadpis 9 Char"/>
    <w:basedOn w:val="Predvolenpsmoodseku"/>
    <w:link w:val="Nadpis9"/>
    <w:rsid w:val="00070252"/>
    <w:rPr>
      <w:rFonts w:ascii="Times New Roman" w:eastAsia="Times New Roman" w:hAnsi="Times New Roman" w:cs="Times New Roman"/>
      <w:b/>
      <w:sz w:val="24"/>
      <w:szCs w:val="20"/>
      <w:lang w:eastAsia="ar-SA"/>
    </w:rPr>
  </w:style>
  <w:style w:type="paragraph" w:styleId="truktradokumentu">
    <w:name w:val="Document Map"/>
    <w:basedOn w:val="Normlny"/>
    <w:link w:val="truktradokumentuChar"/>
    <w:semiHidden/>
    <w:rsid w:val="00070252"/>
    <w:pPr>
      <w:shd w:val="clear" w:color="auto" w:fill="000080"/>
    </w:pPr>
    <w:rPr>
      <w:rFonts w:ascii="Tahoma" w:hAnsi="Tahoma" w:cs="Tahoma"/>
      <w:sz w:val="20"/>
      <w:szCs w:val="20"/>
      <w:lang w:eastAsia="en-GB"/>
    </w:rPr>
  </w:style>
  <w:style w:type="character" w:customStyle="1" w:styleId="truktradokumentuChar">
    <w:name w:val="Štruktúra dokumentu Char"/>
    <w:basedOn w:val="Predvolenpsmoodseku"/>
    <w:link w:val="truktradokumentu"/>
    <w:semiHidden/>
    <w:rsid w:val="00070252"/>
    <w:rPr>
      <w:rFonts w:ascii="Tahoma" w:eastAsia="Times New Roman" w:hAnsi="Tahoma" w:cs="Tahoma"/>
      <w:sz w:val="20"/>
      <w:szCs w:val="20"/>
      <w:shd w:val="clear" w:color="auto" w:fill="000080"/>
      <w:lang w:eastAsia="en-GB"/>
    </w:rPr>
  </w:style>
  <w:style w:type="character" w:customStyle="1" w:styleId="WW8Num1z0">
    <w:name w:val="WW8Num1z0"/>
    <w:rsid w:val="00070252"/>
    <w:rPr>
      <w:rFonts w:ascii="Calibri" w:eastAsia="Times New Roman" w:hAnsi="Calibri" w:cs="Times New Roman"/>
    </w:rPr>
  </w:style>
  <w:style w:type="character" w:customStyle="1" w:styleId="WW8Num1z1">
    <w:name w:val="WW8Num1z1"/>
    <w:rsid w:val="00070252"/>
    <w:rPr>
      <w:rFonts w:ascii="Courier New" w:hAnsi="Courier New" w:cs="Courier New"/>
    </w:rPr>
  </w:style>
  <w:style w:type="character" w:customStyle="1" w:styleId="WW8Num1z2">
    <w:name w:val="WW8Num1z2"/>
    <w:rsid w:val="00070252"/>
    <w:rPr>
      <w:rFonts w:ascii="Wingdings" w:hAnsi="Wingdings"/>
    </w:rPr>
  </w:style>
  <w:style w:type="character" w:customStyle="1" w:styleId="WW8Num1z3">
    <w:name w:val="WW8Num1z3"/>
    <w:rsid w:val="00070252"/>
    <w:rPr>
      <w:rFonts w:ascii="Symbol" w:hAnsi="Symbol"/>
    </w:rPr>
  </w:style>
  <w:style w:type="character" w:customStyle="1" w:styleId="WW8Num2z0">
    <w:name w:val="WW8Num2z0"/>
    <w:rsid w:val="00070252"/>
    <w:rPr>
      <w:rFonts w:ascii="Symbol" w:hAnsi="Symbol"/>
    </w:rPr>
  </w:style>
  <w:style w:type="character" w:customStyle="1" w:styleId="WW8Num2z1">
    <w:name w:val="WW8Num2z1"/>
    <w:rsid w:val="00070252"/>
    <w:rPr>
      <w:rFonts w:ascii="Courier New" w:hAnsi="Courier New" w:cs="Courier New"/>
    </w:rPr>
  </w:style>
  <w:style w:type="character" w:customStyle="1" w:styleId="WW8Num2z2">
    <w:name w:val="WW8Num2z2"/>
    <w:rsid w:val="00070252"/>
    <w:rPr>
      <w:rFonts w:ascii="Wingdings" w:hAnsi="Wingdings"/>
    </w:rPr>
  </w:style>
  <w:style w:type="character" w:customStyle="1" w:styleId="WW8Num3z0">
    <w:name w:val="WW8Num3z0"/>
    <w:rsid w:val="00070252"/>
    <w:rPr>
      <w:rFonts w:ascii="Symbol" w:hAnsi="Symbol"/>
    </w:rPr>
  </w:style>
  <w:style w:type="character" w:customStyle="1" w:styleId="WW8Num3z1">
    <w:name w:val="WW8Num3z1"/>
    <w:rsid w:val="00070252"/>
    <w:rPr>
      <w:rFonts w:ascii="Courier New" w:hAnsi="Courier New" w:cs="Courier New"/>
    </w:rPr>
  </w:style>
  <w:style w:type="character" w:customStyle="1" w:styleId="WW8Num3z2">
    <w:name w:val="WW8Num3z2"/>
    <w:rsid w:val="00070252"/>
    <w:rPr>
      <w:rFonts w:ascii="Wingdings" w:hAnsi="Wingdings"/>
    </w:rPr>
  </w:style>
  <w:style w:type="character" w:customStyle="1" w:styleId="WW8Num4z0">
    <w:name w:val="WW8Num4z0"/>
    <w:rsid w:val="00070252"/>
    <w:rPr>
      <w:rFonts w:ascii="Symbol" w:hAnsi="Symbol"/>
    </w:rPr>
  </w:style>
  <w:style w:type="character" w:customStyle="1" w:styleId="WW8Num4z1">
    <w:name w:val="WW8Num4z1"/>
    <w:rsid w:val="00070252"/>
    <w:rPr>
      <w:rFonts w:ascii="Courier New" w:hAnsi="Courier New" w:cs="Courier New"/>
    </w:rPr>
  </w:style>
  <w:style w:type="character" w:customStyle="1" w:styleId="WW8Num4z2">
    <w:name w:val="WW8Num4z2"/>
    <w:rsid w:val="00070252"/>
    <w:rPr>
      <w:rFonts w:ascii="Wingdings" w:hAnsi="Wingdings"/>
    </w:rPr>
  </w:style>
  <w:style w:type="character" w:customStyle="1" w:styleId="WW8Num5z0">
    <w:name w:val="WW8Num5z0"/>
    <w:rsid w:val="00070252"/>
    <w:rPr>
      <w:rFonts w:ascii="Times New Roman" w:eastAsia="Times New Roman" w:hAnsi="Times New Roman" w:cs="Times New Roman"/>
    </w:rPr>
  </w:style>
  <w:style w:type="character" w:customStyle="1" w:styleId="WW8Num6z0">
    <w:name w:val="WW8Num6z0"/>
    <w:rsid w:val="00070252"/>
    <w:rPr>
      <w:rFonts w:ascii="Symbol" w:hAnsi="Symbol"/>
    </w:rPr>
  </w:style>
  <w:style w:type="character" w:customStyle="1" w:styleId="WW8Num6z1">
    <w:name w:val="WW8Num6z1"/>
    <w:rsid w:val="00070252"/>
    <w:rPr>
      <w:rFonts w:ascii="Courier New" w:hAnsi="Courier New" w:cs="Courier New"/>
    </w:rPr>
  </w:style>
  <w:style w:type="character" w:customStyle="1" w:styleId="WW8Num6z2">
    <w:name w:val="WW8Num6z2"/>
    <w:rsid w:val="00070252"/>
    <w:rPr>
      <w:rFonts w:ascii="Wingdings" w:hAnsi="Wingdings"/>
    </w:rPr>
  </w:style>
  <w:style w:type="character" w:customStyle="1" w:styleId="WW8Num8z0">
    <w:name w:val="WW8Num8z0"/>
    <w:rsid w:val="00070252"/>
    <w:rPr>
      <w:rFonts w:ascii="Times New Roman" w:eastAsia="Times New Roman" w:hAnsi="Times New Roman" w:cs="Times New Roman"/>
    </w:rPr>
  </w:style>
  <w:style w:type="character" w:customStyle="1" w:styleId="WW8Num8z1">
    <w:name w:val="WW8Num8z1"/>
    <w:rsid w:val="00070252"/>
    <w:rPr>
      <w:rFonts w:ascii="Courier New" w:hAnsi="Courier New" w:cs="Courier New"/>
    </w:rPr>
  </w:style>
  <w:style w:type="character" w:customStyle="1" w:styleId="WW8Num8z2">
    <w:name w:val="WW8Num8z2"/>
    <w:rsid w:val="00070252"/>
    <w:rPr>
      <w:rFonts w:ascii="Wingdings" w:hAnsi="Wingdings"/>
    </w:rPr>
  </w:style>
  <w:style w:type="character" w:customStyle="1" w:styleId="WW8Num8z3">
    <w:name w:val="WW8Num8z3"/>
    <w:rsid w:val="00070252"/>
    <w:rPr>
      <w:rFonts w:ascii="Symbol" w:hAnsi="Symbol"/>
    </w:rPr>
  </w:style>
  <w:style w:type="character" w:customStyle="1" w:styleId="WW8Num9z0">
    <w:name w:val="WW8Num9z0"/>
    <w:rsid w:val="00070252"/>
    <w:rPr>
      <w:rFonts w:ascii="Symbol" w:hAnsi="Symbol"/>
    </w:rPr>
  </w:style>
  <w:style w:type="character" w:customStyle="1" w:styleId="WW8Num9z1">
    <w:name w:val="WW8Num9z1"/>
    <w:rsid w:val="00070252"/>
    <w:rPr>
      <w:rFonts w:ascii="Courier New" w:hAnsi="Courier New" w:cs="Courier New"/>
    </w:rPr>
  </w:style>
  <w:style w:type="character" w:customStyle="1" w:styleId="WW8Num9z2">
    <w:name w:val="WW8Num9z2"/>
    <w:rsid w:val="00070252"/>
    <w:rPr>
      <w:rFonts w:ascii="Wingdings" w:hAnsi="Wingdings"/>
    </w:rPr>
  </w:style>
  <w:style w:type="character" w:customStyle="1" w:styleId="WW8Num13z0">
    <w:name w:val="WW8Num13z0"/>
    <w:rsid w:val="00070252"/>
    <w:rPr>
      <w:b w:val="0"/>
    </w:rPr>
  </w:style>
  <w:style w:type="character" w:customStyle="1" w:styleId="WW8Num15z0">
    <w:name w:val="WW8Num15z0"/>
    <w:rsid w:val="00070252"/>
    <w:rPr>
      <w:rFonts w:ascii="Symbol" w:hAnsi="Symbol"/>
    </w:rPr>
  </w:style>
  <w:style w:type="character" w:customStyle="1" w:styleId="WW8Num15z1">
    <w:name w:val="WW8Num15z1"/>
    <w:rsid w:val="00070252"/>
    <w:rPr>
      <w:rFonts w:ascii="Courier New" w:hAnsi="Courier New" w:cs="Courier New"/>
    </w:rPr>
  </w:style>
  <w:style w:type="character" w:customStyle="1" w:styleId="WW8Num15z2">
    <w:name w:val="WW8Num15z2"/>
    <w:rsid w:val="00070252"/>
    <w:rPr>
      <w:rFonts w:ascii="Wingdings" w:hAnsi="Wingdings"/>
    </w:rPr>
  </w:style>
  <w:style w:type="character" w:customStyle="1" w:styleId="WW8Num16z0">
    <w:name w:val="WW8Num16z0"/>
    <w:rsid w:val="00070252"/>
    <w:rPr>
      <w:rFonts w:ascii="Symbol" w:hAnsi="Symbol"/>
    </w:rPr>
  </w:style>
  <w:style w:type="character" w:customStyle="1" w:styleId="WW8Num16z1">
    <w:name w:val="WW8Num16z1"/>
    <w:rsid w:val="00070252"/>
    <w:rPr>
      <w:rFonts w:ascii="Courier New" w:hAnsi="Courier New" w:cs="Courier New"/>
    </w:rPr>
  </w:style>
  <w:style w:type="character" w:customStyle="1" w:styleId="WW8Num16z2">
    <w:name w:val="WW8Num16z2"/>
    <w:rsid w:val="00070252"/>
    <w:rPr>
      <w:rFonts w:ascii="Wingdings" w:hAnsi="Wingdings"/>
    </w:rPr>
  </w:style>
  <w:style w:type="character" w:customStyle="1" w:styleId="WW8Num17z1">
    <w:name w:val="WW8Num17z1"/>
    <w:rsid w:val="00070252"/>
    <w:rPr>
      <w:rFonts w:ascii="Times New Roman" w:eastAsia="Times New Roman" w:hAnsi="Times New Roman" w:cs="Times New Roman"/>
    </w:rPr>
  </w:style>
  <w:style w:type="character" w:customStyle="1" w:styleId="WW8Num18z0">
    <w:name w:val="WW8Num18z0"/>
    <w:rsid w:val="00070252"/>
    <w:rPr>
      <w:rFonts w:ascii="Symbol" w:hAnsi="Symbol"/>
    </w:rPr>
  </w:style>
  <w:style w:type="character" w:customStyle="1" w:styleId="WW8Num18z1">
    <w:name w:val="WW8Num18z1"/>
    <w:rsid w:val="00070252"/>
    <w:rPr>
      <w:rFonts w:ascii="Courier New" w:hAnsi="Courier New" w:cs="Courier New"/>
    </w:rPr>
  </w:style>
  <w:style w:type="character" w:customStyle="1" w:styleId="WW8Num18z2">
    <w:name w:val="WW8Num18z2"/>
    <w:rsid w:val="00070252"/>
    <w:rPr>
      <w:rFonts w:ascii="Wingdings" w:hAnsi="Wingdings"/>
    </w:rPr>
  </w:style>
  <w:style w:type="character" w:customStyle="1" w:styleId="WW8Num19z0">
    <w:name w:val="WW8Num19z0"/>
    <w:rsid w:val="00070252"/>
    <w:rPr>
      <w:rFonts w:ascii="Times New Roman" w:eastAsia="SimSun" w:hAnsi="Times New Roman" w:cs="Times New Roman"/>
    </w:rPr>
  </w:style>
  <w:style w:type="character" w:customStyle="1" w:styleId="WW8Num19z1">
    <w:name w:val="WW8Num19z1"/>
    <w:rsid w:val="00070252"/>
    <w:rPr>
      <w:rFonts w:ascii="Courier New" w:hAnsi="Courier New" w:cs="Courier New"/>
    </w:rPr>
  </w:style>
  <w:style w:type="character" w:customStyle="1" w:styleId="WW8Num19z2">
    <w:name w:val="WW8Num19z2"/>
    <w:rsid w:val="00070252"/>
    <w:rPr>
      <w:rFonts w:ascii="Wingdings" w:hAnsi="Wingdings"/>
    </w:rPr>
  </w:style>
  <w:style w:type="character" w:customStyle="1" w:styleId="WW8Num19z3">
    <w:name w:val="WW8Num19z3"/>
    <w:rsid w:val="00070252"/>
    <w:rPr>
      <w:rFonts w:ascii="Symbol" w:hAnsi="Symbol"/>
    </w:rPr>
  </w:style>
  <w:style w:type="character" w:customStyle="1" w:styleId="WW8Num21z0">
    <w:name w:val="WW8Num21z0"/>
    <w:rsid w:val="00070252"/>
    <w:rPr>
      <w:b/>
    </w:rPr>
  </w:style>
  <w:style w:type="character" w:customStyle="1" w:styleId="WW8Num22z0">
    <w:name w:val="WW8Num22z0"/>
    <w:rsid w:val="00070252"/>
    <w:rPr>
      <w:rFonts w:ascii="Times New Roman" w:eastAsia="Times New Roman" w:hAnsi="Times New Roman" w:cs="Times New Roman"/>
    </w:rPr>
  </w:style>
  <w:style w:type="character" w:customStyle="1" w:styleId="WW8Num22z1">
    <w:name w:val="WW8Num22z1"/>
    <w:rsid w:val="00070252"/>
    <w:rPr>
      <w:rFonts w:ascii="Courier New" w:hAnsi="Courier New" w:cs="Courier New"/>
    </w:rPr>
  </w:style>
  <w:style w:type="character" w:customStyle="1" w:styleId="WW8Num22z2">
    <w:name w:val="WW8Num22z2"/>
    <w:rsid w:val="00070252"/>
    <w:rPr>
      <w:rFonts w:ascii="Wingdings" w:hAnsi="Wingdings"/>
    </w:rPr>
  </w:style>
  <w:style w:type="character" w:customStyle="1" w:styleId="WW8Num22z3">
    <w:name w:val="WW8Num22z3"/>
    <w:rsid w:val="00070252"/>
    <w:rPr>
      <w:rFonts w:ascii="Symbol" w:hAnsi="Symbol"/>
    </w:rPr>
  </w:style>
  <w:style w:type="character" w:customStyle="1" w:styleId="WW8Num24z0">
    <w:name w:val="WW8Num24z0"/>
    <w:rsid w:val="00070252"/>
    <w:rPr>
      <w:rFonts w:ascii="Symbol" w:hAnsi="Symbol"/>
    </w:rPr>
  </w:style>
  <w:style w:type="character" w:customStyle="1" w:styleId="WW8Num24z1">
    <w:name w:val="WW8Num24z1"/>
    <w:rsid w:val="00070252"/>
    <w:rPr>
      <w:rFonts w:ascii="Courier New" w:hAnsi="Courier New" w:cs="Courier New"/>
    </w:rPr>
  </w:style>
  <w:style w:type="character" w:customStyle="1" w:styleId="WW8Num24z2">
    <w:name w:val="WW8Num24z2"/>
    <w:rsid w:val="00070252"/>
    <w:rPr>
      <w:rFonts w:ascii="Wingdings" w:hAnsi="Wingdings"/>
    </w:rPr>
  </w:style>
  <w:style w:type="character" w:customStyle="1" w:styleId="WW8Num25z0">
    <w:name w:val="WW8Num25z0"/>
    <w:rsid w:val="00070252"/>
    <w:rPr>
      <w:rFonts w:ascii="Symbol" w:hAnsi="Symbol"/>
    </w:rPr>
  </w:style>
  <w:style w:type="character" w:customStyle="1" w:styleId="WW8Num25z1">
    <w:name w:val="WW8Num25z1"/>
    <w:rsid w:val="00070252"/>
    <w:rPr>
      <w:rFonts w:ascii="Courier New" w:hAnsi="Courier New" w:cs="Courier New"/>
    </w:rPr>
  </w:style>
  <w:style w:type="character" w:customStyle="1" w:styleId="WW8Num25z2">
    <w:name w:val="WW8Num25z2"/>
    <w:rsid w:val="00070252"/>
    <w:rPr>
      <w:rFonts w:ascii="Wingdings" w:hAnsi="Wingdings"/>
    </w:rPr>
  </w:style>
  <w:style w:type="character" w:customStyle="1" w:styleId="WW8Num26z0">
    <w:name w:val="WW8Num26z0"/>
    <w:rsid w:val="00070252"/>
    <w:rPr>
      <w:rFonts w:ascii="Symbol" w:hAnsi="Symbol"/>
    </w:rPr>
  </w:style>
  <w:style w:type="character" w:customStyle="1" w:styleId="WW8Num26z1">
    <w:name w:val="WW8Num26z1"/>
    <w:rsid w:val="00070252"/>
    <w:rPr>
      <w:rFonts w:ascii="Courier New" w:hAnsi="Courier New" w:cs="Courier New"/>
    </w:rPr>
  </w:style>
  <w:style w:type="character" w:customStyle="1" w:styleId="WW8Num26z2">
    <w:name w:val="WW8Num26z2"/>
    <w:rsid w:val="00070252"/>
    <w:rPr>
      <w:rFonts w:ascii="Wingdings" w:hAnsi="Wingdings"/>
    </w:rPr>
  </w:style>
  <w:style w:type="character" w:customStyle="1" w:styleId="WW8Num27z0">
    <w:name w:val="WW8Num27z0"/>
    <w:rsid w:val="00070252"/>
    <w:rPr>
      <w:rFonts w:ascii="Symbol" w:hAnsi="Symbol"/>
    </w:rPr>
  </w:style>
  <w:style w:type="character" w:customStyle="1" w:styleId="WW8Num27z1">
    <w:name w:val="WW8Num27z1"/>
    <w:rsid w:val="00070252"/>
    <w:rPr>
      <w:rFonts w:ascii="Courier New" w:hAnsi="Courier New" w:cs="Courier New"/>
    </w:rPr>
  </w:style>
  <w:style w:type="character" w:customStyle="1" w:styleId="WW8Num27z2">
    <w:name w:val="WW8Num27z2"/>
    <w:rsid w:val="00070252"/>
    <w:rPr>
      <w:rFonts w:ascii="Wingdings" w:hAnsi="Wingdings"/>
    </w:rPr>
  </w:style>
  <w:style w:type="character" w:customStyle="1" w:styleId="WW8Num28z0">
    <w:name w:val="WW8Num28z0"/>
    <w:rsid w:val="00070252"/>
    <w:rPr>
      <w:rFonts w:ascii="Arial" w:eastAsia="Courier New" w:hAnsi="Arial" w:cs="Arial"/>
    </w:rPr>
  </w:style>
  <w:style w:type="character" w:customStyle="1" w:styleId="WW8Num28z1">
    <w:name w:val="WW8Num28z1"/>
    <w:rsid w:val="00070252"/>
    <w:rPr>
      <w:rFonts w:ascii="Times New Roman" w:eastAsia="Times New Roman" w:hAnsi="Times New Roman" w:cs="Times New Roman"/>
    </w:rPr>
  </w:style>
  <w:style w:type="character" w:customStyle="1" w:styleId="WW8Num31z0">
    <w:name w:val="WW8Num31z0"/>
    <w:rsid w:val="00070252"/>
    <w:rPr>
      <w:rFonts w:ascii="Times New Roman" w:eastAsia="SimSun" w:hAnsi="Times New Roman" w:cs="Times New Roman"/>
    </w:rPr>
  </w:style>
  <w:style w:type="character" w:customStyle="1" w:styleId="WW8Num31z1">
    <w:name w:val="WW8Num31z1"/>
    <w:rsid w:val="00070252"/>
    <w:rPr>
      <w:rFonts w:ascii="Courier New" w:hAnsi="Courier New" w:cs="Courier New"/>
    </w:rPr>
  </w:style>
  <w:style w:type="character" w:customStyle="1" w:styleId="WW8Num31z2">
    <w:name w:val="WW8Num31z2"/>
    <w:rsid w:val="00070252"/>
    <w:rPr>
      <w:rFonts w:ascii="Wingdings" w:hAnsi="Wingdings"/>
    </w:rPr>
  </w:style>
  <w:style w:type="character" w:customStyle="1" w:styleId="WW8Num31z3">
    <w:name w:val="WW8Num31z3"/>
    <w:rsid w:val="00070252"/>
    <w:rPr>
      <w:rFonts w:ascii="Symbol" w:hAnsi="Symbol"/>
    </w:rPr>
  </w:style>
  <w:style w:type="character" w:customStyle="1" w:styleId="WW8Num33z0">
    <w:name w:val="WW8Num33z0"/>
    <w:rsid w:val="00070252"/>
    <w:rPr>
      <w:rFonts w:ascii="Symbol" w:hAnsi="Symbol"/>
    </w:rPr>
  </w:style>
  <w:style w:type="character" w:customStyle="1" w:styleId="WW8Num33z1">
    <w:name w:val="WW8Num33z1"/>
    <w:rsid w:val="00070252"/>
    <w:rPr>
      <w:rFonts w:ascii="Courier New" w:hAnsi="Courier New" w:cs="Courier New"/>
    </w:rPr>
  </w:style>
  <w:style w:type="character" w:customStyle="1" w:styleId="WW8Num33z2">
    <w:name w:val="WW8Num33z2"/>
    <w:rsid w:val="00070252"/>
    <w:rPr>
      <w:rFonts w:ascii="Wingdings" w:hAnsi="Wingdings"/>
    </w:rPr>
  </w:style>
  <w:style w:type="character" w:customStyle="1" w:styleId="WW8Num34z0">
    <w:name w:val="WW8Num34z0"/>
    <w:rsid w:val="00070252"/>
    <w:rPr>
      <w:rFonts w:ascii="Times New Roman" w:eastAsia="Times New Roman" w:hAnsi="Times New Roman" w:cs="Times New Roman"/>
    </w:rPr>
  </w:style>
  <w:style w:type="character" w:customStyle="1" w:styleId="WW8Num34z1">
    <w:name w:val="WW8Num34z1"/>
    <w:rsid w:val="00070252"/>
    <w:rPr>
      <w:rFonts w:ascii="Courier New" w:hAnsi="Courier New" w:cs="Courier New"/>
    </w:rPr>
  </w:style>
  <w:style w:type="character" w:customStyle="1" w:styleId="WW8Num34z2">
    <w:name w:val="WW8Num34z2"/>
    <w:rsid w:val="00070252"/>
    <w:rPr>
      <w:rFonts w:ascii="Wingdings" w:hAnsi="Wingdings"/>
    </w:rPr>
  </w:style>
  <w:style w:type="character" w:customStyle="1" w:styleId="WW8Num34z3">
    <w:name w:val="WW8Num34z3"/>
    <w:rsid w:val="00070252"/>
    <w:rPr>
      <w:rFonts w:ascii="Symbol" w:hAnsi="Symbol"/>
    </w:rPr>
  </w:style>
  <w:style w:type="character" w:customStyle="1" w:styleId="WW8Num35z0">
    <w:name w:val="WW8Num35z0"/>
    <w:rsid w:val="00070252"/>
    <w:rPr>
      <w:rFonts w:ascii="Symbol" w:hAnsi="Symbol"/>
    </w:rPr>
  </w:style>
  <w:style w:type="character" w:customStyle="1" w:styleId="WW8Num35z1">
    <w:name w:val="WW8Num35z1"/>
    <w:rsid w:val="00070252"/>
    <w:rPr>
      <w:rFonts w:ascii="Courier New" w:hAnsi="Courier New" w:cs="Courier New"/>
    </w:rPr>
  </w:style>
  <w:style w:type="character" w:customStyle="1" w:styleId="WW8Num35z2">
    <w:name w:val="WW8Num35z2"/>
    <w:rsid w:val="00070252"/>
    <w:rPr>
      <w:rFonts w:ascii="Wingdings" w:hAnsi="Wingdings"/>
    </w:rPr>
  </w:style>
  <w:style w:type="character" w:customStyle="1" w:styleId="WW8Num36z0">
    <w:name w:val="WW8Num36z0"/>
    <w:rsid w:val="00070252"/>
    <w:rPr>
      <w:rFonts w:ascii="Symbol" w:hAnsi="Symbol"/>
    </w:rPr>
  </w:style>
  <w:style w:type="character" w:customStyle="1" w:styleId="WW8Num36z1">
    <w:name w:val="WW8Num36z1"/>
    <w:rsid w:val="00070252"/>
    <w:rPr>
      <w:rFonts w:ascii="Courier New" w:hAnsi="Courier New" w:cs="Courier New"/>
    </w:rPr>
  </w:style>
  <w:style w:type="character" w:customStyle="1" w:styleId="WW8Num36z2">
    <w:name w:val="WW8Num36z2"/>
    <w:rsid w:val="00070252"/>
    <w:rPr>
      <w:rFonts w:ascii="Wingdings" w:hAnsi="Wingdings"/>
    </w:rPr>
  </w:style>
  <w:style w:type="character" w:customStyle="1" w:styleId="WW8Num37z0">
    <w:name w:val="WW8Num37z0"/>
    <w:rsid w:val="00070252"/>
    <w:rPr>
      <w:rFonts w:ascii="Symbol" w:hAnsi="Symbol"/>
    </w:rPr>
  </w:style>
  <w:style w:type="character" w:customStyle="1" w:styleId="WW8Num37z1">
    <w:name w:val="WW8Num37z1"/>
    <w:rsid w:val="00070252"/>
    <w:rPr>
      <w:rFonts w:ascii="Courier New" w:hAnsi="Courier New" w:cs="Courier New"/>
    </w:rPr>
  </w:style>
  <w:style w:type="character" w:customStyle="1" w:styleId="WW8Num37z2">
    <w:name w:val="WW8Num37z2"/>
    <w:rsid w:val="00070252"/>
    <w:rPr>
      <w:rFonts w:ascii="Wingdings" w:hAnsi="Wingdings"/>
    </w:rPr>
  </w:style>
  <w:style w:type="character" w:customStyle="1" w:styleId="WW8Num38z0">
    <w:name w:val="WW8Num38z0"/>
    <w:rsid w:val="00070252"/>
    <w:rPr>
      <w:rFonts w:ascii="Times New Roman" w:eastAsia="Times New Roman" w:hAnsi="Times New Roman" w:cs="Times New Roman"/>
    </w:rPr>
  </w:style>
  <w:style w:type="character" w:customStyle="1" w:styleId="WW8Num38z1">
    <w:name w:val="WW8Num38z1"/>
    <w:rsid w:val="00070252"/>
    <w:rPr>
      <w:rFonts w:ascii="Courier New" w:hAnsi="Courier New" w:cs="Courier New"/>
    </w:rPr>
  </w:style>
  <w:style w:type="character" w:customStyle="1" w:styleId="WW8Num38z2">
    <w:name w:val="WW8Num38z2"/>
    <w:rsid w:val="00070252"/>
    <w:rPr>
      <w:rFonts w:ascii="Wingdings" w:hAnsi="Wingdings"/>
    </w:rPr>
  </w:style>
  <w:style w:type="character" w:customStyle="1" w:styleId="WW8Num38z3">
    <w:name w:val="WW8Num38z3"/>
    <w:rsid w:val="00070252"/>
    <w:rPr>
      <w:rFonts w:ascii="Symbol" w:hAnsi="Symbol"/>
    </w:rPr>
  </w:style>
  <w:style w:type="character" w:customStyle="1" w:styleId="WW8Num39z0">
    <w:name w:val="WW8Num39z0"/>
    <w:rsid w:val="00070252"/>
    <w:rPr>
      <w:rFonts w:ascii="Symbol" w:hAnsi="Symbol"/>
    </w:rPr>
  </w:style>
  <w:style w:type="character" w:customStyle="1" w:styleId="WW8Num39z1">
    <w:name w:val="WW8Num39z1"/>
    <w:rsid w:val="00070252"/>
    <w:rPr>
      <w:rFonts w:ascii="Courier New" w:hAnsi="Courier New" w:cs="Courier New"/>
    </w:rPr>
  </w:style>
  <w:style w:type="character" w:customStyle="1" w:styleId="WW8Num39z2">
    <w:name w:val="WW8Num39z2"/>
    <w:rsid w:val="00070252"/>
    <w:rPr>
      <w:rFonts w:ascii="Wingdings" w:hAnsi="Wingdings"/>
    </w:rPr>
  </w:style>
  <w:style w:type="character" w:customStyle="1" w:styleId="WW8Num40z0">
    <w:name w:val="WW8Num40z0"/>
    <w:rsid w:val="00070252"/>
    <w:rPr>
      <w:rFonts w:ascii="Times New Roman" w:eastAsia="Times New Roman" w:hAnsi="Times New Roman" w:cs="Times New Roman"/>
    </w:rPr>
  </w:style>
  <w:style w:type="character" w:customStyle="1" w:styleId="WW8Num40z1">
    <w:name w:val="WW8Num40z1"/>
    <w:rsid w:val="00070252"/>
    <w:rPr>
      <w:rFonts w:ascii="Courier New" w:hAnsi="Courier New" w:cs="Courier New"/>
    </w:rPr>
  </w:style>
  <w:style w:type="character" w:customStyle="1" w:styleId="WW8Num40z2">
    <w:name w:val="WW8Num40z2"/>
    <w:rsid w:val="00070252"/>
    <w:rPr>
      <w:rFonts w:ascii="Wingdings" w:hAnsi="Wingdings"/>
    </w:rPr>
  </w:style>
  <w:style w:type="character" w:customStyle="1" w:styleId="WW8Num40z3">
    <w:name w:val="WW8Num40z3"/>
    <w:rsid w:val="00070252"/>
    <w:rPr>
      <w:rFonts w:ascii="Symbol" w:hAnsi="Symbol"/>
    </w:rPr>
  </w:style>
  <w:style w:type="character" w:customStyle="1" w:styleId="WW8Num41z0">
    <w:name w:val="WW8Num41z0"/>
    <w:rsid w:val="00070252"/>
    <w:rPr>
      <w:rFonts w:ascii="Arial" w:hAnsi="Arial"/>
      <w:b/>
    </w:rPr>
  </w:style>
  <w:style w:type="character" w:customStyle="1" w:styleId="WW8Num43z0">
    <w:name w:val="WW8Num43z0"/>
    <w:rsid w:val="00070252"/>
    <w:rPr>
      <w:rFonts w:ascii="Times New Roman" w:eastAsia="Times New Roman" w:hAnsi="Times New Roman" w:cs="Times New Roman"/>
    </w:rPr>
  </w:style>
  <w:style w:type="character" w:customStyle="1" w:styleId="WW8Num43z1">
    <w:name w:val="WW8Num43z1"/>
    <w:rsid w:val="00070252"/>
    <w:rPr>
      <w:rFonts w:ascii="Courier New" w:hAnsi="Courier New" w:cs="Courier New"/>
    </w:rPr>
  </w:style>
  <w:style w:type="character" w:customStyle="1" w:styleId="WW8Num43z2">
    <w:name w:val="WW8Num43z2"/>
    <w:rsid w:val="00070252"/>
    <w:rPr>
      <w:rFonts w:ascii="Wingdings" w:hAnsi="Wingdings"/>
    </w:rPr>
  </w:style>
  <w:style w:type="character" w:customStyle="1" w:styleId="WW8Num43z3">
    <w:name w:val="WW8Num43z3"/>
    <w:rsid w:val="00070252"/>
    <w:rPr>
      <w:rFonts w:ascii="Symbol" w:hAnsi="Symbol"/>
    </w:rPr>
  </w:style>
  <w:style w:type="character" w:customStyle="1" w:styleId="WW8Num44z0">
    <w:name w:val="WW8Num44z0"/>
    <w:rsid w:val="00070252"/>
    <w:rPr>
      <w:rFonts w:ascii="Symbol" w:hAnsi="Symbol"/>
    </w:rPr>
  </w:style>
  <w:style w:type="character" w:customStyle="1" w:styleId="WW8Num44z1">
    <w:name w:val="WW8Num44z1"/>
    <w:rsid w:val="00070252"/>
    <w:rPr>
      <w:rFonts w:ascii="Courier New" w:hAnsi="Courier New" w:cs="Courier New"/>
    </w:rPr>
  </w:style>
  <w:style w:type="character" w:customStyle="1" w:styleId="WW8Num44z2">
    <w:name w:val="WW8Num44z2"/>
    <w:rsid w:val="00070252"/>
    <w:rPr>
      <w:rFonts w:ascii="Wingdings" w:hAnsi="Wingdings"/>
    </w:rPr>
  </w:style>
  <w:style w:type="character" w:customStyle="1" w:styleId="WW8Num46z0">
    <w:name w:val="WW8Num46z0"/>
    <w:rsid w:val="00070252"/>
    <w:rPr>
      <w:rFonts w:ascii="Symbol" w:hAnsi="Symbol"/>
    </w:rPr>
  </w:style>
  <w:style w:type="character" w:customStyle="1" w:styleId="WW8Num46z1">
    <w:name w:val="WW8Num46z1"/>
    <w:rsid w:val="00070252"/>
    <w:rPr>
      <w:rFonts w:ascii="Courier New" w:hAnsi="Courier New" w:cs="Courier New"/>
    </w:rPr>
  </w:style>
  <w:style w:type="character" w:customStyle="1" w:styleId="WW8Num46z2">
    <w:name w:val="WW8Num46z2"/>
    <w:rsid w:val="00070252"/>
    <w:rPr>
      <w:rFonts w:ascii="Wingdings" w:hAnsi="Wingdings"/>
    </w:rPr>
  </w:style>
  <w:style w:type="character" w:customStyle="1" w:styleId="WW8Num48z0">
    <w:name w:val="WW8Num48z0"/>
    <w:rsid w:val="00070252"/>
    <w:rPr>
      <w:rFonts w:ascii="Symbol" w:hAnsi="Symbol"/>
    </w:rPr>
  </w:style>
  <w:style w:type="character" w:customStyle="1" w:styleId="WW8Num48z1">
    <w:name w:val="WW8Num48z1"/>
    <w:rsid w:val="00070252"/>
    <w:rPr>
      <w:rFonts w:ascii="Courier New" w:hAnsi="Courier New" w:cs="Courier New"/>
    </w:rPr>
  </w:style>
  <w:style w:type="character" w:customStyle="1" w:styleId="WW8Num48z2">
    <w:name w:val="WW8Num48z2"/>
    <w:rsid w:val="00070252"/>
    <w:rPr>
      <w:rFonts w:ascii="Wingdings" w:hAnsi="Wingdings"/>
    </w:rPr>
  </w:style>
  <w:style w:type="character" w:customStyle="1" w:styleId="WW8Num49z0">
    <w:name w:val="WW8Num49z0"/>
    <w:rsid w:val="00070252"/>
    <w:rPr>
      <w:rFonts w:ascii="Times New Roman" w:eastAsia="Times New Roman" w:hAnsi="Times New Roman" w:cs="Times New Roman"/>
    </w:rPr>
  </w:style>
  <w:style w:type="character" w:customStyle="1" w:styleId="WW8Num50z0">
    <w:name w:val="WW8Num50z0"/>
    <w:rsid w:val="00070252"/>
    <w:rPr>
      <w:rFonts w:ascii="Symbol" w:hAnsi="Symbol"/>
    </w:rPr>
  </w:style>
  <w:style w:type="character" w:customStyle="1" w:styleId="WW8Num50z1">
    <w:name w:val="WW8Num50z1"/>
    <w:rsid w:val="00070252"/>
    <w:rPr>
      <w:rFonts w:ascii="Courier New" w:hAnsi="Courier New" w:cs="Courier New"/>
    </w:rPr>
  </w:style>
  <w:style w:type="character" w:customStyle="1" w:styleId="WW8Num50z2">
    <w:name w:val="WW8Num50z2"/>
    <w:rsid w:val="00070252"/>
    <w:rPr>
      <w:rFonts w:ascii="Wingdings" w:hAnsi="Wingdings"/>
    </w:rPr>
  </w:style>
  <w:style w:type="character" w:customStyle="1" w:styleId="WW8Num52z0">
    <w:name w:val="WW8Num52z0"/>
    <w:rsid w:val="00070252"/>
    <w:rPr>
      <w:rFonts w:ascii="Symbol" w:hAnsi="Symbol"/>
    </w:rPr>
  </w:style>
  <w:style w:type="character" w:customStyle="1" w:styleId="WW8Num52z1">
    <w:name w:val="WW8Num52z1"/>
    <w:rsid w:val="00070252"/>
    <w:rPr>
      <w:rFonts w:ascii="Courier New" w:hAnsi="Courier New" w:cs="Courier New"/>
    </w:rPr>
  </w:style>
  <w:style w:type="character" w:customStyle="1" w:styleId="WW8Num52z2">
    <w:name w:val="WW8Num52z2"/>
    <w:rsid w:val="00070252"/>
    <w:rPr>
      <w:rFonts w:ascii="Wingdings" w:hAnsi="Wingdings"/>
    </w:rPr>
  </w:style>
  <w:style w:type="character" w:customStyle="1" w:styleId="WW8Num53z0">
    <w:name w:val="WW8Num53z0"/>
    <w:rsid w:val="00070252"/>
    <w:rPr>
      <w:rFonts w:ascii="Symbol" w:hAnsi="Symbol"/>
    </w:rPr>
  </w:style>
  <w:style w:type="character" w:customStyle="1" w:styleId="WW8Num53z1">
    <w:name w:val="WW8Num53z1"/>
    <w:rsid w:val="00070252"/>
    <w:rPr>
      <w:rFonts w:ascii="Courier New" w:hAnsi="Courier New"/>
    </w:rPr>
  </w:style>
  <w:style w:type="character" w:customStyle="1" w:styleId="WW8Num53z2">
    <w:name w:val="WW8Num53z2"/>
    <w:rsid w:val="00070252"/>
    <w:rPr>
      <w:rFonts w:ascii="Wingdings" w:hAnsi="Wingdings"/>
    </w:rPr>
  </w:style>
  <w:style w:type="character" w:customStyle="1" w:styleId="WW8Num54z0">
    <w:name w:val="WW8Num54z0"/>
    <w:rsid w:val="00070252"/>
    <w:rPr>
      <w:rFonts w:ascii="Symbol" w:hAnsi="Symbol"/>
    </w:rPr>
  </w:style>
  <w:style w:type="character" w:customStyle="1" w:styleId="WW8Num54z1">
    <w:name w:val="WW8Num54z1"/>
    <w:rsid w:val="00070252"/>
    <w:rPr>
      <w:rFonts w:ascii="Courier New" w:hAnsi="Courier New" w:cs="Courier New"/>
    </w:rPr>
  </w:style>
  <w:style w:type="character" w:customStyle="1" w:styleId="WW8Num54z2">
    <w:name w:val="WW8Num54z2"/>
    <w:rsid w:val="00070252"/>
    <w:rPr>
      <w:rFonts w:ascii="Wingdings" w:hAnsi="Wingdings"/>
    </w:rPr>
  </w:style>
  <w:style w:type="character" w:customStyle="1" w:styleId="Predvolenpsmoodseku1">
    <w:name w:val="Predvolené písmo odseku1"/>
    <w:rsid w:val="00070252"/>
  </w:style>
  <w:style w:type="character" w:customStyle="1" w:styleId="Znakyprepoznmkupodiarou">
    <w:name w:val="Znaky pre poznámku pod čiarou"/>
    <w:rsid w:val="00070252"/>
    <w:rPr>
      <w:vertAlign w:val="superscript"/>
    </w:rPr>
  </w:style>
  <w:style w:type="character" w:styleId="slostrany">
    <w:name w:val="page number"/>
    <w:rsid w:val="00070252"/>
  </w:style>
  <w:style w:type="character" w:customStyle="1" w:styleId="Odkaznakomentr1">
    <w:name w:val="Odkaz na komentár1"/>
    <w:rsid w:val="00070252"/>
    <w:rPr>
      <w:sz w:val="16"/>
      <w:szCs w:val="16"/>
    </w:rPr>
  </w:style>
  <w:style w:type="character" w:customStyle="1" w:styleId="longtext1">
    <w:name w:val="long_text1"/>
    <w:rsid w:val="00070252"/>
    <w:rPr>
      <w:sz w:val="20"/>
      <w:szCs w:val="20"/>
    </w:rPr>
  </w:style>
  <w:style w:type="character" w:customStyle="1" w:styleId="shorttext1">
    <w:name w:val="short_text1"/>
    <w:rsid w:val="00070252"/>
    <w:rPr>
      <w:sz w:val="29"/>
      <w:szCs w:val="29"/>
    </w:rPr>
  </w:style>
  <w:style w:type="character" w:customStyle="1" w:styleId="mediumtext1">
    <w:name w:val="medium_text1"/>
    <w:rsid w:val="00070252"/>
    <w:rPr>
      <w:sz w:val="24"/>
      <w:szCs w:val="24"/>
    </w:rPr>
  </w:style>
  <w:style w:type="character" w:styleId="Odkaznavysvetlivku">
    <w:name w:val="endnote reference"/>
    <w:rsid w:val="00070252"/>
    <w:rPr>
      <w:vertAlign w:val="superscript"/>
    </w:rPr>
  </w:style>
  <w:style w:type="character" w:customStyle="1" w:styleId="Znakyprevysvetlivky">
    <w:name w:val="Znaky pre vysvetlivky"/>
    <w:rsid w:val="00070252"/>
  </w:style>
  <w:style w:type="paragraph" w:customStyle="1" w:styleId="Nadpis">
    <w:name w:val="Nadpis"/>
    <w:basedOn w:val="Normlny"/>
    <w:next w:val="Zkladntext"/>
    <w:rsid w:val="00070252"/>
    <w:pPr>
      <w:keepNext/>
      <w:suppressAutoHyphens/>
      <w:spacing w:before="240" w:after="120"/>
      <w:jc w:val="both"/>
    </w:pPr>
    <w:rPr>
      <w:rFonts w:ascii="Arial" w:eastAsia="Lucida Sans Unicode" w:hAnsi="Arial" w:cs="Tahoma"/>
      <w:sz w:val="28"/>
      <w:szCs w:val="28"/>
      <w:lang w:eastAsia="ar-SA"/>
    </w:rPr>
  </w:style>
  <w:style w:type="paragraph" w:styleId="Zkladntext">
    <w:name w:val="Body Text"/>
    <w:basedOn w:val="Normlny"/>
    <w:link w:val="ZkladntextChar"/>
    <w:rsid w:val="00070252"/>
    <w:pPr>
      <w:suppressAutoHyphens/>
      <w:spacing w:after="120"/>
      <w:jc w:val="both"/>
    </w:pPr>
    <w:rPr>
      <w:lang w:eastAsia="ar-SA"/>
    </w:rPr>
  </w:style>
  <w:style w:type="character" w:customStyle="1" w:styleId="ZkladntextChar">
    <w:name w:val="Základný text Char"/>
    <w:basedOn w:val="Predvolenpsmoodseku"/>
    <w:link w:val="Zkladntext"/>
    <w:rsid w:val="00070252"/>
    <w:rPr>
      <w:rFonts w:ascii="Times New Roman" w:eastAsia="Times New Roman" w:hAnsi="Times New Roman" w:cs="Times New Roman"/>
      <w:sz w:val="24"/>
      <w:szCs w:val="24"/>
      <w:lang w:eastAsia="ar-SA"/>
    </w:rPr>
  </w:style>
  <w:style w:type="paragraph" w:styleId="Zoznam">
    <w:name w:val="List"/>
    <w:basedOn w:val="Zkladntext"/>
    <w:rsid w:val="00070252"/>
    <w:rPr>
      <w:rFonts w:cs="Tahoma"/>
    </w:rPr>
  </w:style>
  <w:style w:type="paragraph" w:customStyle="1" w:styleId="Popisok">
    <w:name w:val="Popisok"/>
    <w:basedOn w:val="Normlny"/>
    <w:rsid w:val="00070252"/>
    <w:pPr>
      <w:suppressLineNumbers/>
      <w:suppressAutoHyphens/>
      <w:spacing w:before="120" w:after="120"/>
      <w:jc w:val="both"/>
    </w:pPr>
    <w:rPr>
      <w:rFonts w:cs="Tahoma"/>
      <w:i/>
      <w:iCs/>
      <w:lang w:eastAsia="ar-SA"/>
    </w:rPr>
  </w:style>
  <w:style w:type="paragraph" w:customStyle="1" w:styleId="Index">
    <w:name w:val="Index"/>
    <w:basedOn w:val="Normlny"/>
    <w:rsid w:val="00070252"/>
    <w:pPr>
      <w:suppressLineNumbers/>
      <w:suppressAutoHyphens/>
      <w:jc w:val="both"/>
    </w:pPr>
    <w:rPr>
      <w:rFonts w:cs="Tahoma"/>
      <w:lang w:eastAsia="ar-SA"/>
    </w:rPr>
  </w:style>
  <w:style w:type="paragraph" w:customStyle="1" w:styleId="truktradokumentu1">
    <w:name w:val="Štruktúra dokumentu1"/>
    <w:basedOn w:val="Normlny"/>
    <w:rsid w:val="00070252"/>
    <w:pPr>
      <w:shd w:val="clear" w:color="auto" w:fill="000080"/>
      <w:suppressAutoHyphens/>
      <w:jc w:val="both"/>
    </w:pPr>
    <w:rPr>
      <w:rFonts w:ascii="Tahoma" w:hAnsi="Tahoma" w:cs="Tahoma"/>
      <w:sz w:val="20"/>
      <w:szCs w:val="20"/>
      <w:lang w:eastAsia="ar-SA"/>
    </w:rPr>
  </w:style>
  <w:style w:type="character" w:customStyle="1" w:styleId="TextpoznmkypodiarouChar1">
    <w:name w:val="Text poznámky pod čiarou Char1"/>
    <w:rsid w:val="00070252"/>
    <w:rPr>
      <w:lang w:eastAsia="ar-SA"/>
    </w:rPr>
  </w:style>
  <w:style w:type="paragraph" w:customStyle="1" w:styleId="Textkomentra1">
    <w:name w:val="Text komentára1"/>
    <w:basedOn w:val="Normlny"/>
    <w:rsid w:val="00070252"/>
    <w:pPr>
      <w:suppressAutoHyphens/>
      <w:jc w:val="both"/>
    </w:pPr>
    <w:rPr>
      <w:sz w:val="20"/>
      <w:szCs w:val="20"/>
      <w:lang w:eastAsia="ar-SA"/>
    </w:rPr>
  </w:style>
  <w:style w:type="paragraph" w:customStyle="1" w:styleId="CharCharChar">
    <w:name w:val="Char Char Char"/>
    <w:basedOn w:val="Normlny"/>
    <w:rsid w:val="00070252"/>
    <w:pPr>
      <w:suppressAutoHyphens/>
      <w:spacing w:after="160" w:line="240" w:lineRule="exact"/>
      <w:ind w:firstLine="720"/>
    </w:pPr>
    <w:rPr>
      <w:rFonts w:ascii="Tahoma" w:hAnsi="Tahoma"/>
      <w:sz w:val="20"/>
      <w:szCs w:val="20"/>
      <w:lang w:val="en-US" w:eastAsia="ar-SA"/>
    </w:rPr>
  </w:style>
  <w:style w:type="paragraph" w:customStyle="1" w:styleId="CharCharCharCharCharCharCharCharCharCharCharChar1CharCharCharCharCharCharCharCarCarCharChar">
    <w:name w:val="Char Char Char Char Char Char Char Char Char Char Char Char1 Char Char Char Char Char Char Char Car Car Char Char"/>
    <w:basedOn w:val="Normlny"/>
    <w:rsid w:val="00070252"/>
    <w:pPr>
      <w:suppressAutoHyphens/>
      <w:spacing w:after="160" w:line="240" w:lineRule="exact"/>
    </w:pPr>
    <w:rPr>
      <w:rFonts w:ascii="Tahoma" w:hAnsi="Tahoma" w:cs="Tahoma"/>
      <w:sz w:val="20"/>
      <w:szCs w:val="20"/>
      <w:lang w:eastAsia="ar-SA"/>
    </w:rPr>
  </w:style>
  <w:style w:type="paragraph" w:customStyle="1" w:styleId="Char">
    <w:name w:val="Char"/>
    <w:basedOn w:val="Normlny"/>
    <w:rsid w:val="00070252"/>
    <w:pPr>
      <w:suppressAutoHyphens/>
      <w:spacing w:after="160" w:line="240" w:lineRule="exact"/>
      <w:ind w:firstLine="720"/>
    </w:pPr>
    <w:rPr>
      <w:rFonts w:ascii="Tahoma" w:hAnsi="Tahoma"/>
      <w:sz w:val="20"/>
      <w:szCs w:val="20"/>
      <w:lang w:val="en-US" w:eastAsia="ar-SA"/>
    </w:rPr>
  </w:style>
  <w:style w:type="paragraph" w:customStyle="1" w:styleId="marian1">
    <w:name w:val="marian_1"/>
    <w:basedOn w:val="Nadpis1"/>
    <w:rsid w:val="00070252"/>
    <w:pPr>
      <w:keepLines w:val="0"/>
      <w:widowControl w:val="0"/>
      <w:suppressAutoHyphens/>
      <w:spacing w:before="240" w:after="240"/>
      <w:jc w:val="both"/>
    </w:pPr>
    <w:rPr>
      <w:rFonts w:ascii="Times New Roman" w:eastAsia="Times New Roman" w:hAnsi="Times New Roman" w:cs="Times New Roman"/>
      <w:b w:val="0"/>
      <w:bCs w:val="0"/>
      <w:caps/>
      <w:color w:val="000000"/>
      <w:sz w:val="32"/>
      <w:szCs w:val="20"/>
      <w:lang w:val="en-GB" w:eastAsia="ar-SA"/>
    </w:rPr>
  </w:style>
  <w:style w:type="paragraph" w:customStyle="1" w:styleId="marian2">
    <w:name w:val="marian_2"/>
    <w:basedOn w:val="Nadpis2"/>
    <w:rsid w:val="00070252"/>
    <w:pPr>
      <w:keepLines w:val="0"/>
      <w:widowControl w:val="0"/>
      <w:suppressAutoHyphens/>
      <w:spacing w:before="120" w:after="120"/>
      <w:jc w:val="both"/>
    </w:pPr>
    <w:rPr>
      <w:rFonts w:ascii="Times New Roman" w:eastAsia="Times New Roman" w:hAnsi="Times New Roman" w:cs="Times New Roman"/>
      <w:bCs w:val="0"/>
      <w:smallCaps/>
      <w:color w:val="000000"/>
      <w:sz w:val="28"/>
      <w:szCs w:val="20"/>
      <w:lang w:eastAsia="ar-SA"/>
    </w:rPr>
  </w:style>
  <w:style w:type="paragraph" w:customStyle="1" w:styleId="marian3">
    <w:name w:val="marian_3"/>
    <w:basedOn w:val="Nadpis3"/>
    <w:rsid w:val="00070252"/>
    <w:pPr>
      <w:keepLines w:val="0"/>
      <w:widowControl w:val="0"/>
      <w:suppressAutoHyphens/>
      <w:spacing w:before="120" w:after="120"/>
      <w:jc w:val="both"/>
    </w:pPr>
    <w:rPr>
      <w:rFonts w:ascii="Times New Roman" w:eastAsia="Times New Roman" w:hAnsi="Times New Roman" w:cs="Times New Roman"/>
      <w:bCs w:val="0"/>
      <w:color w:val="000000"/>
      <w:spacing w:val="-2"/>
      <w:szCs w:val="20"/>
      <w:lang w:eastAsia="ar-SA"/>
    </w:rPr>
  </w:style>
  <w:style w:type="paragraph" w:styleId="Obsah6">
    <w:name w:val="toc 6"/>
    <w:basedOn w:val="Normlny"/>
    <w:next w:val="Normlny"/>
    <w:rsid w:val="00070252"/>
    <w:pPr>
      <w:suppressAutoHyphens/>
      <w:ind w:left="1200"/>
    </w:pPr>
    <w:rPr>
      <w:rFonts w:ascii="Calibri" w:hAnsi="Calibri" w:cs="Calibri"/>
      <w:sz w:val="18"/>
      <w:szCs w:val="18"/>
      <w:lang w:eastAsia="ar-SA"/>
    </w:rPr>
  </w:style>
  <w:style w:type="paragraph" w:styleId="Obsah7">
    <w:name w:val="toc 7"/>
    <w:basedOn w:val="Normlny"/>
    <w:next w:val="Normlny"/>
    <w:rsid w:val="00070252"/>
    <w:pPr>
      <w:suppressAutoHyphens/>
      <w:ind w:left="1440"/>
    </w:pPr>
    <w:rPr>
      <w:rFonts w:ascii="Calibri" w:hAnsi="Calibri" w:cs="Calibri"/>
      <w:sz w:val="18"/>
      <w:szCs w:val="18"/>
      <w:lang w:eastAsia="ar-SA"/>
    </w:rPr>
  </w:style>
  <w:style w:type="paragraph" w:styleId="Obsah8">
    <w:name w:val="toc 8"/>
    <w:basedOn w:val="Normlny"/>
    <w:next w:val="Normlny"/>
    <w:rsid w:val="00070252"/>
    <w:pPr>
      <w:suppressAutoHyphens/>
      <w:ind w:left="1680"/>
    </w:pPr>
    <w:rPr>
      <w:rFonts w:ascii="Calibri" w:hAnsi="Calibri" w:cs="Calibri"/>
      <w:sz w:val="18"/>
      <w:szCs w:val="18"/>
      <w:lang w:eastAsia="ar-SA"/>
    </w:rPr>
  </w:style>
  <w:style w:type="paragraph" w:styleId="Obsah9">
    <w:name w:val="toc 9"/>
    <w:basedOn w:val="Normlny"/>
    <w:next w:val="Normlny"/>
    <w:rsid w:val="00070252"/>
    <w:pPr>
      <w:suppressAutoHyphens/>
      <w:ind w:left="1920"/>
    </w:pPr>
    <w:rPr>
      <w:rFonts w:ascii="Calibri" w:hAnsi="Calibri" w:cs="Calibri"/>
      <w:sz w:val="18"/>
      <w:szCs w:val="18"/>
      <w:lang w:eastAsia="ar-SA"/>
    </w:rPr>
  </w:style>
  <w:style w:type="paragraph" w:customStyle="1" w:styleId="CharCharCharChar">
    <w:name w:val="Char Char Char Char"/>
    <w:basedOn w:val="Normlny"/>
    <w:rsid w:val="00070252"/>
    <w:pPr>
      <w:suppressAutoHyphens/>
      <w:spacing w:after="160" w:line="240" w:lineRule="exact"/>
    </w:pPr>
    <w:rPr>
      <w:rFonts w:ascii="Tahoma" w:hAnsi="Tahoma" w:cs="Tahoma"/>
      <w:sz w:val="20"/>
      <w:szCs w:val="20"/>
      <w:lang w:val="en-US" w:eastAsia="ar-SA"/>
    </w:rPr>
  </w:style>
  <w:style w:type="paragraph" w:customStyle="1" w:styleId="CharChar1CharCharChar">
    <w:name w:val="Char Char1 Char Char Char"/>
    <w:basedOn w:val="Normlny"/>
    <w:rsid w:val="00070252"/>
    <w:pPr>
      <w:suppressAutoHyphens/>
      <w:spacing w:after="160" w:line="240" w:lineRule="exact"/>
    </w:pPr>
    <w:rPr>
      <w:rFonts w:ascii="Tahoma" w:hAnsi="Tahoma" w:cs="Tahoma"/>
      <w:sz w:val="20"/>
      <w:szCs w:val="20"/>
      <w:lang w:eastAsia="ar-SA"/>
    </w:rPr>
  </w:style>
  <w:style w:type="paragraph" w:customStyle="1" w:styleId="Obsahrmca">
    <w:name w:val="Obsah rámca"/>
    <w:basedOn w:val="Zkladntext"/>
    <w:rsid w:val="00070252"/>
  </w:style>
  <w:style w:type="paragraph" w:customStyle="1" w:styleId="Obsahtabuky">
    <w:name w:val="Obsah tabuľky"/>
    <w:basedOn w:val="Normlny"/>
    <w:rsid w:val="00070252"/>
    <w:pPr>
      <w:suppressLineNumbers/>
      <w:suppressAutoHyphens/>
      <w:jc w:val="both"/>
    </w:pPr>
    <w:rPr>
      <w:lang w:eastAsia="ar-SA"/>
    </w:rPr>
  </w:style>
  <w:style w:type="paragraph" w:customStyle="1" w:styleId="Nadpistabuky">
    <w:name w:val="Nadpis tabuľky"/>
    <w:basedOn w:val="Obsahtabuky"/>
    <w:rsid w:val="00070252"/>
    <w:pPr>
      <w:jc w:val="center"/>
    </w:pPr>
    <w:rPr>
      <w:b/>
      <w:bCs/>
    </w:rPr>
  </w:style>
  <w:style w:type="paragraph" w:customStyle="1" w:styleId="Obsah10">
    <w:name w:val="Obsah 10"/>
    <w:basedOn w:val="Index"/>
    <w:rsid w:val="00070252"/>
    <w:pPr>
      <w:tabs>
        <w:tab w:val="right" w:leader="dot" w:pos="7090"/>
      </w:tabs>
      <w:ind w:left="2547"/>
    </w:pPr>
  </w:style>
  <w:style w:type="character" w:customStyle="1" w:styleId="hps">
    <w:name w:val="hps"/>
    <w:rsid w:val="00070252"/>
  </w:style>
  <w:style w:type="character" w:customStyle="1" w:styleId="longtext">
    <w:name w:val="long_text"/>
    <w:rsid w:val="00070252"/>
  </w:style>
  <w:style w:type="paragraph" w:styleId="Zoznamsodrkami">
    <w:name w:val="List Bullet"/>
    <w:basedOn w:val="Normlny"/>
    <w:rsid w:val="00070252"/>
    <w:pPr>
      <w:numPr>
        <w:numId w:val="8"/>
      </w:numPr>
      <w:spacing w:after="240"/>
      <w:jc w:val="both"/>
    </w:pPr>
    <w:rPr>
      <w:szCs w:val="20"/>
      <w:lang w:val="en-GB" w:eastAsia="en-US"/>
    </w:rPr>
  </w:style>
  <w:style w:type="character" w:customStyle="1" w:styleId="OdsekzoznamuChar">
    <w:name w:val="Odsek zoznamu Char"/>
    <w:aliases w:val="body Char,Odsek zoznamu2 Char"/>
    <w:link w:val="Odsekzoznamu"/>
    <w:locked/>
    <w:rsid w:val="00070252"/>
    <w:rPr>
      <w:rFonts w:ascii="Times New Roman" w:eastAsia="Times New Roman" w:hAnsi="Times New Roman" w:cs="Times New Roman"/>
      <w:sz w:val="24"/>
      <w:szCs w:val="24"/>
      <w:lang w:eastAsia="sk-SK"/>
    </w:rPr>
  </w:style>
  <w:style w:type="character" w:customStyle="1" w:styleId="atn">
    <w:name w:val="atn"/>
    <w:rsid w:val="00070252"/>
  </w:style>
  <w:style w:type="character" w:customStyle="1" w:styleId="shorttext">
    <w:name w:val="short_text"/>
    <w:rsid w:val="00070252"/>
  </w:style>
  <w:style w:type="paragraph" w:customStyle="1" w:styleId="CM1">
    <w:name w:val="CM1"/>
    <w:basedOn w:val="Default"/>
    <w:next w:val="Default"/>
    <w:uiPriority w:val="99"/>
    <w:rsid w:val="00070252"/>
    <w:rPr>
      <w:rFonts w:ascii="EUAlbertina" w:eastAsia="Times New Roman" w:hAnsi="EUAlbertina" w:cs="Times New Roman"/>
      <w:color w:val="auto"/>
      <w:lang w:eastAsia="sk-SK"/>
    </w:rPr>
  </w:style>
  <w:style w:type="paragraph" w:customStyle="1" w:styleId="CM3">
    <w:name w:val="CM3"/>
    <w:basedOn w:val="Default"/>
    <w:next w:val="Default"/>
    <w:uiPriority w:val="99"/>
    <w:rsid w:val="00070252"/>
    <w:rPr>
      <w:rFonts w:ascii="EUAlbertina" w:eastAsia="Times New Roman" w:hAnsi="EUAlbertina" w:cs="Times New Roman"/>
      <w:color w:val="auto"/>
      <w:lang w:eastAsia="sk-SK"/>
    </w:rPr>
  </w:style>
  <w:style w:type="paragraph" w:customStyle="1" w:styleId="normal2">
    <w:name w:val="normal2"/>
    <w:basedOn w:val="Normlny"/>
    <w:rsid w:val="00070252"/>
    <w:pPr>
      <w:spacing w:before="120" w:line="312" w:lineRule="atLeast"/>
      <w:jc w:val="both"/>
    </w:pPr>
  </w:style>
  <w:style w:type="paragraph" w:customStyle="1" w:styleId="Point0">
    <w:name w:val="Point 0"/>
    <w:basedOn w:val="Normlny"/>
    <w:rsid w:val="00070252"/>
    <w:pPr>
      <w:spacing w:before="120" w:after="120"/>
      <w:ind w:left="850" w:hanging="850"/>
      <w:jc w:val="both"/>
    </w:pPr>
    <w:rPr>
      <w:rFonts w:eastAsia="Calibri"/>
      <w:szCs w:val="22"/>
    </w:rPr>
  </w:style>
  <w:style w:type="paragraph" w:customStyle="1" w:styleId="Tiret1">
    <w:name w:val="Tiret 1"/>
    <w:basedOn w:val="Normlny"/>
    <w:rsid w:val="00070252"/>
    <w:pPr>
      <w:spacing w:before="120" w:after="120"/>
      <w:jc w:val="both"/>
    </w:pPr>
    <w:rPr>
      <w:rFonts w:eastAsia="Calibri"/>
      <w:szCs w:val="22"/>
    </w:rPr>
  </w:style>
  <w:style w:type="character" w:customStyle="1" w:styleId="DraftmaintextCarattere">
    <w:name w:val="Draft main text Carattere"/>
    <w:link w:val="Draftmaintext"/>
    <w:locked/>
    <w:rsid w:val="00070252"/>
    <w:rPr>
      <w:rFonts w:ascii="Times" w:hAnsi="Times"/>
    </w:rPr>
  </w:style>
  <w:style w:type="paragraph" w:customStyle="1" w:styleId="Draftmaintext">
    <w:name w:val="Draft main text"/>
    <w:basedOn w:val="Normlny"/>
    <w:link w:val="DraftmaintextCarattere"/>
    <w:rsid w:val="00070252"/>
    <w:rPr>
      <w:rFonts w:ascii="Times" w:eastAsiaTheme="minorHAnsi" w:hAnsi="Times" w:cstheme="minorBidi"/>
      <w:sz w:val="22"/>
      <w:szCs w:val="22"/>
      <w:lang w:eastAsia="en-US"/>
    </w:rPr>
  </w:style>
  <w:style w:type="paragraph" w:customStyle="1" w:styleId="Bullet0">
    <w:name w:val="Bullet 0"/>
    <w:basedOn w:val="Normlny"/>
    <w:rsid w:val="00070252"/>
    <w:pPr>
      <w:numPr>
        <w:numId w:val="13"/>
      </w:numPr>
      <w:spacing w:before="120" w:after="120"/>
      <w:jc w:val="both"/>
    </w:pPr>
    <w:rPr>
      <w:rFonts w:eastAsia="Calibri"/>
      <w:szCs w:val="22"/>
    </w:rPr>
  </w:style>
  <w:style w:type="paragraph" w:customStyle="1" w:styleId="Point0number">
    <w:name w:val="Point 0 (number)"/>
    <w:basedOn w:val="Normlny"/>
    <w:rsid w:val="002B0CD6"/>
    <w:pPr>
      <w:numPr>
        <w:numId w:val="14"/>
      </w:numPr>
      <w:spacing w:before="120" w:after="120"/>
      <w:jc w:val="both"/>
    </w:pPr>
    <w:rPr>
      <w:rFonts w:eastAsia="Calibri"/>
      <w:szCs w:val="22"/>
    </w:rPr>
  </w:style>
  <w:style w:type="paragraph" w:customStyle="1" w:styleId="Point1number">
    <w:name w:val="Point 1 (number)"/>
    <w:basedOn w:val="Normlny"/>
    <w:rsid w:val="002B0CD6"/>
    <w:pPr>
      <w:numPr>
        <w:ilvl w:val="2"/>
        <w:numId w:val="14"/>
      </w:numPr>
      <w:spacing w:before="120" w:after="120"/>
      <w:jc w:val="both"/>
    </w:pPr>
    <w:rPr>
      <w:rFonts w:eastAsia="Calibri"/>
      <w:szCs w:val="22"/>
    </w:rPr>
  </w:style>
  <w:style w:type="paragraph" w:customStyle="1" w:styleId="Point2number">
    <w:name w:val="Point 2 (number)"/>
    <w:basedOn w:val="Normlny"/>
    <w:rsid w:val="002B0CD6"/>
    <w:pPr>
      <w:numPr>
        <w:ilvl w:val="4"/>
        <w:numId w:val="14"/>
      </w:numPr>
      <w:spacing w:before="120" w:after="120"/>
      <w:jc w:val="both"/>
    </w:pPr>
    <w:rPr>
      <w:rFonts w:eastAsia="Calibri"/>
      <w:szCs w:val="22"/>
    </w:rPr>
  </w:style>
  <w:style w:type="paragraph" w:customStyle="1" w:styleId="Point3number">
    <w:name w:val="Point 3 (number)"/>
    <w:basedOn w:val="Normlny"/>
    <w:rsid w:val="002B0CD6"/>
    <w:pPr>
      <w:numPr>
        <w:ilvl w:val="6"/>
        <w:numId w:val="14"/>
      </w:numPr>
      <w:spacing w:before="120" w:after="120"/>
      <w:jc w:val="both"/>
    </w:pPr>
    <w:rPr>
      <w:rFonts w:eastAsia="Calibri"/>
      <w:szCs w:val="22"/>
    </w:rPr>
  </w:style>
  <w:style w:type="paragraph" w:customStyle="1" w:styleId="Point0letter">
    <w:name w:val="Point 0 (letter)"/>
    <w:basedOn w:val="Normlny"/>
    <w:rsid w:val="002B0CD6"/>
    <w:pPr>
      <w:numPr>
        <w:ilvl w:val="1"/>
        <w:numId w:val="14"/>
      </w:numPr>
      <w:spacing w:before="120" w:after="120"/>
      <w:jc w:val="both"/>
    </w:pPr>
    <w:rPr>
      <w:rFonts w:eastAsia="Calibri"/>
      <w:szCs w:val="22"/>
    </w:rPr>
  </w:style>
  <w:style w:type="paragraph" w:customStyle="1" w:styleId="Point1letter">
    <w:name w:val="Point 1 (letter)"/>
    <w:basedOn w:val="Normlny"/>
    <w:rsid w:val="002B0CD6"/>
    <w:pPr>
      <w:numPr>
        <w:ilvl w:val="3"/>
        <w:numId w:val="14"/>
      </w:numPr>
      <w:spacing w:before="120" w:after="120"/>
      <w:jc w:val="both"/>
    </w:pPr>
    <w:rPr>
      <w:rFonts w:eastAsia="Calibri"/>
      <w:szCs w:val="22"/>
    </w:rPr>
  </w:style>
  <w:style w:type="paragraph" w:customStyle="1" w:styleId="Point2letter">
    <w:name w:val="Point 2 (letter)"/>
    <w:basedOn w:val="Normlny"/>
    <w:rsid w:val="002B0CD6"/>
    <w:pPr>
      <w:numPr>
        <w:ilvl w:val="5"/>
        <w:numId w:val="14"/>
      </w:numPr>
      <w:spacing w:before="120" w:after="120"/>
      <w:jc w:val="both"/>
    </w:pPr>
    <w:rPr>
      <w:rFonts w:eastAsia="Calibri"/>
      <w:szCs w:val="22"/>
    </w:rPr>
  </w:style>
  <w:style w:type="paragraph" w:customStyle="1" w:styleId="Point3letter">
    <w:name w:val="Point 3 (letter)"/>
    <w:basedOn w:val="Normlny"/>
    <w:rsid w:val="002B0CD6"/>
    <w:pPr>
      <w:numPr>
        <w:ilvl w:val="7"/>
        <w:numId w:val="14"/>
      </w:numPr>
      <w:spacing w:before="120" w:after="120"/>
      <w:jc w:val="both"/>
    </w:pPr>
    <w:rPr>
      <w:rFonts w:eastAsia="Calibri"/>
      <w:szCs w:val="22"/>
    </w:rPr>
  </w:style>
  <w:style w:type="paragraph" w:customStyle="1" w:styleId="Point4letter">
    <w:name w:val="Point 4 (letter)"/>
    <w:basedOn w:val="Normlny"/>
    <w:rsid w:val="002B0CD6"/>
    <w:pPr>
      <w:numPr>
        <w:ilvl w:val="8"/>
        <w:numId w:val="14"/>
      </w:numPr>
      <w:spacing w:before="120" w:after="120"/>
      <w:jc w:val="both"/>
    </w:pPr>
    <w:rPr>
      <w:rFonts w:eastAsia="Calibri"/>
      <w:szCs w:val="22"/>
    </w:rPr>
  </w:style>
  <w:style w:type="paragraph" w:styleId="slovanzoznam">
    <w:name w:val="List Number"/>
    <w:basedOn w:val="Normlny"/>
    <w:unhideWhenUsed/>
    <w:rsid w:val="004E27DF"/>
    <w:pPr>
      <w:numPr>
        <w:numId w:val="15"/>
      </w:numPr>
      <w:contextualSpacing/>
    </w:pPr>
  </w:style>
  <w:style w:type="paragraph" w:customStyle="1" w:styleId="ListNumberLevel2">
    <w:name w:val="List Number (Level 2)"/>
    <w:basedOn w:val="Normlny"/>
    <w:rsid w:val="004E27DF"/>
    <w:pPr>
      <w:tabs>
        <w:tab w:val="num" w:pos="1417"/>
      </w:tabs>
      <w:spacing w:before="120" w:after="120"/>
      <w:ind w:left="1417" w:hanging="708"/>
      <w:jc w:val="both"/>
    </w:pPr>
  </w:style>
  <w:style w:type="paragraph" w:customStyle="1" w:styleId="ListNumberLevel3">
    <w:name w:val="List Number (Level 3)"/>
    <w:basedOn w:val="Normlny"/>
    <w:rsid w:val="004E27DF"/>
    <w:pPr>
      <w:tabs>
        <w:tab w:val="num" w:pos="2126"/>
      </w:tabs>
      <w:spacing w:before="120" w:after="120"/>
      <w:ind w:left="2126" w:hanging="709"/>
      <w:jc w:val="both"/>
    </w:pPr>
  </w:style>
  <w:style w:type="paragraph" w:customStyle="1" w:styleId="ListNumberLevel4">
    <w:name w:val="List Number (Level 4)"/>
    <w:basedOn w:val="Normlny"/>
    <w:rsid w:val="004E27DF"/>
    <w:pPr>
      <w:tabs>
        <w:tab w:val="num" w:pos="2835"/>
      </w:tabs>
      <w:spacing w:before="120" w:after="120"/>
      <w:ind w:left="2835" w:hanging="709"/>
      <w:jc w:val="both"/>
    </w:pPr>
  </w:style>
  <w:style w:type="paragraph" w:customStyle="1" w:styleId="Text1">
    <w:name w:val="Text 1"/>
    <w:basedOn w:val="Normlny"/>
    <w:rsid w:val="004E27DF"/>
    <w:pPr>
      <w:spacing w:before="120" w:after="120"/>
      <w:ind w:left="850"/>
      <w:jc w:val="both"/>
    </w:pPr>
    <w:rPr>
      <w:rFonts w:eastAsia="Calibri"/>
      <w:szCs w:val="22"/>
    </w:rPr>
  </w:style>
  <w:style w:type="paragraph" w:customStyle="1" w:styleId="NumPar1">
    <w:name w:val="NumPar 1"/>
    <w:basedOn w:val="Normlny"/>
    <w:next w:val="Text1"/>
    <w:rsid w:val="004E27DF"/>
    <w:pPr>
      <w:numPr>
        <w:numId w:val="16"/>
      </w:numPr>
      <w:spacing w:before="120" w:after="120"/>
      <w:jc w:val="both"/>
    </w:pPr>
    <w:rPr>
      <w:rFonts w:eastAsia="Calibri"/>
      <w:szCs w:val="22"/>
    </w:rPr>
  </w:style>
  <w:style w:type="paragraph" w:customStyle="1" w:styleId="NumPar2">
    <w:name w:val="NumPar 2"/>
    <w:basedOn w:val="Normlny"/>
    <w:next w:val="Text1"/>
    <w:rsid w:val="004E27DF"/>
    <w:pPr>
      <w:numPr>
        <w:ilvl w:val="1"/>
        <w:numId w:val="16"/>
      </w:numPr>
      <w:spacing w:before="120" w:after="120"/>
      <w:jc w:val="both"/>
    </w:pPr>
    <w:rPr>
      <w:rFonts w:eastAsia="Calibri"/>
      <w:szCs w:val="22"/>
    </w:rPr>
  </w:style>
  <w:style w:type="paragraph" w:customStyle="1" w:styleId="NumPar3">
    <w:name w:val="NumPar 3"/>
    <w:basedOn w:val="Normlny"/>
    <w:next w:val="Text1"/>
    <w:rsid w:val="004E27DF"/>
    <w:pPr>
      <w:numPr>
        <w:ilvl w:val="2"/>
        <w:numId w:val="16"/>
      </w:numPr>
      <w:spacing w:before="120" w:after="120"/>
      <w:jc w:val="both"/>
    </w:pPr>
    <w:rPr>
      <w:rFonts w:eastAsia="Calibri"/>
      <w:szCs w:val="22"/>
    </w:rPr>
  </w:style>
  <w:style w:type="paragraph" w:customStyle="1" w:styleId="NumPar4">
    <w:name w:val="NumPar 4"/>
    <w:basedOn w:val="Normlny"/>
    <w:next w:val="Text1"/>
    <w:rsid w:val="004E27DF"/>
    <w:pPr>
      <w:numPr>
        <w:ilvl w:val="3"/>
        <w:numId w:val="16"/>
      </w:numPr>
      <w:spacing w:before="120" w:after="120"/>
      <w:jc w:val="both"/>
    </w:pPr>
    <w:rPr>
      <w:rFonts w:eastAsia="Calibri"/>
      <w:szCs w:val="22"/>
    </w:rPr>
  </w:style>
  <w:style w:type="paragraph" w:customStyle="1" w:styleId="Tiret0">
    <w:name w:val="Tiret 0"/>
    <w:basedOn w:val="Point0"/>
    <w:rsid w:val="004E27DF"/>
    <w:pPr>
      <w:numPr>
        <w:numId w:val="1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eur-lex.europa.eu/legal-content/EN/TXT/?qid=1533897157141&amp;uri=CELEX:32018R1046"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D8C56F5396145BBB819E25B80F3F0AE"/>
        <w:category>
          <w:name w:val="Všeobecné"/>
          <w:gallery w:val="placeholder"/>
        </w:category>
        <w:types>
          <w:type w:val="bbPlcHdr"/>
        </w:types>
        <w:behaviors>
          <w:behavior w:val="content"/>
        </w:behaviors>
        <w:guid w:val="{7816327F-B264-4748-AE05-522764FA73DF}"/>
      </w:docPartPr>
      <w:docPartBody>
        <w:p w:rsidR="00616C33" w:rsidRDefault="00C16CB5" w:rsidP="00C16CB5">
          <w:pPr>
            <w:pStyle w:val="DD8C56F5396145BBB819E25B80F3F0AE1"/>
          </w:pPr>
          <w:r w:rsidRPr="00F64F3B">
            <w:rPr>
              <w:rStyle w:val="Zstupntext"/>
              <w:rFonts w:eastAsiaTheme="minorHAnsi"/>
            </w:rPr>
            <w:t>Vyberte položku.</w:t>
          </w:r>
        </w:p>
      </w:docPartBody>
    </w:docPart>
    <w:docPart>
      <w:docPartPr>
        <w:name w:val="A1DE1FAF9C3142D9B35DEB35D3F6137F"/>
        <w:category>
          <w:name w:val="Všeobecné"/>
          <w:gallery w:val="placeholder"/>
        </w:category>
        <w:types>
          <w:type w:val="bbPlcHdr"/>
        </w:types>
        <w:behaviors>
          <w:behavior w:val="content"/>
        </w:behaviors>
        <w:guid w:val="{C2C5DC39-D9A6-461C-976C-7A1EC3C66119}"/>
      </w:docPartPr>
      <w:docPartBody>
        <w:p w:rsidR="00616C33" w:rsidRDefault="00C16CB5" w:rsidP="00C16CB5">
          <w:pPr>
            <w:pStyle w:val="A1DE1FAF9C3142D9B35DEB35D3F6137F"/>
          </w:pPr>
          <w:r w:rsidRPr="00F64F3B">
            <w:rPr>
              <w:rStyle w:val="Zstupntext"/>
              <w:rFonts w:eastAsiaTheme="minorHAnsi"/>
            </w:rPr>
            <w:t>Vyberte položku.</w:t>
          </w:r>
        </w:p>
      </w:docPartBody>
    </w:docPart>
    <w:docPart>
      <w:docPartPr>
        <w:name w:val="A9F731F61A7042F186F5DB555D917909"/>
        <w:category>
          <w:name w:val="Všeobecné"/>
          <w:gallery w:val="placeholder"/>
        </w:category>
        <w:types>
          <w:type w:val="bbPlcHdr"/>
        </w:types>
        <w:behaviors>
          <w:behavior w:val="content"/>
        </w:behaviors>
        <w:guid w:val="{771BC267-285B-4322-A8B2-DE4A29A52CB6}"/>
      </w:docPartPr>
      <w:docPartBody>
        <w:p w:rsidR="00616C33" w:rsidRDefault="00C16CB5" w:rsidP="00C16CB5">
          <w:pPr>
            <w:pStyle w:val="A9F731F61A7042F186F5DB555D917909"/>
          </w:pPr>
          <w:r w:rsidRPr="00F64F3B">
            <w:rPr>
              <w:rStyle w:val="Zstupntext"/>
            </w:rPr>
            <w:t>Kliknutím zadáte dátum.</w:t>
          </w:r>
        </w:p>
      </w:docPartBody>
    </w:docPart>
    <w:docPart>
      <w:docPartPr>
        <w:name w:val="372C34084E1F4CE5A1739291D068FBF6"/>
        <w:category>
          <w:name w:val="Všeobecné"/>
          <w:gallery w:val="placeholder"/>
        </w:category>
        <w:types>
          <w:type w:val="bbPlcHdr"/>
        </w:types>
        <w:behaviors>
          <w:behavior w:val="content"/>
        </w:behaviors>
        <w:guid w:val="{4C7DAE68-B56E-4E12-9ECD-BD79A5BAA041}"/>
      </w:docPartPr>
      <w:docPartBody>
        <w:p w:rsidR="00CE2D99" w:rsidRDefault="00616C33" w:rsidP="00616C33">
          <w:pPr>
            <w:pStyle w:val="372C34084E1F4CE5A1739291D068FBF6"/>
          </w:pPr>
          <w:r w:rsidRPr="00F64F3B">
            <w:rPr>
              <w:rStyle w:val="Zstupntext"/>
              <w:rFonts w:eastAsiaTheme="minorHAnsi"/>
            </w:rPr>
            <w:t>Vyberte položku.</w:t>
          </w:r>
        </w:p>
      </w:docPartBody>
    </w:docPart>
    <w:docPart>
      <w:docPartPr>
        <w:name w:val="C438CDECBB774123926E36EC328124C8"/>
        <w:category>
          <w:name w:val="Všeobecné"/>
          <w:gallery w:val="placeholder"/>
        </w:category>
        <w:types>
          <w:type w:val="bbPlcHdr"/>
        </w:types>
        <w:behaviors>
          <w:behavior w:val="content"/>
        </w:behaviors>
        <w:guid w:val="{E4EAA706-9665-4547-B3B8-D9FA0721F29F}"/>
      </w:docPartPr>
      <w:docPartBody>
        <w:p w:rsidR="00DF1217" w:rsidRDefault="00FF3250" w:rsidP="00FF3250">
          <w:pPr>
            <w:pStyle w:val="C438CDECBB774123926E36EC328124C8"/>
          </w:pPr>
          <w:r w:rsidRPr="00F64F3B">
            <w:rPr>
              <w:rStyle w:val="Zstupntext"/>
              <w:rFonts w:eastAsiaTheme="minorHAnsi"/>
            </w:rPr>
            <w:t>Vyberte položku.</w:t>
          </w:r>
        </w:p>
      </w:docPartBody>
    </w:docPart>
    <w:docPart>
      <w:docPartPr>
        <w:name w:val="A0C438BAC08043A7A1FDB60EF61D7C2A"/>
        <w:category>
          <w:name w:val="Všeobecné"/>
          <w:gallery w:val="placeholder"/>
        </w:category>
        <w:types>
          <w:type w:val="bbPlcHdr"/>
        </w:types>
        <w:behaviors>
          <w:behavior w:val="content"/>
        </w:behaviors>
        <w:guid w:val="{FCD40570-53ED-43E9-8032-541C4A2405C6}"/>
      </w:docPartPr>
      <w:docPartBody>
        <w:p w:rsidR="00637FFB" w:rsidRDefault="00071723" w:rsidP="00071723">
          <w:pPr>
            <w:pStyle w:val="A0C438BAC08043A7A1FDB60EF61D7C2A"/>
          </w:pPr>
          <w:r w:rsidRPr="00F64F3B">
            <w:rPr>
              <w:rStyle w:val="Zstupntext"/>
            </w:rPr>
            <w:t>Kliknutím zadáte dátum.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Lucida Sans Unicode">
    <w:panose1 w:val="020B0602030504020204"/>
    <w:charset w:val="EE"/>
    <w:family w:val="swiss"/>
    <w:pitch w:val="variable"/>
    <w:sig w:usb0="80000AFF" w:usb1="0000396B" w:usb2="00000000" w:usb3="00000000" w:csb0="000000B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EE"/>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2"/>
  </w:compat>
  <w:rsids>
    <w:rsidRoot w:val="00C16CB5"/>
    <w:rsid w:val="00040066"/>
    <w:rsid w:val="00055912"/>
    <w:rsid w:val="00071723"/>
    <w:rsid w:val="000E30BC"/>
    <w:rsid w:val="00132E6C"/>
    <w:rsid w:val="00132F93"/>
    <w:rsid w:val="001E1270"/>
    <w:rsid w:val="00213509"/>
    <w:rsid w:val="002C7EC5"/>
    <w:rsid w:val="0031735B"/>
    <w:rsid w:val="003672BF"/>
    <w:rsid w:val="003B77F1"/>
    <w:rsid w:val="003C4B8A"/>
    <w:rsid w:val="004652B3"/>
    <w:rsid w:val="00534A1D"/>
    <w:rsid w:val="005406DF"/>
    <w:rsid w:val="00553727"/>
    <w:rsid w:val="00594E98"/>
    <w:rsid w:val="005D6084"/>
    <w:rsid w:val="005D7399"/>
    <w:rsid w:val="005F31A1"/>
    <w:rsid w:val="00616C33"/>
    <w:rsid w:val="006350B1"/>
    <w:rsid w:val="00637FFB"/>
    <w:rsid w:val="007B07B0"/>
    <w:rsid w:val="0080489F"/>
    <w:rsid w:val="008225C7"/>
    <w:rsid w:val="00845353"/>
    <w:rsid w:val="0085402B"/>
    <w:rsid w:val="00855DEC"/>
    <w:rsid w:val="009255AD"/>
    <w:rsid w:val="009B3297"/>
    <w:rsid w:val="009C0067"/>
    <w:rsid w:val="009E3EA1"/>
    <w:rsid w:val="00A25D01"/>
    <w:rsid w:val="00A331C5"/>
    <w:rsid w:val="00A504FA"/>
    <w:rsid w:val="00A860F1"/>
    <w:rsid w:val="00AF4D2B"/>
    <w:rsid w:val="00AF617C"/>
    <w:rsid w:val="00B449CF"/>
    <w:rsid w:val="00C16CB5"/>
    <w:rsid w:val="00CD79A7"/>
    <w:rsid w:val="00CE1644"/>
    <w:rsid w:val="00CE2D99"/>
    <w:rsid w:val="00D52843"/>
    <w:rsid w:val="00D93624"/>
    <w:rsid w:val="00DB60C1"/>
    <w:rsid w:val="00DF1217"/>
    <w:rsid w:val="00E02953"/>
    <w:rsid w:val="00E03A9F"/>
    <w:rsid w:val="00E56FD2"/>
    <w:rsid w:val="00E75333"/>
    <w:rsid w:val="00E92271"/>
    <w:rsid w:val="00ED4BD7"/>
    <w:rsid w:val="00EF4BC5"/>
    <w:rsid w:val="00F71524"/>
    <w:rsid w:val="00FB660B"/>
    <w:rsid w:val="00FF3250"/>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B3297"/>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071723"/>
    <w:rPr>
      <w:color w:val="808080"/>
    </w:rPr>
  </w:style>
  <w:style w:type="paragraph" w:customStyle="1" w:styleId="DD8C56F5396145BBB819E25B80F3F0AE">
    <w:name w:val="DD8C56F5396145BBB819E25B80F3F0AE"/>
    <w:rsid w:val="00C16CB5"/>
    <w:pPr>
      <w:spacing w:after="0" w:line="240" w:lineRule="auto"/>
    </w:pPr>
    <w:rPr>
      <w:rFonts w:ascii="Times New Roman" w:eastAsia="Times New Roman" w:hAnsi="Times New Roman" w:cs="Times New Roman"/>
      <w:sz w:val="24"/>
      <w:szCs w:val="24"/>
    </w:rPr>
  </w:style>
  <w:style w:type="paragraph" w:customStyle="1" w:styleId="DD8C56F5396145BBB819E25B80F3F0AE1">
    <w:name w:val="DD8C56F5396145BBB819E25B80F3F0AE1"/>
    <w:rsid w:val="00C16CB5"/>
    <w:pPr>
      <w:spacing w:after="0" w:line="240" w:lineRule="auto"/>
    </w:pPr>
    <w:rPr>
      <w:rFonts w:ascii="Times New Roman" w:eastAsia="Times New Roman" w:hAnsi="Times New Roman" w:cs="Times New Roman"/>
      <w:sz w:val="24"/>
      <w:szCs w:val="24"/>
    </w:rPr>
  </w:style>
  <w:style w:type="paragraph" w:customStyle="1" w:styleId="A1DE1FAF9C3142D9B35DEB35D3F6137F">
    <w:name w:val="A1DE1FAF9C3142D9B35DEB35D3F6137F"/>
    <w:rsid w:val="00C16CB5"/>
    <w:pPr>
      <w:spacing w:after="0" w:line="240" w:lineRule="auto"/>
    </w:pPr>
    <w:rPr>
      <w:rFonts w:ascii="Times New Roman" w:eastAsia="Times New Roman" w:hAnsi="Times New Roman" w:cs="Times New Roman"/>
      <w:sz w:val="24"/>
      <w:szCs w:val="24"/>
    </w:rPr>
  </w:style>
  <w:style w:type="paragraph" w:customStyle="1" w:styleId="D6F1F4E27AA64768A9E2B08D4B3FD091">
    <w:name w:val="D6F1F4E27AA64768A9E2B08D4B3FD091"/>
    <w:rsid w:val="00C16CB5"/>
  </w:style>
  <w:style w:type="paragraph" w:customStyle="1" w:styleId="1FDEECB851A54E94ADA97F91996173FD">
    <w:name w:val="1FDEECB851A54E94ADA97F91996173FD"/>
    <w:rsid w:val="00C16CB5"/>
  </w:style>
  <w:style w:type="paragraph" w:customStyle="1" w:styleId="60950153B0094A7EBDBA359667C50FB8">
    <w:name w:val="60950153B0094A7EBDBA359667C50FB8"/>
    <w:rsid w:val="00C16CB5"/>
  </w:style>
  <w:style w:type="paragraph" w:customStyle="1" w:styleId="A9F731F61A7042F186F5DB555D917909">
    <w:name w:val="A9F731F61A7042F186F5DB555D917909"/>
    <w:rsid w:val="00C16CB5"/>
  </w:style>
  <w:style w:type="paragraph" w:customStyle="1" w:styleId="EB643B6DFCE942A1B5B0E15B577D0055">
    <w:name w:val="EB643B6DFCE942A1B5B0E15B577D0055"/>
    <w:rsid w:val="00616C33"/>
  </w:style>
  <w:style w:type="paragraph" w:customStyle="1" w:styleId="372C34084E1F4CE5A1739291D068FBF6">
    <w:name w:val="372C34084E1F4CE5A1739291D068FBF6"/>
    <w:rsid w:val="00616C33"/>
  </w:style>
  <w:style w:type="paragraph" w:customStyle="1" w:styleId="3428523BA277448EB6F98C3BC51938F9">
    <w:name w:val="3428523BA277448EB6F98C3BC51938F9"/>
    <w:rsid w:val="00FF3250"/>
  </w:style>
  <w:style w:type="paragraph" w:customStyle="1" w:styleId="C438CDECBB774123926E36EC328124C8">
    <w:name w:val="C438CDECBB774123926E36EC328124C8"/>
    <w:rsid w:val="00FF3250"/>
  </w:style>
  <w:style w:type="paragraph" w:customStyle="1" w:styleId="B25AB205E7E444A39B635B1486AB4F3D">
    <w:name w:val="B25AB205E7E444A39B635B1486AB4F3D"/>
    <w:rsid w:val="003B77F1"/>
  </w:style>
  <w:style w:type="paragraph" w:customStyle="1" w:styleId="CCB9DC7411284CB6B1EA7CB5A16344D3">
    <w:name w:val="CCB9DC7411284CB6B1EA7CB5A16344D3"/>
    <w:rsid w:val="003B77F1"/>
  </w:style>
  <w:style w:type="paragraph" w:customStyle="1" w:styleId="A0C438BAC08043A7A1FDB60EF61D7C2A">
    <w:name w:val="A0C438BAC08043A7A1FDB60EF61D7C2A"/>
    <w:rsid w:val="00071723"/>
  </w:style>
  <w:style w:type="paragraph" w:customStyle="1" w:styleId="C8150A03B06D4193AE99857D953F46C8">
    <w:name w:val="C8150A03B06D4193AE99857D953F46C8"/>
    <w:pPr>
      <w:spacing w:after="160" w:line="259" w:lineRule="auto"/>
    </w:pPr>
  </w:style>
  <w:style w:type="paragraph" w:customStyle="1" w:styleId="89F2A80D953F48ED80E8D3C8655FD747">
    <w:name w:val="89F2A80D953F48ED80E8D3C8655FD747"/>
    <w:pPr>
      <w:spacing w:after="160" w:line="259" w:lineRule="auto"/>
    </w:pPr>
  </w:style>
  <w:style w:type="paragraph" w:customStyle="1" w:styleId="0BC427917D4F4B479A8F263F00CF8257">
    <w:name w:val="0BC427917D4F4B479A8F263F00CF8257"/>
    <w:pPr>
      <w:spacing w:after="160" w:line="259" w:lineRule="auto"/>
    </w:pPr>
  </w:style>
  <w:style w:type="paragraph" w:customStyle="1" w:styleId="76E6AAC9FC1E44F7A607CD04CFFF1EAC">
    <w:name w:val="76E6AAC9FC1E44F7A607CD04CFFF1EAC"/>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CA8E9A-CFFF-4B68-BB83-CE78BFB75E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14858</Words>
  <Characters>84697</Characters>
  <Application>Microsoft Office Word</Application>
  <DocSecurity>0</DocSecurity>
  <Lines>705</Lines>
  <Paragraphs>198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99357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2018-10-10T07:47:00Z</dcterms:created>
  <dcterms:modified xsi:type="dcterms:W3CDTF">2018-10-17T09:35:00Z</dcterms:modified>
</cp:coreProperties>
</file>