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ED" w:rsidRPr="00BF50ED" w:rsidRDefault="00D61BB6" w:rsidP="00BF50ED">
      <w:pPr>
        <w:rPr>
          <w:sz w:val="20"/>
          <w:szCs w:val="20"/>
        </w:rPr>
      </w:pPr>
      <w:r w:rsidRPr="006479DF" w:rsidDel="00E701EB">
        <w:rPr>
          <w:sz w:val="20"/>
          <w:szCs w:val="20"/>
        </w:rPr>
        <w:t xml:space="preserve"> </w:t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="00BF50ED" w:rsidRPr="00BF50ED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3511F11" wp14:editId="5A218606">
            <wp:simplePos x="0" y="0"/>
            <wp:positionH relativeFrom="column">
              <wp:posOffset>10795</wp:posOffset>
            </wp:positionH>
            <wp:positionV relativeFrom="paragraph">
              <wp:posOffset>86995</wp:posOffset>
            </wp:positionV>
            <wp:extent cx="1374775" cy="899795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0ED" w:rsidRPr="00BF50E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31F6C86" wp14:editId="77932113">
            <wp:simplePos x="0" y="0"/>
            <wp:positionH relativeFrom="column">
              <wp:posOffset>4489450</wp:posOffset>
            </wp:positionH>
            <wp:positionV relativeFrom="paragraph">
              <wp:posOffset>88900</wp:posOffset>
            </wp:positionV>
            <wp:extent cx="1234440" cy="899795"/>
            <wp:effectExtent l="0" t="0" r="3810" b="0"/>
            <wp:wrapTight wrapText="bothSides">
              <wp:wrapPolygon edited="0">
                <wp:start x="0" y="0"/>
                <wp:lineTo x="0" y="21036"/>
                <wp:lineTo x="21333" y="21036"/>
                <wp:lineTo x="21333" y="0"/>
                <wp:lineTo x="0" y="0"/>
              </wp:wrapPolygon>
            </wp:wrapTight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0ED" w:rsidRPr="00BF50ED" w:rsidDel="00E701EB">
        <w:rPr>
          <w:sz w:val="20"/>
          <w:szCs w:val="20"/>
        </w:rPr>
        <w:t xml:space="preserve"> </w:t>
      </w:r>
      <w:r w:rsidR="00BF50ED" w:rsidRPr="00BF50ED">
        <w:rPr>
          <w:sz w:val="20"/>
          <w:szCs w:val="20"/>
        </w:rPr>
        <w:tab/>
      </w:r>
      <w:r w:rsidR="00BF50ED" w:rsidRPr="00BF50ED">
        <w:rPr>
          <w:sz w:val="20"/>
          <w:szCs w:val="20"/>
        </w:rPr>
        <w:tab/>
      </w:r>
    </w:p>
    <w:p w:rsidR="00BF50ED" w:rsidRPr="00BF50ED" w:rsidRDefault="00BF50ED" w:rsidP="00BF50ED">
      <w:pPr>
        <w:rPr>
          <w:sz w:val="20"/>
          <w:szCs w:val="20"/>
        </w:rPr>
      </w:pPr>
    </w:p>
    <w:p w:rsidR="00BF50ED" w:rsidRPr="00BF50ED" w:rsidRDefault="00BF50ED" w:rsidP="00BF50ED">
      <w:pPr>
        <w:rPr>
          <w:b/>
          <w:sz w:val="20"/>
          <w:szCs w:val="20"/>
        </w:rPr>
      </w:pP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  <w:t xml:space="preserve">    </w:t>
      </w: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</w:r>
    </w:p>
    <w:p w:rsidR="00BF50ED" w:rsidRPr="00BF50ED" w:rsidRDefault="00BF50ED" w:rsidP="00BF50ED">
      <w:pPr>
        <w:rPr>
          <w:b/>
          <w:sz w:val="20"/>
          <w:szCs w:val="20"/>
        </w:rPr>
      </w:pPr>
    </w:p>
    <w:p w:rsidR="00BF50ED" w:rsidRPr="00BF50ED" w:rsidRDefault="00BF50ED" w:rsidP="00BF50ED">
      <w:pPr>
        <w:rPr>
          <w:b/>
          <w:sz w:val="20"/>
          <w:szCs w:val="20"/>
        </w:rPr>
      </w:pPr>
    </w:p>
    <w:p w:rsidR="00BF50ED" w:rsidRPr="00BF50ED" w:rsidRDefault="00BF50ED" w:rsidP="00BF50ED">
      <w:pPr>
        <w:rPr>
          <w:b/>
          <w:sz w:val="20"/>
          <w:szCs w:val="20"/>
        </w:rPr>
      </w:pPr>
    </w:p>
    <w:p w:rsidR="00BF50ED" w:rsidRPr="00BF50ED" w:rsidRDefault="00BF50ED" w:rsidP="00BF50ED">
      <w:pPr>
        <w:rPr>
          <w:b/>
          <w:sz w:val="20"/>
          <w:szCs w:val="20"/>
        </w:rPr>
      </w:pPr>
    </w:p>
    <w:p w:rsidR="00BF50ED" w:rsidRPr="00BF50ED" w:rsidRDefault="00BF50ED" w:rsidP="00BF50ED">
      <w:pPr>
        <w:ind w:right="6802"/>
        <w:jc w:val="center"/>
        <w:rPr>
          <w:rFonts w:ascii="Arial" w:hAnsi="Arial" w:cs="Arial"/>
          <w:sz w:val="20"/>
          <w:szCs w:val="20"/>
        </w:rPr>
      </w:pPr>
      <w:r w:rsidRPr="00BF50ED">
        <w:rPr>
          <w:rFonts w:ascii="Arial" w:hAnsi="Arial" w:cs="Arial"/>
          <w:sz w:val="20"/>
          <w:szCs w:val="20"/>
        </w:rPr>
        <w:t>Európska únia</w:t>
      </w:r>
    </w:p>
    <w:p w:rsidR="00BF50ED" w:rsidRPr="00BF50ED" w:rsidRDefault="00BF50ED" w:rsidP="00BF50ED">
      <w:pPr>
        <w:ind w:right="6802"/>
        <w:jc w:val="center"/>
        <w:rPr>
          <w:rFonts w:ascii="Arial" w:hAnsi="Arial" w:cs="Arial"/>
          <w:sz w:val="20"/>
          <w:szCs w:val="20"/>
        </w:rPr>
      </w:pPr>
      <w:r w:rsidRPr="00BF50ED">
        <w:rPr>
          <w:rFonts w:ascii="Arial" w:hAnsi="Arial" w:cs="Arial"/>
          <w:sz w:val="20"/>
          <w:szCs w:val="20"/>
        </w:rPr>
        <w:t>Európsky fond regionálneho</w:t>
      </w:r>
    </w:p>
    <w:p w:rsidR="00BF50ED" w:rsidRPr="00BF50ED" w:rsidRDefault="00BF50ED" w:rsidP="00BF50ED">
      <w:pPr>
        <w:ind w:right="6802"/>
        <w:jc w:val="center"/>
        <w:rPr>
          <w:b/>
          <w:sz w:val="20"/>
          <w:szCs w:val="20"/>
        </w:rPr>
      </w:pPr>
      <w:r w:rsidRPr="00BF50ED">
        <w:rPr>
          <w:rFonts w:ascii="Arial" w:hAnsi="Arial" w:cs="Arial"/>
          <w:sz w:val="20"/>
          <w:szCs w:val="20"/>
        </w:rPr>
        <w:t>rozvoja</w:t>
      </w:r>
    </w:p>
    <w:p w:rsidR="003B0DFE" w:rsidRPr="006479DF" w:rsidRDefault="003B0DFE" w:rsidP="00D61BB6">
      <w:pPr>
        <w:jc w:val="center"/>
        <w:rPr>
          <w:b/>
          <w:sz w:val="20"/>
          <w:szCs w:val="20"/>
        </w:rPr>
      </w:pPr>
    </w:p>
    <w:p w:rsidR="00C6439D" w:rsidRDefault="009836CF" w:rsidP="00541FF5">
      <w:pPr>
        <w:jc w:val="center"/>
        <w:rPr>
          <w:b/>
          <w:sz w:val="40"/>
          <w:szCs w:val="20"/>
        </w:rPr>
      </w:pPr>
      <w:r>
        <w:rPr>
          <w:b/>
          <w:sz w:val="40"/>
          <w:szCs w:val="20"/>
        </w:rPr>
        <w:t>Vzor</w:t>
      </w:r>
      <w:r w:rsidR="00D61BB6" w:rsidRPr="009836CF">
        <w:rPr>
          <w:b/>
          <w:sz w:val="40"/>
          <w:szCs w:val="20"/>
        </w:rPr>
        <w:t xml:space="preserve"> CKO č. </w:t>
      </w:r>
      <w:sdt>
        <w:sdtPr>
          <w:rPr>
            <w:b/>
            <w:sz w:val="40"/>
            <w:szCs w:val="20"/>
          </w:rPr>
          <w:alias w:val="Poradové číslo vzoru"/>
          <w:tag w:val="Poradové číslo vzoru"/>
          <w:id w:val="-1009137634"/>
          <w:lock w:val="sdtLocked"/>
          <w:placeholder>
            <w:docPart w:val="DD8C56F5396145BBB819E25B80F3F0AE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13370C">
            <w:rPr>
              <w:b/>
              <w:sz w:val="40"/>
              <w:szCs w:val="20"/>
            </w:rPr>
            <w:t>36</w:t>
          </w:r>
        </w:sdtContent>
      </w:sdt>
    </w:p>
    <w:p w:rsidR="00D61BB6" w:rsidRPr="00C6439D" w:rsidRDefault="00C6439D" w:rsidP="00541FF5">
      <w:pPr>
        <w:jc w:val="center"/>
        <w:rPr>
          <w:b/>
          <w:sz w:val="32"/>
          <w:szCs w:val="32"/>
        </w:rPr>
      </w:pPr>
      <w:r w:rsidRPr="00C6439D">
        <w:rPr>
          <w:b/>
          <w:sz w:val="32"/>
          <w:szCs w:val="32"/>
        </w:rPr>
        <w:t xml:space="preserve">verzia </w:t>
      </w:r>
      <w:sdt>
        <w:sdtPr>
          <w:rPr>
            <w:b/>
            <w:sz w:val="32"/>
            <w:szCs w:val="32"/>
          </w:rPr>
          <w:alias w:val="Poradové číslo vzoru"/>
          <w:tag w:val="Poradové číslo vzoru"/>
          <w:id w:val="-1645188027"/>
          <w:placeholder>
            <w:docPart w:val="C438CDECBB774123926E36EC328124C8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13370C">
            <w:rPr>
              <w:b/>
              <w:sz w:val="32"/>
              <w:szCs w:val="32"/>
            </w:rPr>
            <w:t>1</w:t>
          </w:r>
        </w:sdtContent>
      </w:sdt>
    </w:p>
    <w:p w:rsidR="00D61BB6" w:rsidRDefault="00D61BB6" w:rsidP="00D61BB6">
      <w:pPr>
        <w:jc w:val="center"/>
        <w:rPr>
          <w:b/>
          <w:sz w:val="20"/>
          <w:szCs w:val="20"/>
        </w:rPr>
      </w:pPr>
    </w:p>
    <w:p w:rsidR="003B0DFE" w:rsidRPr="006479DF" w:rsidRDefault="003B0DFE" w:rsidP="00D61BB6">
      <w:pPr>
        <w:jc w:val="center"/>
        <w:rPr>
          <w:b/>
          <w:sz w:val="20"/>
          <w:szCs w:val="20"/>
        </w:rPr>
      </w:pPr>
    </w:p>
    <w:p w:rsidR="00D61BB6" w:rsidRPr="009836CF" w:rsidRDefault="00D61BB6" w:rsidP="00D61BB6">
      <w:pPr>
        <w:jc w:val="center"/>
        <w:rPr>
          <w:b/>
          <w:sz w:val="28"/>
          <w:szCs w:val="20"/>
        </w:rPr>
      </w:pPr>
      <w:r w:rsidRPr="009836CF">
        <w:rPr>
          <w:b/>
          <w:sz w:val="28"/>
          <w:szCs w:val="20"/>
        </w:rPr>
        <w:t>Programové obdobie 2014 – 2020</w:t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2268"/>
        <w:gridCol w:w="6696"/>
      </w:tblGrid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Vec: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9836CF" w:rsidRPr="009836CF" w:rsidRDefault="0013370C" w:rsidP="006A5157">
            <w:pPr>
              <w:jc w:val="both"/>
              <w:rPr>
                <w:szCs w:val="20"/>
              </w:rPr>
            </w:pPr>
            <w:r w:rsidRPr="00DA17B5">
              <w:rPr>
                <w:szCs w:val="20"/>
              </w:rPr>
              <w:t>Minimálny štandard príručky pre odborných hodnotiteľov</w:t>
            </w: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Určené pre: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13370C" w:rsidRPr="00DA17B5" w:rsidRDefault="0013370C" w:rsidP="0013370C">
            <w:pPr>
              <w:jc w:val="both"/>
              <w:rPr>
                <w:szCs w:val="20"/>
              </w:rPr>
            </w:pPr>
            <w:r w:rsidRPr="00DA17B5">
              <w:rPr>
                <w:szCs w:val="20"/>
              </w:rPr>
              <w:t>Riadiace orgány</w:t>
            </w:r>
          </w:p>
          <w:p w:rsidR="009836CF" w:rsidRPr="009836CF" w:rsidRDefault="0013370C" w:rsidP="0013370C">
            <w:pPr>
              <w:jc w:val="both"/>
              <w:rPr>
                <w:szCs w:val="20"/>
              </w:rPr>
            </w:pPr>
            <w:r w:rsidRPr="00DA17B5">
              <w:rPr>
                <w:szCs w:val="20"/>
                <w:lang w:eastAsia="en-US"/>
              </w:rPr>
              <w:t>Sprostredkovateľské orgány</w:t>
            </w: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Na vedomie: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3D0894" w:rsidRDefault="003D0894" w:rsidP="006479DF">
            <w:pPr>
              <w:rPr>
                <w:b/>
                <w:sz w:val="26"/>
                <w:szCs w:val="26"/>
              </w:rPr>
            </w:pPr>
          </w:p>
          <w:p w:rsidR="003D0894" w:rsidRPr="0084743A" w:rsidRDefault="003D0894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431EE0" w:rsidRPr="00431EE0" w:rsidRDefault="00431EE0" w:rsidP="00431EE0">
            <w:pPr>
              <w:jc w:val="both"/>
              <w:rPr>
                <w:szCs w:val="20"/>
              </w:rPr>
            </w:pPr>
            <w:r w:rsidRPr="00431EE0">
              <w:rPr>
                <w:szCs w:val="20"/>
              </w:rPr>
              <w:t>Certifikačný orgán</w:t>
            </w:r>
          </w:p>
          <w:p w:rsidR="00431EE0" w:rsidRPr="00431EE0" w:rsidRDefault="00431EE0" w:rsidP="00431EE0">
            <w:pPr>
              <w:jc w:val="both"/>
              <w:rPr>
                <w:szCs w:val="20"/>
              </w:rPr>
            </w:pPr>
            <w:r w:rsidRPr="00431EE0">
              <w:rPr>
                <w:szCs w:val="20"/>
              </w:rPr>
              <w:t>Orgán auditu</w:t>
            </w:r>
          </w:p>
          <w:p w:rsidR="009836CF" w:rsidRPr="009836CF" w:rsidRDefault="00431EE0" w:rsidP="00431EE0">
            <w:pPr>
              <w:jc w:val="both"/>
              <w:rPr>
                <w:szCs w:val="20"/>
              </w:rPr>
            </w:pPr>
            <w:r w:rsidRPr="00431EE0">
              <w:rPr>
                <w:szCs w:val="20"/>
              </w:rPr>
              <w:t>Gestori horizontálnych princípov</w:t>
            </w: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Vydáva:</w:t>
            </w:r>
          </w:p>
          <w:p w:rsidR="0084743A" w:rsidRPr="003B0DFE" w:rsidRDefault="0084743A" w:rsidP="006479DF">
            <w:pPr>
              <w:rPr>
                <w:b/>
                <w:sz w:val="16"/>
                <w:szCs w:val="20"/>
              </w:rPr>
            </w:pPr>
          </w:p>
          <w:p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D0894" w:rsidRDefault="003D0894" w:rsidP="006479DF">
            <w:pPr>
              <w:rPr>
                <w:b/>
                <w:sz w:val="16"/>
                <w:szCs w:val="20"/>
              </w:rPr>
            </w:pPr>
          </w:p>
          <w:p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B0DFE" w:rsidRP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9836CF" w:rsidRDefault="0084743A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Centrálny koordinačný orgán</w:t>
            </w:r>
          </w:p>
          <w:p w:rsidR="00B53B4A" w:rsidRPr="009836CF" w:rsidRDefault="00047930" w:rsidP="003B0DFE">
            <w:pPr>
              <w:jc w:val="both"/>
              <w:rPr>
                <w:szCs w:val="20"/>
              </w:rPr>
            </w:pPr>
            <w:r w:rsidRPr="00113AA3">
              <w:t xml:space="preserve">Úrad </w:t>
            </w:r>
            <w:r>
              <w:t>podpredsedu vlády SR pre investície a informatizáciu</w:t>
            </w:r>
            <w:r>
              <w:rPr>
                <w:szCs w:val="20"/>
              </w:rPr>
              <w:t xml:space="preserve"> </w:t>
            </w:r>
            <w:r w:rsidR="00B53B4A">
              <w:rPr>
                <w:szCs w:val="20"/>
              </w:rPr>
              <w:t xml:space="preserve">v súlade s kapitolou 1.2, ods. 3, písm. a) Systému riadenia </w:t>
            </w:r>
            <w:r w:rsidR="003B0DFE" w:rsidRPr="003B0DFE">
              <w:rPr>
                <w:szCs w:val="20"/>
              </w:rPr>
              <w:t>európskych</w:t>
            </w:r>
            <w:r w:rsidR="003B0DFE">
              <w:rPr>
                <w:szCs w:val="20"/>
              </w:rPr>
              <w:t xml:space="preserve"> </w:t>
            </w:r>
            <w:r w:rsidR="003B0DFE" w:rsidRPr="003B0DFE">
              <w:rPr>
                <w:szCs w:val="20"/>
              </w:rPr>
              <w:t>štrukturálnych a</w:t>
            </w:r>
            <w:r w:rsidR="003B0DFE">
              <w:rPr>
                <w:szCs w:val="20"/>
              </w:rPr>
              <w:t> </w:t>
            </w:r>
            <w:r w:rsidR="003B0DFE" w:rsidRPr="003B0DFE">
              <w:rPr>
                <w:szCs w:val="20"/>
              </w:rPr>
              <w:t>investičných</w:t>
            </w:r>
            <w:r w:rsidR="003B0DFE">
              <w:rPr>
                <w:szCs w:val="20"/>
              </w:rPr>
              <w:t xml:space="preserve"> </w:t>
            </w:r>
            <w:r w:rsidR="003B0DFE" w:rsidRPr="003B0DFE">
              <w:rPr>
                <w:szCs w:val="20"/>
              </w:rPr>
              <w:t>fondov</w:t>
            </w: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Záväznosť:</w:t>
            </w:r>
          </w:p>
          <w:p w:rsidR="0084743A" w:rsidRDefault="0084743A" w:rsidP="006479DF">
            <w:pPr>
              <w:rPr>
                <w:b/>
                <w:sz w:val="16"/>
                <w:szCs w:val="16"/>
              </w:rPr>
            </w:pPr>
          </w:p>
          <w:p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P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6A5157" w:rsidRPr="003B0DFE" w:rsidRDefault="006A5157" w:rsidP="006479DF">
            <w:pPr>
              <w:rPr>
                <w:b/>
                <w:sz w:val="16"/>
                <w:szCs w:val="16"/>
              </w:rPr>
            </w:pPr>
          </w:p>
        </w:tc>
        <w:sdt>
          <w:sdtPr>
            <w:rPr>
              <w:szCs w:val="20"/>
            </w:rPr>
            <w:alias w:val="Záväznosť"/>
            <w:tag w:val="Záväznosť"/>
            <w:id w:val="1763795753"/>
            <w:lock w:val="sdtLocked"/>
            <w:placeholder>
              <w:docPart w:val="A1DE1FAF9C3142D9B35DEB35D3F6137F"/>
            </w:placeholder>
            <w:dropDownList>
              <w:listItem w:value="Vyberte položku."/>
              <w:listItem w:displayText="Vzor je pre subjekty, ktorým je určený záväzný v celom jeho rozsahu, bez možnosti úpravy. Výnimkou je možnosť úpravy, ktorá je vo vzore výslovne povolená." w:value="Vzor je pre subjekty, ktorým je určený záväzný v celom jeho rozsahu, bez možnosti úpravy. Výnimkou je možnosť úpravy, ktorá je vo vzore výslovne povolená."/>
              <w:listItem w:displayText="Vzor je pre subjekty, ktorým je určený záväzný. Subjekty, ktorým je vzor určený môžu vzor doplniť s ohľadom na špecifické potreby OP, pričom musí byť zachovaný minimálny obsah uvedený vo vzore. " w:value="Vzor je pre subjekty, ktorým je určený záväzný. Subjekty, ktorým je vzor určený môžu vzor doplniť s ohľadom na špecifické potreby OP, pričom musí byť zachovaný minimálny obsah uvedený vo vzore. "/>
              <w:listItem w:displayText="Vzor má odporúčací charakter a subjekty, ktorým je vzor určený sú oprávnené využiť iný vzor." w:value="Vzor má odporúčací charakter a subjekty, ktorým je vzor určený sú oprávnené využiť iný vzor."/>
            </w:dropDownList>
          </w:sdtPr>
          <w:sdtEndPr/>
          <w:sdtContent>
            <w:tc>
              <w:tcPr>
                <w:tcW w:w="6696" w:type="dxa"/>
                <w:shd w:val="clear" w:color="auto" w:fill="B2A1C7" w:themeFill="accent4" w:themeFillTint="99"/>
              </w:tcPr>
              <w:p w:rsidR="009836CF" w:rsidRPr="009836CF" w:rsidRDefault="0013370C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Vzor má odporúčací charakter a subjekty, ktorým je vzor určený sú oprávnené využiť iný vzor.</w:t>
                </w:r>
              </w:p>
            </w:tc>
          </w:sdtContent>
        </w:sdt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vydania:</w:t>
            </w:r>
          </w:p>
          <w:p w:rsidR="006A5157" w:rsidRDefault="006A5157" w:rsidP="006479DF">
            <w:pPr>
              <w:rPr>
                <w:b/>
                <w:sz w:val="26"/>
                <w:szCs w:val="26"/>
              </w:rPr>
            </w:pPr>
          </w:p>
          <w:p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88820667"/>
            <w:placeholder>
              <w:docPart w:val="DefaultPlaceholder_1082065160"/>
            </w:placeholder>
            <w:date w:fullDate="2017-12-22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B2A1C7" w:themeFill="accent4" w:themeFillTint="99"/>
              </w:tcPr>
              <w:p w:rsidR="009836CF" w:rsidRPr="009836CF" w:rsidRDefault="0013370C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22.12.2017</w:t>
                </w:r>
              </w:p>
            </w:tc>
          </w:sdtContent>
        </w:sdt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účinnosti:</w:t>
            </w:r>
          </w:p>
          <w:p w:rsidR="006A5157" w:rsidRDefault="006A5157" w:rsidP="006479DF">
            <w:pPr>
              <w:rPr>
                <w:b/>
                <w:sz w:val="26"/>
                <w:szCs w:val="26"/>
              </w:rPr>
            </w:pPr>
          </w:p>
          <w:p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-1813329615"/>
            <w:placeholder>
              <w:docPart w:val="A9F731F61A7042F186F5DB555D917909"/>
            </w:placeholder>
            <w:date w:fullDate="2017-12-22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B2A1C7" w:themeFill="accent4" w:themeFillTint="99"/>
              </w:tcPr>
              <w:p w:rsidR="009836CF" w:rsidRPr="009836CF" w:rsidRDefault="0013370C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22.12.2017</w:t>
                </w:r>
              </w:p>
            </w:tc>
          </w:sdtContent>
        </w:sdt>
      </w:tr>
      <w:tr w:rsidR="009836CF" w:rsidRPr="009836CF" w:rsidTr="0013370C">
        <w:trPr>
          <w:trHeight w:val="605"/>
        </w:trPr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Schválil:</w:t>
            </w:r>
          </w:p>
        </w:tc>
        <w:tc>
          <w:tcPr>
            <w:tcW w:w="6696" w:type="dxa"/>
            <w:shd w:val="clear" w:color="auto" w:fill="B2A1C7" w:themeFill="accent4" w:themeFillTint="99"/>
          </w:tcPr>
          <w:p w:rsidR="0013370C" w:rsidRDefault="0013370C" w:rsidP="0013370C">
            <w:pPr>
              <w:jc w:val="both"/>
            </w:pPr>
            <w:r>
              <w:t>JUDr. Denisa Žiláková</w:t>
            </w:r>
          </w:p>
          <w:p w:rsidR="00C214B6" w:rsidRPr="009836CF" w:rsidRDefault="0013370C" w:rsidP="0013370C">
            <w:pPr>
              <w:jc w:val="both"/>
              <w:rPr>
                <w:szCs w:val="20"/>
              </w:rPr>
            </w:pPr>
            <w:r>
              <w:t>generálna riaditeľka sekcie centrálny koordinačný orgán</w:t>
            </w:r>
          </w:p>
        </w:tc>
      </w:tr>
    </w:tbl>
    <w:p w:rsidR="00D61BB6" w:rsidRPr="00627EA3" w:rsidRDefault="00D61BB6" w:rsidP="006479DF"/>
    <w:p w:rsidR="00627EA3" w:rsidRPr="00627EA3" w:rsidRDefault="0013370C" w:rsidP="0013370C">
      <w:pPr>
        <w:pStyle w:val="MPCKO1"/>
      </w:pPr>
      <w:r>
        <w:lastRenderedPageBreak/>
        <w:t>1 Úvod</w:t>
      </w:r>
    </w:p>
    <w:p w:rsidR="0013370C" w:rsidRPr="00E522FF" w:rsidRDefault="0013370C" w:rsidP="0013370C">
      <w:pPr>
        <w:spacing w:before="120" w:after="120"/>
        <w:jc w:val="both"/>
        <w:rPr>
          <w:bCs/>
        </w:rPr>
      </w:pPr>
      <w:r w:rsidRPr="00E522FF">
        <w:t>Predmetom odborného hodnotenia ŽoNFP je odborné, nezávislé, objektívne, transparentné a spätne overiteľné posúdenie navrhovaného projektu na základe hodnotiacich kritérií. Odborný hodnotiteľ vykonáva odborné hodnotenie v súlade s príručkou pre odborných hodnotiteľov</w:t>
      </w:r>
      <w:r>
        <w:t xml:space="preserve"> (ďalej aj „príručka“)</w:t>
      </w:r>
      <w:r w:rsidRPr="00E522FF">
        <w:t xml:space="preserve">. Príručka je vypracovaná v </w:t>
      </w:r>
      <w:r>
        <w:t>súlade</w:t>
      </w:r>
      <w:r w:rsidRPr="00E522FF">
        <w:t xml:space="preserve"> </w:t>
      </w:r>
      <w:r>
        <w:t>so</w:t>
      </w:r>
      <w:r w:rsidRPr="00E522FF">
        <w:t xml:space="preserve"> Systém</w:t>
      </w:r>
      <w:r>
        <w:t>om</w:t>
      </w:r>
      <w:r w:rsidRPr="00E522FF">
        <w:t xml:space="preserve"> riadenia EŠIF</w:t>
      </w:r>
      <w:r>
        <w:t xml:space="preserve"> </w:t>
      </w:r>
      <w:r w:rsidRPr="002263B7">
        <w:t>a metodickými pokynmi CKO</w:t>
      </w:r>
      <w:r w:rsidRPr="00E522FF">
        <w:rPr>
          <w:bCs/>
        </w:rPr>
        <w:t>.</w:t>
      </w:r>
    </w:p>
    <w:p w:rsidR="0013370C" w:rsidRPr="00E522FF" w:rsidRDefault="0013370C" w:rsidP="0013370C">
      <w:pPr>
        <w:spacing w:before="120" w:after="120"/>
        <w:jc w:val="both"/>
      </w:pPr>
    </w:p>
    <w:p w:rsidR="0013370C" w:rsidRDefault="0013370C" w:rsidP="0013370C">
      <w:pPr>
        <w:spacing w:before="120" w:after="120"/>
        <w:jc w:val="both"/>
      </w:pPr>
      <w:r w:rsidRPr="00E522FF">
        <w:t>Cieľom tohto štandardu je zabezpečiť</w:t>
      </w:r>
      <w:r>
        <w:t>,</w:t>
      </w:r>
      <w:r w:rsidRPr="00E522FF">
        <w:t xml:space="preserve"> aby príručky pre odborných hodnotiteľov poskytovali odborným hodnotiteľom jednoznačné inštrukcie v procese odborného hodnotenia ŽoNFP, oboznámili ich s povinnosťami a organizáciou procesu odborného hodnotenia za účelom zabezpečenia štandardizovaného a transparentného výkonu odborného hodnotenia v záujme eliminácie subjektívneho ľudského faktora a zabezpečenia správnosti aplikácie schválených hodnotiacich kritérií. </w:t>
      </w:r>
    </w:p>
    <w:p w:rsidR="0013370C" w:rsidRPr="00E522FF" w:rsidRDefault="0013370C" w:rsidP="0013370C">
      <w:pPr>
        <w:spacing w:before="120" w:after="120"/>
        <w:jc w:val="both"/>
      </w:pPr>
    </w:p>
    <w:p w:rsidR="0013370C" w:rsidRDefault="0013370C" w:rsidP="0013370C">
      <w:pPr>
        <w:pStyle w:val="MPCKO1"/>
        <w:ind w:left="630" w:hanging="630"/>
        <w:jc w:val="both"/>
      </w:pPr>
      <w:r>
        <w:t xml:space="preserve">2 Minimálne obsahové náležitosti príručky pre odborných hodnotiteľov </w:t>
      </w:r>
    </w:p>
    <w:p w:rsidR="0013370C" w:rsidRPr="0013370C" w:rsidRDefault="0013370C" w:rsidP="0013370C"/>
    <w:tbl>
      <w:tblPr>
        <w:tblStyle w:val="Mriekatabuky"/>
        <w:tblW w:w="9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9"/>
      </w:tblGrid>
      <w:tr w:rsidR="0013370C" w:rsidRPr="00E522FF" w:rsidTr="00FD17B3">
        <w:tc>
          <w:tcPr>
            <w:tcW w:w="9299" w:type="dxa"/>
            <w:tcBorders>
              <w:top w:val="single" w:sz="12" w:space="0" w:color="auto"/>
              <w:bottom w:val="single" w:sz="2" w:space="0" w:color="auto"/>
            </w:tcBorders>
            <w:shd w:val="clear" w:color="auto" w:fill="CCC0D9" w:themeFill="accent4" w:themeFillTint="66"/>
            <w:tcMar>
              <w:left w:w="57" w:type="dxa"/>
              <w:right w:w="57" w:type="dxa"/>
            </w:tcMar>
          </w:tcPr>
          <w:p w:rsidR="0013370C" w:rsidRPr="00E522FF" w:rsidRDefault="0013370C" w:rsidP="0013370C">
            <w:pPr>
              <w:pStyle w:val="Odsekzoznamu"/>
              <w:numPr>
                <w:ilvl w:val="0"/>
                <w:numId w:val="7"/>
              </w:numPr>
              <w:spacing w:before="120" w:after="120"/>
              <w:rPr>
                <w:rFonts w:eastAsia="Calibri"/>
                <w:b/>
                <w:bCs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Cs/>
                <w:lang w:eastAsia="en-US"/>
              </w:rPr>
              <w:t>Práca s príručkou</w:t>
            </w:r>
          </w:p>
        </w:tc>
      </w:tr>
      <w:tr w:rsidR="0013370C" w:rsidRPr="00E522FF" w:rsidTr="00FD17B3">
        <w:tc>
          <w:tcPr>
            <w:tcW w:w="92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>RO predstaví príručku pre odborných hodnotiteľov a definuje spôsob práce s príručkou pre</w:t>
            </w:r>
            <w:r>
              <w:rPr>
                <w:rFonts w:eastAsia="Calibri"/>
                <w:bCs/>
                <w:i/>
                <w:iCs/>
                <w:lang w:eastAsia="en-US"/>
              </w:rPr>
              <w:t> 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odborných hodnotiteľov, uvedie obsah, prehľad používaných skratiek a základných pojmov a v prípade používania grafických symbolov aj prehľad všetkých využívaných symbolov s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 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popisom. Ak príručka pre 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odborných 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hodnotiteľ</w:t>
            </w:r>
            <w:r>
              <w:rPr>
                <w:rFonts w:eastAsia="Calibri"/>
                <w:bCs/>
                <w:i/>
                <w:iCs/>
                <w:lang w:eastAsia="en-US"/>
              </w:rPr>
              <w:t>ov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 obsahuje prílohy, ktoré bude 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odborný 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hodnotiteľ využívať pri realizácii odborného hodnotenia, RO uvedie spôsob práce s prílohami. RO uvedie, na aký typ projektov sa príručka vzťahuje (dopytovo-orientované, národné projekty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, </w:t>
            </w:r>
            <w:r w:rsidRPr="005856F7">
              <w:rPr>
                <w:rFonts w:eastAsia="Calibri"/>
                <w:bCs/>
                <w:i/>
                <w:iCs/>
                <w:lang w:eastAsia="en-US"/>
              </w:rPr>
              <w:t>veľké projekt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y, </w:t>
            </w:r>
            <w:r w:rsidRPr="00500D9D">
              <w:rPr>
                <w:rFonts w:eastAsia="Calibri"/>
                <w:bCs/>
                <w:i/>
                <w:iCs/>
                <w:lang w:eastAsia="en-US"/>
              </w:rPr>
              <w:t>projekty technickej pomoci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 </w:t>
            </w:r>
            <w:r w:rsidRPr="00500D9D">
              <w:rPr>
                <w:rFonts w:eastAsia="Calibri"/>
                <w:bCs/>
                <w:i/>
                <w:iCs/>
                <w:lang w:eastAsia="en-US"/>
              </w:rPr>
              <w:t>-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 </w:t>
            </w:r>
            <w:r w:rsidRPr="00500D9D">
              <w:rPr>
                <w:rFonts w:eastAsia="Calibri"/>
                <w:bCs/>
                <w:i/>
                <w:iCs/>
                <w:lang w:eastAsia="en-US"/>
              </w:rPr>
              <w:t>ak relevantné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).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</w:tr>
    </w:tbl>
    <w:p w:rsidR="0013370C" w:rsidRPr="00E522FF" w:rsidRDefault="0013370C" w:rsidP="0013370C">
      <w:pPr>
        <w:jc w:val="both"/>
      </w:pPr>
    </w:p>
    <w:tbl>
      <w:tblPr>
        <w:tblStyle w:val="Mriekatabuky"/>
        <w:tblW w:w="9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9"/>
      </w:tblGrid>
      <w:tr w:rsidR="0013370C" w:rsidRPr="00E522FF" w:rsidTr="00FD17B3">
        <w:tc>
          <w:tcPr>
            <w:tcW w:w="9299" w:type="dxa"/>
            <w:tcBorders>
              <w:top w:val="single" w:sz="12" w:space="0" w:color="auto"/>
              <w:bottom w:val="single" w:sz="2" w:space="0" w:color="auto"/>
            </w:tcBorders>
            <w:shd w:val="clear" w:color="auto" w:fill="CCC0D9" w:themeFill="accent4" w:themeFillTint="66"/>
            <w:tcMar>
              <w:left w:w="57" w:type="dxa"/>
              <w:right w:w="57" w:type="dxa"/>
            </w:tcMar>
          </w:tcPr>
          <w:p w:rsidR="0013370C" w:rsidRPr="00E522FF" w:rsidRDefault="0013370C" w:rsidP="0013370C">
            <w:pPr>
              <w:pStyle w:val="Odsekzoznamu"/>
              <w:numPr>
                <w:ilvl w:val="0"/>
                <w:numId w:val="7"/>
              </w:numPr>
              <w:spacing w:before="120" w:after="120"/>
              <w:rPr>
                <w:rFonts w:eastAsia="Calibri"/>
                <w:b/>
                <w:bCs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Cs/>
                <w:lang w:eastAsia="en-US"/>
              </w:rPr>
              <w:t>Všeobecné informácie k odbornému hodnoteni</w:t>
            </w:r>
            <w:r>
              <w:rPr>
                <w:rFonts w:eastAsia="Calibri"/>
                <w:b/>
                <w:bCs/>
                <w:iCs/>
                <w:lang w:eastAsia="en-US"/>
              </w:rPr>
              <w:t>u</w:t>
            </w:r>
            <w:r w:rsidRPr="00E522FF">
              <w:rPr>
                <w:rFonts w:eastAsia="Calibri"/>
                <w:b/>
                <w:bCs/>
                <w:iCs/>
                <w:lang w:eastAsia="en-US"/>
              </w:rPr>
              <w:t xml:space="preserve"> žiadostí o NFP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lang w:eastAsia="en-US"/>
              </w:rPr>
              <w:t xml:space="preserve"> Základný popis práv a povinností odborných hodnotiteľov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RO uvedie </w:t>
            </w:r>
            <w:r>
              <w:rPr>
                <w:rFonts w:eastAsia="Calibri"/>
                <w:bCs/>
                <w:i/>
                <w:iCs/>
                <w:lang w:eastAsia="en-US"/>
              </w:rPr>
              <w:t>prehľadnú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 informáciu a zhrnutie úlohy odborného hodnotiteľa v procese odborného hodnotenia, vrátane jeho základných práv a povinností.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 Ak sú práva a povinnosti súčasťou dohody o vykonaní práce, uvedie RO túto skutočnosť do tejto časti. V prípade, že RO vypracuje etický kódex odborného hodnotiteľa, uvedie do tejto časti, že odborní hodnotitelia sú povinní ho dodržiavať.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lang w:eastAsia="en-US"/>
              </w:rPr>
              <w:lastRenderedPageBreak/>
              <w:t xml:space="preserve"> Predchádzanie konfliktu záujmov</w:t>
            </w:r>
            <w:r>
              <w:rPr>
                <w:rStyle w:val="Odkaznapoznmkupodiarou"/>
                <w:rFonts w:eastAsia="Calibri"/>
                <w:b/>
                <w:bCs/>
                <w:i/>
                <w:iCs/>
                <w:lang w:eastAsia="en-US"/>
              </w:rPr>
              <w:footnoteReference w:id="1"/>
            </w:r>
            <w:r>
              <w:rPr>
                <w:rFonts w:eastAsia="Calibri"/>
                <w:b/>
                <w:bCs/>
                <w:i/>
                <w:iCs/>
                <w:lang w:eastAsia="en-US"/>
              </w:rPr>
              <w:t xml:space="preserve"> 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>RO uvedie pre odborného hodnotiteľa informáciu, v akých prípadoch môže dôjsť ku konfliktu záujmov pri výkone odborného hodnotenia, vrátane popisu postupov pri identifikácii konfliktu záujmov zo</w:t>
            </w:r>
            <w:r>
              <w:rPr>
                <w:rFonts w:eastAsia="Calibri"/>
                <w:bCs/>
                <w:i/>
                <w:iCs/>
                <w:lang w:eastAsia="en-US"/>
              </w:rPr>
              <w:t> 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strany odborného hodnotiteľa.</w:t>
            </w:r>
          </w:p>
          <w:p w:rsidR="0013370C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>
              <w:rPr>
                <w:rFonts w:eastAsia="Calibri"/>
                <w:bCs/>
                <w:i/>
                <w:iCs/>
                <w:lang w:eastAsia="en-US"/>
              </w:rPr>
              <w:t>RO popíše</w:t>
            </w:r>
            <w:r w:rsidRPr="00EE5407">
              <w:rPr>
                <w:rFonts w:eastAsia="Calibri"/>
                <w:bCs/>
                <w:i/>
                <w:iCs/>
                <w:lang w:eastAsia="en-US"/>
              </w:rPr>
              <w:t xml:space="preserve"> postup</w:t>
            </w:r>
            <w:r>
              <w:rPr>
                <w:rFonts w:eastAsia="Calibri"/>
                <w:bCs/>
                <w:i/>
                <w:iCs/>
                <w:lang w:eastAsia="en-US"/>
              </w:rPr>
              <w:t>y</w:t>
            </w:r>
            <w:r w:rsidRPr="00EE5407">
              <w:rPr>
                <w:rFonts w:eastAsia="Calibri"/>
                <w:bCs/>
                <w:i/>
                <w:iCs/>
                <w:lang w:eastAsia="en-US"/>
              </w:rPr>
              <w:t xml:space="preserve"> pri identifikácií konfliktu záujmov 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aj z iných strán, resp. </w:t>
            </w:r>
            <w:r w:rsidRPr="00EE5407">
              <w:rPr>
                <w:rFonts w:eastAsia="Calibri"/>
                <w:bCs/>
                <w:i/>
                <w:iCs/>
                <w:lang w:eastAsia="en-US"/>
              </w:rPr>
              <w:t>prípad keď odbornému hodnotiteľovi, bol zistený konflikt záujmov, o ktorom mal vedomosť a neinformoval o ňom RO/SO</w:t>
            </w:r>
            <w:r>
              <w:rPr>
                <w:rFonts w:eastAsia="Calibri"/>
                <w:bCs/>
                <w:i/>
                <w:iCs/>
                <w:lang w:eastAsia="en-US"/>
              </w:rPr>
              <w:t>.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RO uvedie </w:t>
            </w:r>
            <w:r w:rsidRPr="00B9305B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odkaz na prílohu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  <w:r w:rsidRPr="00E522FF">
              <w:rPr>
                <w:bCs/>
                <w:i/>
              </w:rPr>
              <w:t>Čestné vyhlásenie o nestrannosti, zachovaní dôvernosti informácií a vylúčení konfliktu záujmov</w:t>
            </w:r>
            <w:r>
              <w:rPr>
                <w:bCs/>
                <w:i/>
              </w:rPr>
              <w:t>,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 </w:t>
            </w:r>
            <w:r w:rsidRPr="00B9305B">
              <w:rPr>
                <w:rFonts w:eastAsia="Calibri"/>
                <w:bCs/>
                <w:i/>
                <w:iCs/>
                <w:lang w:eastAsia="en-US"/>
              </w:rPr>
              <w:t>v ktorej bude odborný hodnotiteľ povinný deklarovať, či je, resp. nie je v konflikte záujmov</w:t>
            </w:r>
            <w:r>
              <w:rPr>
                <w:rFonts w:eastAsia="Calibri"/>
                <w:bCs/>
                <w:i/>
                <w:iCs/>
                <w:lang w:eastAsia="en-US"/>
              </w:rPr>
              <w:t>.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lang w:eastAsia="en-US"/>
              </w:rPr>
              <w:t>I</w:t>
            </w:r>
            <w:r w:rsidRPr="00E522FF">
              <w:rPr>
                <w:rFonts w:eastAsia="Calibri"/>
                <w:b/>
                <w:bCs/>
                <w:i/>
                <w:iCs/>
                <w:lang w:eastAsia="en-US"/>
              </w:rPr>
              <w:t>nformácia o type a vecnom zameraní hodnotených projektov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>RO popíše, aké typy projektov budú predmetom hodnotenia</w:t>
            </w:r>
            <w:r>
              <w:rPr>
                <w:rFonts w:eastAsia="Calibri"/>
                <w:bCs/>
                <w:i/>
                <w:iCs/>
                <w:lang w:eastAsia="en-US"/>
              </w:rPr>
              <w:t>,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 a to nielen z hľadiska toho, či sa jedná o dopytovo-orientované alebo národné projekty</w:t>
            </w:r>
            <w:r>
              <w:rPr>
                <w:rFonts w:eastAsia="Calibri"/>
                <w:bCs/>
                <w:i/>
                <w:iCs/>
                <w:lang w:eastAsia="en-US"/>
              </w:rPr>
              <w:t>,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 ale aj z hľadiska tematickej oblasti zamerania projektov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 (ak relevantné)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.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 RO uvedie operačný program a prioritné osi, na ktoré sa táto príručka pre hodnotiteľov vzťahuje.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lang w:eastAsia="en-US"/>
              </w:rPr>
              <w:t>I</w:t>
            </w:r>
            <w:r w:rsidRPr="00E522FF">
              <w:rPr>
                <w:rFonts w:eastAsia="Calibri"/>
                <w:b/>
                <w:bCs/>
                <w:i/>
                <w:iCs/>
                <w:lang w:eastAsia="en-US"/>
              </w:rPr>
              <w:t>nformácia o type a štruktúre hodnotiacich kritérií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>RO popíše informáciu do akých kategórií/skupín sú rozdelené hodnotiace kritériá, aké typy hodnotiacich kritérií sú používané (bodované a vylučujúce), aké sú rozsahy bodového hodnotenia. V</w:t>
            </w:r>
            <w:r>
              <w:rPr>
                <w:rFonts w:eastAsia="Calibri"/>
                <w:bCs/>
                <w:i/>
                <w:iCs/>
                <w:lang w:eastAsia="en-US"/>
              </w:rPr>
              <w:t> 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prípade</w:t>
            </w:r>
            <w:r>
              <w:rPr>
                <w:rFonts w:eastAsia="Calibri"/>
                <w:bCs/>
                <w:i/>
                <w:iCs/>
                <w:lang w:eastAsia="en-US"/>
              </w:rPr>
              <w:t>,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 ak sa využíva dvojkolový proces a vydáva sa jedna príručka pre obe kolá</w:t>
            </w:r>
            <w:r>
              <w:rPr>
                <w:rFonts w:eastAsia="Calibri"/>
                <w:bCs/>
                <w:i/>
                <w:iCs/>
                <w:lang w:eastAsia="en-US"/>
              </w:rPr>
              <w:t>,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 je potrebné rozlíšiť a identifikovať, ktoré kritériá sa používajú a akým spôsobom v prvom kole a v druhom kole.  V rámci tejto časti RO taktiež popíše minimálne požiadavky na splnenie podmienok odborného hodnotenia.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lang w:eastAsia="en-US"/>
              </w:rPr>
              <w:t>I</w:t>
            </w:r>
            <w:r w:rsidRPr="00E522FF">
              <w:rPr>
                <w:rFonts w:eastAsia="Calibri"/>
                <w:b/>
                <w:bCs/>
                <w:i/>
                <w:iCs/>
                <w:lang w:eastAsia="en-US"/>
              </w:rPr>
              <w:t>nformácia o zdrojoch pre odborné hodnotenie ŽoNFP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>RO popíše</w:t>
            </w:r>
            <w:r>
              <w:rPr>
                <w:rFonts w:eastAsia="Calibri"/>
                <w:bCs/>
                <w:i/>
                <w:iCs/>
                <w:lang w:eastAsia="en-US"/>
              </w:rPr>
              <w:t>,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 aké zdroje bude odborný hodnotiteľ 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primárne 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využívať pri výkone odborného hodnotenia Žiadostí o</w:t>
            </w:r>
            <w:r>
              <w:rPr>
                <w:rFonts w:eastAsia="Calibri"/>
                <w:bCs/>
                <w:i/>
                <w:iCs/>
                <w:lang w:eastAsia="en-US"/>
              </w:rPr>
              <w:t> 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NFP</w:t>
            </w:r>
            <w:r>
              <w:rPr>
                <w:rFonts w:eastAsia="Calibri"/>
                <w:bCs/>
                <w:i/>
                <w:iCs/>
                <w:lang w:eastAsia="en-US"/>
              </w:rPr>
              <w:t>. A</w:t>
            </w:r>
            <w:r w:rsidRPr="00EC5FA8">
              <w:rPr>
                <w:rFonts w:eastAsia="Calibri"/>
                <w:bCs/>
                <w:i/>
                <w:iCs/>
                <w:lang w:eastAsia="en-US"/>
              </w:rPr>
              <w:t>k relevantné, RO uvedie odkazy na tieto zdroje</w:t>
            </w:r>
            <w:r>
              <w:rPr>
                <w:rFonts w:eastAsia="Calibri"/>
                <w:bCs/>
                <w:i/>
                <w:iCs/>
                <w:lang w:eastAsia="en-US"/>
              </w:rPr>
              <w:t>.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 xml:space="preserve"> Informácia o zverejňovaní zoznamov odborných hodnotiteľov a výstupov z odborného hodnotenia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</w:pPr>
          </w:p>
          <w:p w:rsidR="0013370C" w:rsidRPr="00703C5D" w:rsidRDefault="0013370C" w:rsidP="00FD17B3">
            <w:pPr>
              <w:jc w:val="both"/>
              <w:rPr>
                <w:i/>
                <w:color w:val="000000" w:themeColor="text1"/>
              </w:rPr>
            </w:pP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RO popíše, akým spôsobom sú zverejňované zoznamy odborných hodnotiteľov, výstupy z odborného hodnotenia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.</w:t>
            </w: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  <w:r w:rsidRPr="00703C5D">
              <w:rPr>
                <w:i/>
                <w:color w:val="000000" w:themeColor="text1"/>
              </w:rPr>
              <w:t>RO uvedie v príručke pre hodnotiteľov aj obsah informácii, ktoré budú zverejňované.</w:t>
            </w:r>
            <w:r w:rsidRPr="00703C5D">
              <w:rPr>
                <w:i/>
              </w:rPr>
              <w:t xml:space="preserve"> </w:t>
            </w:r>
            <w:r w:rsidRPr="00703C5D">
              <w:rPr>
                <w:i/>
                <w:color w:val="000000" w:themeColor="text1"/>
              </w:rPr>
              <w:t>Zverejňovanie je upravené v Metodickom pokyne CKO č.29 k výberu odborných hodnotiteľov.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</w:p>
        </w:tc>
      </w:tr>
    </w:tbl>
    <w:p w:rsidR="0013370C" w:rsidRPr="00E522FF" w:rsidRDefault="0013370C" w:rsidP="0013370C">
      <w:pPr>
        <w:tabs>
          <w:tab w:val="left" w:pos="5179"/>
        </w:tabs>
        <w:jc w:val="both"/>
      </w:pPr>
    </w:p>
    <w:p w:rsidR="0013370C" w:rsidRPr="00E522FF" w:rsidRDefault="0013370C" w:rsidP="0013370C">
      <w:pPr>
        <w:tabs>
          <w:tab w:val="left" w:pos="5179"/>
        </w:tabs>
        <w:jc w:val="both"/>
      </w:pPr>
    </w:p>
    <w:tbl>
      <w:tblPr>
        <w:tblStyle w:val="Mriekatabuky"/>
        <w:tblW w:w="9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9"/>
      </w:tblGrid>
      <w:tr w:rsidR="0013370C" w:rsidRPr="00E522FF" w:rsidTr="00FD17B3">
        <w:tc>
          <w:tcPr>
            <w:tcW w:w="9299" w:type="dxa"/>
            <w:tcBorders>
              <w:top w:val="single" w:sz="12" w:space="0" w:color="auto"/>
              <w:bottom w:val="single" w:sz="2" w:space="0" w:color="auto"/>
            </w:tcBorders>
            <w:shd w:val="clear" w:color="auto" w:fill="CCC0D9" w:themeFill="accent4" w:themeFillTint="66"/>
            <w:tcMar>
              <w:left w:w="57" w:type="dxa"/>
              <w:right w:w="57" w:type="dxa"/>
            </w:tcMar>
          </w:tcPr>
          <w:p w:rsidR="0013370C" w:rsidRPr="00E522FF" w:rsidRDefault="0013370C" w:rsidP="0013370C">
            <w:pPr>
              <w:pStyle w:val="Odsekzoznamu"/>
              <w:numPr>
                <w:ilvl w:val="0"/>
                <w:numId w:val="7"/>
              </w:numPr>
              <w:spacing w:before="120" w:after="120"/>
              <w:rPr>
                <w:rFonts w:eastAsia="Calibri"/>
                <w:b/>
                <w:bCs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Cs/>
                <w:lang w:eastAsia="en-US"/>
              </w:rPr>
              <w:t>Organizačno - technické zabezpečenie odborného hodnotenia žiadostí o NFP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lang w:eastAsia="en-US"/>
              </w:rPr>
              <w:t xml:space="preserve"> Subjekty a zamestnanci, zapojení do výkonu odborného hodnotenia a spôsob komunikácie RO s hodnotiteľom</w:t>
            </w:r>
          </w:p>
        </w:tc>
      </w:tr>
      <w:tr w:rsidR="0013370C" w:rsidRPr="00E522FF" w:rsidTr="00FD17B3">
        <w:tc>
          <w:tcPr>
            <w:tcW w:w="92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RO popíše,  akým spôsobom bude prebiehať komunikácia medzi RO a odborným hodnotiteľom. Odporúča sa stanoviť vždy jednu kontaktnú osobu 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(alebo viac) 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pre odborného hodnotiteľa zo strany RO, ktorá bude zabezpečovať kompletnú komunikáciu s odborným hodnotiteľom (vrátane organizačno-technického zabezpečenia OH). 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lang w:eastAsia="en-US"/>
              </w:rPr>
              <w:t xml:space="preserve"> Administratívne povinnosti pred začiatkom odborného hodnotenia </w:t>
            </w:r>
          </w:p>
        </w:tc>
      </w:tr>
      <w:tr w:rsidR="0013370C" w:rsidRPr="00E522FF" w:rsidTr="00FD17B3">
        <w:tc>
          <w:tcPr>
            <w:tcW w:w="92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>RO popíše,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 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aké administratívne povinnosti je odborný hodnotiteľ povinný splniť pred samotným začiatkom odborného hodnotenia</w:t>
            </w:r>
            <w:r>
              <w:rPr>
                <w:rFonts w:eastAsia="Calibri"/>
                <w:bCs/>
                <w:i/>
                <w:iCs/>
                <w:lang w:eastAsia="en-US"/>
              </w:rPr>
              <w:t>, n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apr.: </w:t>
            </w:r>
          </w:p>
          <w:p w:rsidR="0013370C" w:rsidRPr="00E522FF" w:rsidRDefault="0013370C" w:rsidP="0013370C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i/>
              </w:rPr>
            </w:pPr>
            <w:r w:rsidRPr="00E522FF">
              <w:rPr>
                <w:i/>
              </w:rPr>
              <w:t>podpísať dohodu o vykonaní práce (ak relevantné),</w:t>
            </w:r>
          </w:p>
          <w:p w:rsidR="0013370C" w:rsidRDefault="0013370C" w:rsidP="0013370C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i/>
              </w:rPr>
            </w:pPr>
            <w:r w:rsidRPr="00E522FF">
              <w:rPr>
                <w:i/>
              </w:rPr>
              <w:t>absolvovať školenie odborných hodnotiteľov</w:t>
            </w:r>
            <w:r>
              <w:rPr>
                <w:i/>
              </w:rPr>
              <w:t>,</w:t>
            </w:r>
            <w:r w:rsidRPr="00E522FF">
              <w:rPr>
                <w:i/>
              </w:rPr>
              <w:t xml:space="preserve"> </w:t>
            </w:r>
          </w:p>
          <w:p w:rsidR="0013370C" w:rsidRPr="00202414" w:rsidRDefault="0013370C" w:rsidP="0013370C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preukázateľne oboznámiť s </w:t>
            </w:r>
            <w:r w:rsidRPr="00E522FF">
              <w:rPr>
                <w:i/>
              </w:rPr>
              <w:t>BOZP</w:t>
            </w:r>
            <w:r>
              <w:rPr>
                <w:i/>
              </w:rPr>
              <w:t xml:space="preserve"> v súlade so zákonom č. </w:t>
            </w:r>
            <w:r w:rsidRPr="0003423D">
              <w:rPr>
                <w:i/>
              </w:rPr>
              <w:t>124/2006 Z.z.</w:t>
            </w:r>
            <w:r>
              <w:rPr>
                <w:i/>
              </w:rPr>
              <w:t xml:space="preserve"> </w:t>
            </w:r>
            <w:r w:rsidRPr="0003423D">
              <w:rPr>
                <w:i/>
              </w:rPr>
              <w:t xml:space="preserve">o bezpečnosti </w:t>
            </w:r>
            <w:r>
              <w:rPr>
                <w:i/>
              </w:rPr>
              <w:br/>
            </w:r>
            <w:r w:rsidRPr="0003423D">
              <w:rPr>
                <w:i/>
              </w:rPr>
              <w:t>a ochrane zdravia pri práci a o zmene a doplnení niektorých zákonov,</w:t>
            </w:r>
          </w:p>
          <w:p w:rsidR="0013370C" w:rsidRPr="00E522FF" w:rsidRDefault="0013370C" w:rsidP="0013370C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i/>
              </w:rPr>
            </w:pPr>
            <w:r w:rsidRPr="00E522FF">
              <w:rPr>
                <w:i/>
              </w:rPr>
              <w:t>podpísať čestné vyhlásenie o nestrannosti, zachovaní dôvernosti informácií a vylúčení konfliktu záujmov (príloha č. 1),</w:t>
            </w:r>
          </w:p>
          <w:p w:rsidR="0013370C" w:rsidRPr="00E522FF" w:rsidRDefault="0013370C" w:rsidP="0013370C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i/>
              </w:rPr>
            </w:pPr>
            <w:r w:rsidRPr="00E522FF">
              <w:rPr>
                <w:i/>
              </w:rPr>
              <w:t>prevziať menovací dekrét,</w:t>
            </w:r>
          </w:p>
          <w:p w:rsidR="0013370C" w:rsidRPr="00E522FF" w:rsidRDefault="0013370C" w:rsidP="0013370C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i/>
                <w:szCs w:val="22"/>
              </w:rPr>
            </w:pPr>
            <w:r w:rsidRPr="00E522FF">
              <w:rPr>
                <w:i/>
              </w:rPr>
              <w:t>podpísať zoznam pridelených projektov na hodnotenie.</w:t>
            </w:r>
          </w:p>
          <w:p w:rsidR="0013370C" w:rsidRPr="00E522FF" w:rsidRDefault="0013370C" w:rsidP="00FD17B3">
            <w:pPr>
              <w:pStyle w:val="Default"/>
              <w:spacing w:line="276" w:lineRule="auto"/>
              <w:jc w:val="both"/>
              <w:rPr>
                <w:i/>
                <w:szCs w:val="22"/>
              </w:rPr>
            </w:pPr>
          </w:p>
          <w:p w:rsidR="0013370C" w:rsidRPr="00E522FF" w:rsidRDefault="0013370C" w:rsidP="00FD17B3">
            <w:pPr>
              <w:pStyle w:val="Default"/>
              <w:spacing w:line="276" w:lineRule="auto"/>
              <w:jc w:val="both"/>
              <w:rPr>
                <w:i/>
              </w:rPr>
            </w:pPr>
            <w:r w:rsidRPr="00E522FF">
              <w:rPr>
                <w:i/>
              </w:rPr>
              <w:t xml:space="preserve">V prípade, ak v čase schválenia príručky pre </w:t>
            </w:r>
            <w:r>
              <w:rPr>
                <w:i/>
              </w:rPr>
              <w:t xml:space="preserve">odborných </w:t>
            </w:r>
            <w:r w:rsidRPr="00E522FF">
              <w:rPr>
                <w:i/>
              </w:rPr>
              <w:t>hodnotiteľov nebudú s odbornými hodnotiteľmi uzatvorené zmluvné vzťahy, definujúce práva a povinnosti odborného hodnotiteľa, môže príručka pre odborného hodnotiteľa obsahovať informácie o spôsobe uzatvorenia takéhoto zmluvného vzťahu.</w:t>
            </w:r>
          </w:p>
          <w:p w:rsidR="0013370C" w:rsidRPr="00E522FF" w:rsidRDefault="0013370C" w:rsidP="00FD17B3">
            <w:pPr>
              <w:pStyle w:val="Default"/>
              <w:spacing w:line="276" w:lineRule="auto"/>
              <w:jc w:val="both"/>
              <w:rPr>
                <w:i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lang w:eastAsia="en-US"/>
              </w:rPr>
              <w:t xml:space="preserve"> Organizačno – technické náležitosti výkonu odborného hodnotenia žiadostí o NFP</w:t>
            </w:r>
          </w:p>
        </w:tc>
      </w:tr>
      <w:tr w:rsidR="0013370C" w:rsidRPr="00E522FF" w:rsidTr="00FD17B3">
        <w:tc>
          <w:tcPr>
            <w:tcW w:w="92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>RO rámcovo popíše, akým spôsobom bude prebiehať výkon odborného hodnotenia z administratívneho hľadiska,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 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to znamená miesto výkonu odborného hodnotenia, spôsob nakladania s dokumentáciou, nevyhnutné technické predpoklady, spôsob zaznamenávania výsledkov hodnotenia do ITMS2014+,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a iné. 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). RO zároveň popíše </w:t>
            </w:r>
            <w:r w:rsidRPr="00E522FF">
              <w:rPr>
                <w:i/>
              </w:rPr>
              <w:t>opatrenia, zavedené pre zamedzenie úniku informácií o hodnotených ŽoNFP</w:t>
            </w:r>
            <w:r>
              <w:rPr>
                <w:i/>
              </w:rPr>
              <w:t xml:space="preserve"> (napr. </w:t>
            </w:r>
            <w:r w:rsidRPr="00E522FF">
              <w:rPr>
                <w:bCs/>
                <w:i/>
              </w:rPr>
              <w:t>Čestné vyhlásenie o nestrannosti, zachovaní dôvernosti informácií a vylúčení konfliktu záujmov</w:t>
            </w:r>
            <w:r>
              <w:rPr>
                <w:bCs/>
                <w:i/>
              </w:rPr>
              <w:t>,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 </w:t>
            </w:r>
          </w:p>
          <w:p w:rsidR="0013370C" w:rsidRPr="00E522FF" w:rsidRDefault="0013370C" w:rsidP="00FD17B3">
            <w:pPr>
              <w:jc w:val="both"/>
              <w:rPr>
                <w:i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>Etický kódex odborného hodnotiteľa</w:t>
            </w:r>
            <w:r>
              <w:rPr>
                <w:rFonts w:eastAsia="Calibri"/>
                <w:bCs/>
                <w:i/>
                <w:iCs/>
                <w:lang w:eastAsia="en-US"/>
              </w:rPr>
              <w:t>)</w:t>
            </w:r>
            <w:r w:rsidRPr="00E522FF">
              <w:rPr>
                <w:i/>
              </w:rPr>
              <w:t>. Taktiež RO uvedie informáciu o spôsobe technického zabezpečenia aplikácie vybraných nástrojov overovania hospodárnosti a efektívnosti navrhovaných výdavkov (napr. CRZ, cenové mapy, analytické nástroje</w:t>
            </w:r>
            <w:r>
              <w:rPr>
                <w:i/>
              </w:rPr>
              <w:t>,</w:t>
            </w:r>
            <w:r w:rsidRPr="00E522FF">
              <w:rPr>
                <w:i/>
              </w:rPr>
              <w:t xml:space="preserve"> ARACHNE a i.).</w:t>
            </w:r>
          </w:p>
          <w:p w:rsidR="0013370C" w:rsidRPr="00E522FF" w:rsidRDefault="0013370C" w:rsidP="00FD17B3">
            <w:pPr>
              <w:jc w:val="both"/>
              <w:rPr>
                <w:i/>
              </w:rPr>
            </w:pPr>
          </w:p>
          <w:p w:rsidR="0013370C" w:rsidRPr="00E522FF" w:rsidRDefault="0013370C" w:rsidP="00FD17B3">
            <w:pPr>
              <w:jc w:val="both"/>
              <w:rPr>
                <w:i/>
              </w:rPr>
            </w:pPr>
            <w:r w:rsidRPr="00E522FF">
              <w:rPr>
                <w:i/>
              </w:rPr>
              <w:t>V prípade ak sa aplikuje hodnotenie skupinou expertov, RO okrem vyššie uvedeného popíše aj akým spôsobom bude prebiehať zasadnutie hodnotiacej komisie.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lang w:eastAsia="en-US"/>
              </w:rPr>
              <w:lastRenderedPageBreak/>
              <w:t xml:space="preserve"> Zabezpečenie účasti partnerov v procese odborného hodnotenia</w:t>
            </w:r>
          </w:p>
        </w:tc>
      </w:tr>
      <w:tr w:rsidR="0013370C" w:rsidRPr="00E522FF" w:rsidTr="00FD17B3">
        <w:tc>
          <w:tcPr>
            <w:tcW w:w="92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RO popíše, ktoré ďalšie subjekty sú oprávnené zúčastniť sa výkonu odborného hodnotenia, akým spôsobom je im oznamovaná možnosť účasti pri výkone odborného hodnotenia, aké sú práva a povinnosti týchto subjektov, vrátane spôsobu </w:t>
            </w:r>
            <w:r>
              <w:rPr>
                <w:rFonts w:eastAsia="Calibri"/>
                <w:bCs/>
                <w:i/>
                <w:iCs/>
                <w:lang w:eastAsia="en-US"/>
              </w:rPr>
              <w:t>vylúčenia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 konfliktu záujmov, akým spôsobom bude RO postupovať v prípade porušenia týchto povinností a akým spôsobom môžu tieto subjekty komunikovať s RO a oznamovať prípadné porušenia postupov pre výkon odborného hodnotenia. 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lang w:eastAsia="en-US"/>
              </w:rPr>
              <w:t xml:space="preserve"> Školenie odborných hodnotiteľov </w:t>
            </w:r>
          </w:p>
        </w:tc>
      </w:tr>
      <w:tr w:rsidR="0013370C" w:rsidRPr="00E522FF" w:rsidTr="00FD17B3">
        <w:tc>
          <w:tcPr>
            <w:tcW w:w="92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>RO popíše, akým spôsobom prebieha školenie odborných hodnotiteľov, spôsob prihlásenia sa na školenie alebo oslovenia odborného hodnotiteľa zo strany RO za účelom zabezpečenia účasti na</w:t>
            </w:r>
            <w:r>
              <w:rPr>
                <w:rFonts w:eastAsia="Calibri"/>
                <w:bCs/>
                <w:i/>
                <w:iCs/>
                <w:lang w:eastAsia="en-US"/>
              </w:rPr>
              <w:t> 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školení. RO popíše, ktoré oblasti budú predmetom školenia, a s ktorými dokumentmi je odborný hodnotiteľ povinný oboznámiť sa pred začatím odborného hodnotenia mimo absolvovania školenia.</w:t>
            </w:r>
            <w:r w:rsidRPr="00E522FF">
              <w:t xml:space="preserve"> 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RO identifikuje aké sú predpoklady zo strany odborných hodnotiteľov pre účasť na školení (napr. nevyhnutné technické </w:t>
            </w:r>
            <w:r>
              <w:rPr>
                <w:rFonts w:eastAsia="Calibri"/>
                <w:bCs/>
                <w:i/>
                <w:iCs/>
                <w:lang w:eastAsia="en-US"/>
              </w:rPr>
              <w:t>znalosti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), akým spôsobom bude preukazovaná účasť na školení (napr. certifikát, potvrdenie</w:t>
            </w:r>
            <w:r>
              <w:rPr>
                <w:rFonts w:eastAsia="Calibri"/>
                <w:bCs/>
                <w:i/>
                <w:iCs/>
                <w:lang w:eastAsia="en-US"/>
              </w:rPr>
              <w:t>, podpísaná prezenčná listina zo školenia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)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. 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>Ak relevantné, RO rovnako informuje, akým spôsobom môže odborný hodnotiteľ požiadať o ad hoc školenie, resp. akým spôsobom prebieha školenie v prípade zmien v dokumentoch s vplyvom na výkon odborného hodnotenia.</w:t>
            </w:r>
          </w:p>
        </w:tc>
      </w:tr>
    </w:tbl>
    <w:p w:rsidR="0013370C" w:rsidRPr="00E522FF" w:rsidRDefault="0013370C" w:rsidP="0013370C">
      <w:pPr>
        <w:tabs>
          <w:tab w:val="left" w:pos="5179"/>
        </w:tabs>
        <w:jc w:val="both"/>
      </w:pPr>
    </w:p>
    <w:p w:rsidR="0013370C" w:rsidRPr="00E522FF" w:rsidRDefault="0013370C" w:rsidP="0013370C">
      <w:pPr>
        <w:tabs>
          <w:tab w:val="left" w:pos="5179"/>
        </w:tabs>
        <w:jc w:val="both"/>
      </w:pPr>
      <w:r w:rsidRPr="00E522FF">
        <w:tab/>
      </w:r>
    </w:p>
    <w:tbl>
      <w:tblPr>
        <w:tblStyle w:val="Mriekatabuky"/>
        <w:tblW w:w="9356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3370C" w:rsidRPr="00E522FF" w:rsidTr="00FD17B3">
        <w:tc>
          <w:tcPr>
            <w:tcW w:w="9356" w:type="dxa"/>
            <w:tcBorders>
              <w:top w:val="single" w:sz="12" w:space="0" w:color="auto"/>
              <w:bottom w:val="single" w:sz="2" w:space="0" w:color="auto"/>
            </w:tcBorders>
            <w:shd w:val="clear" w:color="auto" w:fill="CCC0D9" w:themeFill="accent4" w:themeFillTint="66"/>
            <w:tcMar>
              <w:left w:w="57" w:type="dxa"/>
              <w:right w:w="57" w:type="dxa"/>
            </w:tcMar>
          </w:tcPr>
          <w:p w:rsidR="0013370C" w:rsidRPr="00E522FF" w:rsidRDefault="0013370C" w:rsidP="0013370C">
            <w:pPr>
              <w:pStyle w:val="Odsekzoznamu"/>
              <w:numPr>
                <w:ilvl w:val="0"/>
                <w:numId w:val="7"/>
              </w:numPr>
              <w:spacing w:before="120" w:after="120"/>
              <w:rPr>
                <w:rFonts w:eastAsia="Calibri"/>
                <w:b/>
                <w:bCs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Cs/>
                <w:lang w:eastAsia="en-US"/>
              </w:rPr>
              <w:t>Proces odborného hodnotenia žiadostí o NFP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 xml:space="preserve"> Rámcový popis </w:t>
            </w:r>
            <w:r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>najčastejších nedostatkov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</w:tcPr>
          <w:p w:rsidR="0013370C" w:rsidRPr="00E522FF" w:rsidRDefault="0013370C" w:rsidP="0013370C">
            <w:pPr>
              <w:pStyle w:val="Odsekzoznamu"/>
              <w:numPr>
                <w:ilvl w:val="0"/>
                <w:numId w:val="9"/>
              </w:numPr>
              <w:jc w:val="both"/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RO rámcovo popíše najčastejš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ie</w:t>
            </w: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 nedostatk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y</w:t>
            </w: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, identifikovan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é</w:t>
            </w: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 pri výkone odborného hodnotenia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 (</w:t>
            </w:r>
            <w:r w:rsidRPr="00E46942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je relevantné iba ak RO/SO identifikoval v predchádzajúcich odborných hodnoteniach opakovane sa vyskytujúce nedostatky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)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 xml:space="preserve"> Postup pri dožiadaní doplňujúcich informácií</w:t>
            </w:r>
            <w:r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 xml:space="preserve">  </w:t>
            </w:r>
            <w:r w:rsidRPr="00B93309"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>(ak relevantné)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i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RO popíše podmienky, za akých je možné požiadať žiadateľa o doplňujúce informácie. RO popíše postup spracovania požiadavky na doplnenie v prípade, a</w:t>
            </w:r>
            <w:r w:rsidRPr="00E522FF">
              <w:rPr>
                <w:i/>
                <w:color w:val="000000" w:themeColor="text1"/>
              </w:rPr>
              <w:t>k sa počas odborného hodnotenia zistí, že na</w:t>
            </w:r>
            <w:r>
              <w:rPr>
                <w:i/>
                <w:color w:val="000000" w:themeColor="text1"/>
              </w:rPr>
              <w:t> </w:t>
            </w:r>
            <w:r w:rsidRPr="00E522FF">
              <w:rPr>
                <w:i/>
                <w:color w:val="000000" w:themeColor="text1"/>
              </w:rPr>
              <w:t>posúdenie splnenia podmienok odborného hodnotenia je potrebné poskytnúť zo strany žiadateľa doplňujúce informácie. RO uvedie povinné náležitosti takejto požiadavky a lehoty, súvisiace so</w:t>
            </w:r>
            <w:r>
              <w:rPr>
                <w:i/>
                <w:color w:val="000000" w:themeColor="text1"/>
              </w:rPr>
              <w:t> </w:t>
            </w:r>
            <w:r w:rsidRPr="00E522FF">
              <w:rPr>
                <w:i/>
                <w:color w:val="000000" w:themeColor="text1"/>
              </w:rPr>
              <w:t xml:space="preserve">zaslaním požadovaných informácií. RO za týmto účelom </w:t>
            </w:r>
            <w:r>
              <w:rPr>
                <w:i/>
                <w:color w:val="000000" w:themeColor="text1"/>
              </w:rPr>
              <w:t>napríklad</w:t>
            </w:r>
            <w:r w:rsidRPr="00E522FF">
              <w:rPr>
                <w:i/>
                <w:color w:val="000000" w:themeColor="text1"/>
              </w:rPr>
              <w:t xml:space="preserve"> vypracuje formulár </w:t>
            </w:r>
            <w:r>
              <w:rPr>
                <w:i/>
                <w:color w:val="000000" w:themeColor="text1"/>
              </w:rPr>
              <w:t>v</w:t>
            </w:r>
            <w:r w:rsidRPr="00E5158F">
              <w:rPr>
                <w:i/>
                <w:color w:val="000000" w:themeColor="text1"/>
              </w:rPr>
              <w:t>ýzv</w:t>
            </w:r>
            <w:r>
              <w:rPr>
                <w:i/>
                <w:color w:val="000000" w:themeColor="text1"/>
              </w:rPr>
              <w:t>y</w:t>
            </w:r>
            <w:r w:rsidRPr="00E5158F">
              <w:rPr>
                <w:i/>
                <w:color w:val="000000" w:themeColor="text1"/>
              </w:rPr>
              <w:t xml:space="preserve"> na doplnenie ŽoNFP v rámci odborného hodnotenia</w:t>
            </w:r>
            <w:r>
              <w:rPr>
                <w:i/>
                <w:color w:val="000000" w:themeColor="text1"/>
              </w:rPr>
              <w:t xml:space="preserve"> </w:t>
            </w:r>
            <w:r w:rsidRPr="00E522FF">
              <w:rPr>
                <w:i/>
                <w:color w:val="000000" w:themeColor="text1"/>
              </w:rPr>
              <w:t>, ktorý bude tvoriť prílohu príručky pre</w:t>
            </w:r>
            <w:r>
              <w:rPr>
                <w:i/>
                <w:color w:val="000000" w:themeColor="text1"/>
              </w:rPr>
              <w:t> </w:t>
            </w:r>
            <w:r w:rsidRPr="00E522FF">
              <w:rPr>
                <w:i/>
                <w:color w:val="000000" w:themeColor="text1"/>
              </w:rPr>
              <w:t>odborných hodnotiteľov.RO stanoví pre odborného hodnotiteľa povinnosť každý prípad dožiadania zaznamenať v relevantnom hodnotiacom hárku (v nadväznosti na skutočnosť, kto z hodnotiteľov si údaje dožiadal) v komentári relevantného hodnotiaceho kritéria.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FF0000"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 xml:space="preserve"> Spôsob vypracovania individuálneho hodnotiaceho hárku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i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RO popíše spôsob vypracovania individuálneho hodnotiaceho hárku, vrátane popisu hodnotiaceho hárku, jeho polí, ktoré musí odborný hodnotiteľ vyplniť a vysvetlenia  presného </w:t>
            </w: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lastRenderedPageBreak/>
              <w:t xml:space="preserve">postupu jeho vyplnenia a podpísania. 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Individuálny hodnotiaci hárok môže byť použitý napríklad v prípade využitia inštitútu tretieho hodnotiteľa alebo skupiny expertov. Základom pre individuálny hodnotiaci hárok je vzor CKO č. 21. 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FF0000"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lastRenderedPageBreak/>
              <w:t xml:space="preserve"> Spôsob vypracovania spoločného hodnotiaceho hárku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i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RO popíše spôsob vypracovania spoločného hodnotiaceho hárku, vrátane popisu hodnotiaceho hárku, jeho polí, ktoré mus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ia</w:t>
            </w: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 odborn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í</w:t>
            </w: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 hodnotite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lia vyplniť a vysvetlenia </w:t>
            </w: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presného postupu jeho vyplnenia a podpísania.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FF0000"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 xml:space="preserve"> Postup pre prípad </w:t>
            </w:r>
            <w:r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>nezhody</w:t>
            </w:r>
            <w:r w:rsidRPr="00E522FF"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 xml:space="preserve"> odborných hodnotiteľov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"/>
        </w:trPr>
        <w:tc>
          <w:tcPr>
            <w:tcW w:w="9356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RO popíše postup v prípade nezhody odborných hodnotiteľov, vrátane spôsobu oznámenia 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nezhody</w:t>
            </w: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, spôsobu 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jej </w:t>
            </w: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zaznamenania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 (p</w:t>
            </w:r>
            <w:r w:rsidRPr="00674B6A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ísomné oznámenie 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nezhody</w:t>
            </w:r>
            <w:r w:rsidRPr="00674B6A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 zaznamenajú odborní hodnotitelia v hodnotiacom hárku alebo v samostatnom dokumente, kde sa pripoja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 podpisy odborných hodnotiteľov) </w:t>
            </w: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, postupe aplikovanom po </w:t>
            </w:r>
            <w:r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jej </w:t>
            </w: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 xml:space="preserve">oznámení a postupe ďalšieho hodnotenia príslušnej žiadosti o NFP. 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FF0000"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 xml:space="preserve"> Postup pre hodnotenie realizované skupinou expertov (ak relevantné)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"/>
        </w:trPr>
        <w:tc>
          <w:tcPr>
            <w:tcW w:w="9356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i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  <w:t>RO popíše postup hodnotenia žiadostí o NFP skupinou expertov, vrátane vypracovania spoločného hodnotiaceho hárku, spolu s jeho popisom, popisom jeho polí, ktoré musia odborní hodnotitelia vyplniť a vysvetlenia  presného postupu jeho vyplnenia a podpísania.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i/>
                <w:color w:val="000000" w:themeColor="text1"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</w:pPr>
            <w:r w:rsidRPr="00E522FF"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 xml:space="preserve"> Postup pre hodnotenie projektových zámerov v rámci dvojkolového </w:t>
            </w:r>
            <w:r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>procesu</w:t>
            </w:r>
            <w:r w:rsidRPr="00E522FF"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 xml:space="preserve"> (ak relevantné)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"/>
        </w:trPr>
        <w:tc>
          <w:tcPr>
            <w:tcW w:w="9356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>V prípade ak sa využíva dvojkolový proces a vydáva sa jedna príručka pre obe kolá, RO popíše postupy špecifické pre hodnotenie projektových zámerov, vrátane presne stanovených lehôt a povinností pre</w:t>
            </w:r>
            <w:r>
              <w:rPr>
                <w:rFonts w:eastAsia="Calibri"/>
                <w:bCs/>
                <w:i/>
                <w:iCs/>
                <w:lang w:eastAsia="en-US"/>
              </w:rPr>
              <w:t> 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odborných hodnotiteľov</w:t>
            </w:r>
            <w:r>
              <w:rPr>
                <w:rFonts w:eastAsia="Calibri"/>
                <w:bCs/>
                <w:i/>
                <w:iCs/>
                <w:lang w:eastAsia="en-US"/>
              </w:rPr>
              <w:t>,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 s uvedením príslušných formulárov v prílohách príručky pre odborných hodnotiteľov.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color w:val="FF0000"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 xml:space="preserve">Formálna kontrola </w:t>
            </w:r>
            <w:r w:rsidRPr="000A4FC5">
              <w:rPr>
                <w:rFonts w:eastAsia="Calibri"/>
                <w:b/>
                <w:bCs/>
                <w:i/>
                <w:iCs/>
                <w:color w:val="000000" w:themeColor="text1"/>
                <w:lang w:eastAsia="en-US"/>
              </w:rPr>
              <w:t>hodnotiaceho hárku odborného hodnotenia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shd w:val="clear" w:color="auto" w:fill="auto"/>
          </w:tcPr>
          <w:p w:rsidR="0013370C" w:rsidRPr="00A45622" w:rsidRDefault="0013370C" w:rsidP="00FD17B3">
            <w:pPr>
              <w:spacing w:before="120" w:after="120"/>
              <w:jc w:val="both"/>
              <w:rPr>
                <w:rFonts w:eastAsia="Calibri"/>
                <w:bCs/>
                <w:i/>
                <w:iCs/>
                <w:color w:val="000000" w:themeColor="text1"/>
                <w:lang w:eastAsia="en-US"/>
              </w:rPr>
            </w:pPr>
            <w:r w:rsidRPr="00A45622">
              <w:rPr>
                <w:rFonts w:eastAsia="Calibri"/>
                <w:bCs/>
                <w:i/>
                <w:iCs/>
                <w:lang w:eastAsia="en-US"/>
              </w:rPr>
              <w:t xml:space="preserve">RO/SO môže skontrolovať, či hodnotiaci hárok obsahuje vyhodnotenie hodnotiacich kritérií, popis záverov z odborného hodnotenia a súčet dosiahnutých bodov z odborného hodnotenia. Či je ku každému hodnotiacemu kritériu zároveň uvedený slovný komentár odborných hodnotiteľov, ktorý obsahuje jasné a čo najpresnejšie zdôvodnenie prideleného počtu bodov, t. j. na základe čoho bol pridelený maximálny počet bodov, resp. na základe čoho došlo k zníženiu počtu bodov pri bodovaní. Či je v prípade vylučovacích kritérií uvedené podrobné zdôvodnenie vyhodnotenia príslušného vylučovacieho kritéria. Taktiež, či je  v oboch prípadoch uvedený odkaz na konkrétnu časť ŽoNFP, prílohu/prílohy ŽoNFP, resp. inú dokumentáciu, na základe ktorej odborný hodnotiteľ vyhodnotil príslušné hodnotiace, bodové, resp. vylučovacie kritérium. RO/SO kontroluje hodnotiaci hárok po formálnej stránke – administratívna, matematická a logická stránka. RO/SO nezasahuje do obsahovej a odbornej časti hodnotenia. Ak relevantné, </w:t>
            </w:r>
            <w:r w:rsidRPr="00A45622">
              <w:rPr>
                <w:rFonts w:eastAsia="Calibri"/>
                <w:bCs/>
                <w:i/>
                <w:iCs/>
                <w:lang w:eastAsia="en-US"/>
              </w:rPr>
              <w:lastRenderedPageBreak/>
              <w:t>RO/SO vyhotoví z tejto kontroly Kontrolný zoznam na formálnu kontrolu hodnotiaceho hárku odborného hodnotenia žiadosti o nenávratný finančný príspevok.</w:t>
            </w:r>
          </w:p>
        </w:tc>
      </w:tr>
    </w:tbl>
    <w:p w:rsidR="0013370C" w:rsidRPr="00E522FF" w:rsidRDefault="0013370C" w:rsidP="0013370C">
      <w:pPr>
        <w:tabs>
          <w:tab w:val="left" w:pos="5179"/>
        </w:tabs>
        <w:jc w:val="both"/>
      </w:pPr>
    </w:p>
    <w:p w:rsidR="0013370C" w:rsidRPr="00E522FF" w:rsidRDefault="0013370C" w:rsidP="0013370C">
      <w:pPr>
        <w:tabs>
          <w:tab w:val="left" w:pos="5179"/>
        </w:tabs>
        <w:jc w:val="both"/>
      </w:pPr>
    </w:p>
    <w:tbl>
      <w:tblPr>
        <w:tblStyle w:val="Mriekatabuky"/>
        <w:tblW w:w="9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9"/>
      </w:tblGrid>
      <w:tr w:rsidR="0013370C" w:rsidRPr="00E522FF" w:rsidTr="00FD17B3">
        <w:tc>
          <w:tcPr>
            <w:tcW w:w="9299" w:type="dxa"/>
            <w:tcBorders>
              <w:top w:val="single" w:sz="12" w:space="0" w:color="auto"/>
              <w:bottom w:val="single" w:sz="2" w:space="0" w:color="auto"/>
            </w:tcBorders>
            <w:shd w:val="clear" w:color="auto" w:fill="CCC0D9" w:themeFill="accent4" w:themeFillTint="66"/>
            <w:tcMar>
              <w:left w:w="57" w:type="dxa"/>
              <w:right w:w="57" w:type="dxa"/>
            </w:tcMar>
          </w:tcPr>
          <w:p w:rsidR="0013370C" w:rsidRPr="00E522FF" w:rsidRDefault="0013370C" w:rsidP="0013370C">
            <w:pPr>
              <w:pStyle w:val="Odsekzoznamu"/>
              <w:numPr>
                <w:ilvl w:val="0"/>
                <w:numId w:val="7"/>
              </w:numPr>
              <w:spacing w:before="120" w:after="120"/>
              <w:rPr>
                <w:rFonts w:eastAsia="Calibri"/>
                <w:b/>
                <w:bCs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Cs/>
                <w:lang w:eastAsia="en-US"/>
              </w:rPr>
              <w:t xml:space="preserve">Spôsob vyhodnotenia kritérií </w:t>
            </w:r>
            <w:r>
              <w:rPr>
                <w:rFonts w:eastAsia="Calibri"/>
                <w:b/>
                <w:bCs/>
                <w:iCs/>
                <w:lang w:eastAsia="en-US"/>
              </w:rPr>
              <w:t>pre</w:t>
            </w:r>
            <w:r w:rsidRPr="00084C0B">
              <w:rPr>
                <w:rFonts w:eastAsia="Calibri"/>
                <w:b/>
                <w:bCs/>
                <w:iCs/>
                <w:lang w:eastAsia="en-US"/>
              </w:rPr>
              <w:t xml:space="preserve"> výber projektov</w:t>
            </w:r>
            <w:r>
              <w:rPr>
                <w:rFonts w:eastAsia="Calibri"/>
                <w:b/>
                <w:bCs/>
                <w:iCs/>
                <w:lang w:eastAsia="en-US"/>
              </w:rPr>
              <w:t xml:space="preserve"> 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Cs/>
                <w:lang w:eastAsia="en-US"/>
              </w:rPr>
              <w:t xml:space="preserve"> Sumárna informácia o </w:t>
            </w:r>
            <w:r>
              <w:rPr>
                <w:rFonts w:eastAsia="Calibri"/>
                <w:b/>
                <w:bCs/>
                <w:iCs/>
                <w:lang w:eastAsia="en-US"/>
              </w:rPr>
              <w:t>kritériách pre</w:t>
            </w:r>
            <w:r w:rsidRPr="00084C0B">
              <w:rPr>
                <w:rFonts w:eastAsia="Calibri"/>
                <w:b/>
                <w:bCs/>
                <w:iCs/>
                <w:lang w:eastAsia="en-US"/>
              </w:rPr>
              <w:t xml:space="preserve"> výber projektov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RO uvedie sumárne informácie o aplikovaných kritériách </w:t>
            </w:r>
            <w:r w:rsidRPr="00084C0B">
              <w:rPr>
                <w:rFonts w:eastAsia="Calibri"/>
                <w:bCs/>
                <w:i/>
                <w:iCs/>
                <w:lang w:eastAsia="en-US"/>
              </w:rPr>
              <w:t xml:space="preserve">pre výber projektov 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minimálne v nasledovnom rozsahu: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4"/>
              <w:gridCol w:w="3024"/>
              <w:gridCol w:w="3025"/>
            </w:tblGrid>
            <w:tr w:rsidR="0013370C" w:rsidRPr="00E522FF" w:rsidTr="00FD17B3">
              <w:tc>
                <w:tcPr>
                  <w:tcW w:w="3024" w:type="dxa"/>
                  <w:shd w:val="clear" w:color="auto" w:fill="BFBFBF" w:themeFill="background1" w:themeFillShade="BF"/>
                </w:tcPr>
                <w:p w:rsidR="0013370C" w:rsidRPr="00E522FF" w:rsidRDefault="0013370C" w:rsidP="00FD17B3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/>
                      <w:bCs/>
                      <w:i/>
                      <w:iCs/>
                      <w:lang w:eastAsia="en-US"/>
                    </w:rPr>
                    <w:t>Názov kritéria</w:t>
                  </w:r>
                </w:p>
              </w:tc>
              <w:tc>
                <w:tcPr>
                  <w:tcW w:w="3024" w:type="dxa"/>
                  <w:shd w:val="clear" w:color="auto" w:fill="BFBFBF" w:themeFill="background1" w:themeFillShade="BF"/>
                </w:tcPr>
                <w:p w:rsidR="0013370C" w:rsidRPr="00E522FF" w:rsidRDefault="0013370C" w:rsidP="00FD17B3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/>
                      <w:bCs/>
                      <w:i/>
                      <w:iCs/>
                      <w:lang w:eastAsia="en-US"/>
                    </w:rPr>
                    <w:t>Typ kritéria</w:t>
                  </w:r>
                </w:p>
              </w:tc>
              <w:tc>
                <w:tcPr>
                  <w:tcW w:w="3025" w:type="dxa"/>
                  <w:shd w:val="clear" w:color="auto" w:fill="BFBFBF" w:themeFill="background1" w:themeFillShade="BF"/>
                </w:tcPr>
                <w:p w:rsidR="0013370C" w:rsidRPr="00E522FF" w:rsidRDefault="0013370C" w:rsidP="00FD17B3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/>
                      <w:bCs/>
                      <w:i/>
                      <w:iCs/>
                      <w:lang w:eastAsia="en-US"/>
                    </w:rPr>
                    <w:t>Hodnotiaca škála</w:t>
                  </w:r>
                </w:p>
              </w:tc>
            </w:tr>
          </w:tbl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  <w:shd w:val="clear" w:color="auto" w:fill="E5DFEC" w:themeFill="accent4" w:themeFillTint="33"/>
          </w:tcPr>
          <w:p w:rsidR="0013370C" w:rsidRPr="00E522FF" w:rsidRDefault="0013370C" w:rsidP="0013370C">
            <w:pPr>
              <w:pStyle w:val="Odsekzoznamu"/>
              <w:numPr>
                <w:ilvl w:val="1"/>
                <w:numId w:val="7"/>
              </w:numPr>
              <w:spacing w:before="120" w:after="120"/>
              <w:rPr>
                <w:rFonts w:eastAsia="Calibri"/>
                <w:b/>
                <w:bCs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Cs/>
                <w:lang w:eastAsia="en-US"/>
              </w:rPr>
              <w:t xml:space="preserve"> Spôsob vyhodnotenia jednotlivých kritérií </w:t>
            </w:r>
            <w:r w:rsidRPr="00084C0B">
              <w:rPr>
                <w:rFonts w:eastAsia="Calibri"/>
                <w:b/>
                <w:bCs/>
                <w:iCs/>
                <w:lang w:eastAsia="en-US"/>
              </w:rPr>
              <w:t>pre výber projektov</w:t>
            </w:r>
          </w:p>
        </w:tc>
      </w:tr>
      <w:tr w:rsidR="0013370C" w:rsidRPr="00E522FF" w:rsidTr="00FD1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99" w:type="dxa"/>
          </w:tcPr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E522FF">
              <w:rPr>
                <w:rFonts w:eastAsia="Calibri"/>
                <w:bCs/>
                <w:i/>
                <w:iCs/>
                <w:lang w:eastAsia="en-US"/>
              </w:rPr>
              <w:t xml:space="preserve">RO pre každé kritérium </w:t>
            </w:r>
            <w:r w:rsidRPr="00084C0B">
              <w:rPr>
                <w:rFonts w:eastAsia="Calibri"/>
                <w:bCs/>
                <w:i/>
                <w:iCs/>
                <w:lang w:eastAsia="en-US"/>
              </w:rPr>
              <w:t>pre výber projektov</w:t>
            </w:r>
            <w:r>
              <w:rPr>
                <w:rFonts w:eastAsia="Calibri"/>
                <w:bCs/>
                <w:i/>
                <w:iCs/>
                <w:lang w:eastAsia="en-US"/>
              </w:rPr>
              <w:t xml:space="preserve"> </w:t>
            </w:r>
            <w:r w:rsidRPr="00E522FF">
              <w:rPr>
                <w:rFonts w:eastAsia="Calibri"/>
                <w:bCs/>
                <w:i/>
                <w:iCs/>
                <w:lang w:eastAsia="en-US"/>
              </w:rPr>
              <w:t>uvedie informácie minimálne v nasledovnom rozsahu: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tbl>
            <w:tblPr>
              <w:tblStyle w:val="Mriekatabuky"/>
              <w:tblW w:w="9086" w:type="dxa"/>
              <w:tblLayout w:type="fixed"/>
              <w:tblLook w:val="04A0" w:firstRow="1" w:lastRow="0" w:firstColumn="1" w:lastColumn="0" w:noHBand="0" w:noVBand="1"/>
            </w:tblPr>
            <w:tblGrid>
              <w:gridCol w:w="2784"/>
              <w:gridCol w:w="6302"/>
            </w:tblGrid>
            <w:tr w:rsidR="0013370C" w:rsidRPr="00E522FF" w:rsidTr="00FD17B3">
              <w:tc>
                <w:tcPr>
                  <w:tcW w:w="2784" w:type="dxa"/>
                  <w:shd w:val="clear" w:color="auto" w:fill="BFBFBF" w:themeFill="background1" w:themeFillShade="BF"/>
                </w:tcPr>
                <w:p w:rsidR="0013370C" w:rsidRPr="00E522FF" w:rsidRDefault="0013370C" w:rsidP="00FD17B3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/>
                      <w:bCs/>
                      <w:i/>
                      <w:iCs/>
                      <w:lang w:eastAsia="en-US"/>
                    </w:rPr>
                    <w:t>Povinná informácia</w:t>
                  </w:r>
                </w:p>
              </w:tc>
              <w:tc>
                <w:tcPr>
                  <w:tcW w:w="6302" w:type="dxa"/>
                  <w:shd w:val="clear" w:color="auto" w:fill="BFBFBF" w:themeFill="background1" w:themeFillShade="BF"/>
                </w:tcPr>
                <w:p w:rsidR="0013370C" w:rsidRPr="00E522FF" w:rsidRDefault="0013370C" w:rsidP="00FD17B3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/>
                      <w:bCs/>
                      <w:i/>
                      <w:iCs/>
                      <w:lang w:eastAsia="en-US"/>
                    </w:rPr>
                    <w:t>Minimálny štandard</w:t>
                  </w:r>
                </w:p>
              </w:tc>
            </w:tr>
            <w:tr w:rsidR="0013370C" w:rsidRPr="00E522FF" w:rsidTr="00FD17B3">
              <w:tc>
                <w:tcPr>
                  <w:tcW w:w="2784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Číslo kritéria</w:t>
                  </w:r>
                </w:p>
              </w:tc>
              <w:tc>
                <w:tcPr>
                  <w:tcW w:w="6302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-</w:t>
                  </w:r>
                  <w:r>
                    <w:rPr>
                      <w:rFonts w:ascii="Arial" w:hAnsi="Arial" w:cs="Arial"/>
                      <w:color w:val="0000CC"/>
                      <w:sz w:val="20"/>
                      <w:szCs w:val="20"/>
                      <w:shd w:val="clear" w:color="auto" w:fill="F7F9FB"/>
                    </w:rPr>
                    <w:t xml:space="preserve"> </w:t>
                  </w:r>
                </w:p>
              </w:tc>
            </w:tr>
            <w:tr w:rsidR="0013370C" w:rsidRPr="00E522FF" w:rsidTr="00FD17B3">
              <w:tc>
                <w:tcPr>
                  <w:tcW w:w="2784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75286E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Hodnotená oblasť</w:t>
                  </w:r>
                </w:p>
              </w:tc>
              <w:tc>
                <w:tcPr>
                  <w:tcW w:w="6302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</w:p>
              </w:tc>
            </w:tr>
            <w:tr w:rsidR="0013370C" w:rsidRPr="00E522FF" w:rsidTr="00FD17B3">
              <w:tc>
                <w:tcPr>
                  <w:tcW w:w="2784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Názov kritéria</w:t>
                  </w:r>
                </w:p>
              </w:tc>
              <w:tc>
                <w:tcPr>
                  <w:tcW w:w="6302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-</w:t>
                  </w:r>
                </w:p>
              </w:tc>
            </w:tr>
            <w:tr w:rsidR="0013370C" w:rsidRPr="00E522FF" w:rsidTr="00FD17B3">
              <w:tc>
                <w:tcPr>
                  <w:tcW w:w="2784" w:type="dxa"/>
                </w:tcPr>
                <w:p w:rsidR="0013370C" w:rsidRPr="00E522FF" w:rsidRDefault="0013370C" w:rsidP="00FD17B3">
                  <w:pPr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674B6A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 xml:space="preserve">Typ </w:t>
                  </w: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kritéria</w:t>
                  </w:r>
                  <w:r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 xml:space="preserve"> (vylučujúce/bodované)</w:t>
                  </w:r>
                </w:p>
              </w:tc>
              <w:tc>
                <w:tcPr>
                  <w:tcW w:w="6302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</w:p>
              </w:tc>
            </w:tr>
            <w:tr w:rsidR="0013370C" w:rsidRPr="00E522FF" w:rsidTr="00FD17B3">
              <w:tc>
                <w:tcPr>
                  <w:tcW w:w="2784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Opis kritériá</w:t>
                  </w:r>
                </w:p>
              </w:tc>
              <w:tc>
                <w:tcPr>
                  <w:tcW w:w="6302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 xml:space="preserve">RO uvedie opis kritéria, teda čo je predmetom hodnotenia, čo bude odborný hodnotiteľ posudzovať </w:t>
                  </w:r>
                </w:p>
              </w:tc>
            </w:tr>
            <w:tr w:rsidR="0013370C" w:rsidRPr="00E522FF" w:rsidTr="00FD17B3">
              <w:tc>
                <w:tcPr>
                  <w:tcW w:w="2784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Zdroj informácií</w:t>
                  </w:r>
                </w:p>
              </w:tc>
              <w:tc>
                <w:tcPr>
                  <w:tcW w:w="6302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RO uvedie všetky príslušné časti ŽoNFP a všetky relevantné prílohy ŽoNFP, nevyhnutné pre overenie hodnotiaceho kritéria. V prípade, ak je pre overenie kritéria potrebné využiť externý zdroj (napr. metodika, benchmark, štatistická hodnota)</w:t>
                  </w:r>
                  <w:r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,</w:t>
                  </w: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 xml:space="preserve"> RO uvedie odkaz, kde hodnotiteľ predmetný zdroj nájde.</w:t>
                  </w:r>
                </w:p>
              </w:tc>
            </w:tr>
            <w:tr w:rsidR="0013370C" w:rsidRPr="00E522FF" w:rsidTr="00FD17B3">
              <w:tc>
                <w:tcPr>
                  <w:tcW w:w="2784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Spôsob aplikácie hodnotiaceho kritéria</w:t>
                  </w:r>
                </w:p>
              </w:tc>
              <w:tc>
                <w:tcPr>
                  <w:tcW w:w="6302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RO uvedie inštrukcie, akým spôsobom má odborný hodnotiteľ splnenie príslušného kritéria hodnotiť. RO uvedie postup krokov, potrebných pre vyhodnotenie kritéria (napr. v prípade potreby použitia vzorcov a výpočtov zo strany odborného hodnotiteľa, RO uvedie jednoznačný postup pre výpočet číselných hodnôt). V prípade bodovaných kritérií musí byť jednoznačne uvedené, aké presné podmienky musia byť splnené pre získanie príslušného počtu bodov. Popis musí byť jednoznačný, aby sa zamedzilo rozdielnemu chápaniu a spôsobu hodnotenia. V prípade vylučovacích kritérií musí byť jednoznačne uvedené, aké presné podmienky musia byť splnené pre odpoveď áno.</w:t>
                  </w:r>
                </w:p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V rámci tejto časti je potrebné popísať aj spôsob vyplnenia komentára k príslušnému kritériu.</w:t>
                  </w:r>
                </w:p>
              </w:tc>
            </w:tr>
            <w:tr w:rsidR="0013370C" w:rsidRPr="00E522FF" w:rsidTr="00FD17B3">
              <w:tc>
                <w:tcPr>
                  <w:tcW w:w="2784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lastRenderedPageBreak/>
                    <w:t>Hodnotenie/počet bodov</w:t>
                  </w:r>
                </w:p>
              </w:tc>
              <w:tc>
                <w:tcPr>
                  <w:tcW w:w="6302" w:type="dxa"/>
                </w:tcPr>
                <w:p w:rsidR="0013370C" w:rsidRPr="00E522FF" w:rsidRDefault="0013370C" w:rsidP="00FD17B3">
                  <w:pPr>
                    <w:jc w:val="both"/>
                    <w:rPr>
                      <w:rFonts w:eastAsia="Calibri"/>
                      <w:bCs/>
                      <w:i/>
                      <w:iCs/>
                      <w:lang w:eastAsia="en-US"/>
                    </w:rPr>
                  </w:pPr>
                  <w:r w:rsidRPr="00E522FF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RO uvedie hodnotiacu škálu pre príslušné kritérium.</w:t>
                  </w:r>
                  <w:r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 xml:space="preserve"> RO uvedie, že p</w:t>
                  </w:r>
                  <w:r w:rsidRPr="0064675C">
                    <w:rPr>
                      <w:rFonts w:eastAsia="Calibri"/>
                      <w:bCs/>
                      <w:i/>
                      <w:iCs/>
                      <w:lang w:eastAsia="en-US"/>
                    </w:rPr>
                    <w:t>odmienky pre získanie príslušného počtu bodov nesmú byť neurčitého charakteru, napr. 1 bod - málo, 2 - body primerane, a pod. Spôsob prideľovania počtu bodov musí byť preskúmateľný z tretej strany, napr. auditom, certifikačným overovaním, atď. a tiež zo strany odborného hodnotiteľa popísaný v komentári príslušného bodového kritéria.</w:t>
                  </w:r>
                </w:p>
              </w:tc>
            </w:tr>
          </w:tbl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</w:tr>
    </w:tbl>
    <w:p w:rsidR="0013370C" w:rsidRPr="00E522FF" w:rsidRDefault="0013370C" w:rsidP="0013370C">
      <w:pPr>
        <w:tabs>
          <w:tab w:val="left" w:pos="5179"/>
        </w:tabs>
        <w:jc w:val="both"/>
      </w:pPr>
    </w:p>
    <w:tbl>
      <w:tblPr>
        <w:tblStyle w:val="Mriekatabuky"/>
        <w:tblW w:w="9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9"/>
      </w:tblGrid>
      <w:tr w:rsidR="0013370C" w:rsidRPr="00E522FF" w:rsidTr="00FD17B3">
        <w:tc>
          <w:tcPr>
            <w:tcW w:w="9299" w:type="dxa"/>
            <w:tcBorders>
              <w:top w:val="single" w:sz="12" w:space="0" w:color="auto"/>
              <w:bottom w:val="single" w:sz="2" w:space="0" w:color="auto"/>
            </w:tcBorders>
            <w:shd w:val="clear" w:color="auto" w:fill="CCC0D9" w:themeFill="accent4" w:themeFillTint="66"/>
            <w:tcMar>
              <w:left w:w="57" w:type="dxa"/>
              <w:right w:w="57" w:type="dxa"/>
            </w:tcMar>
          </w:tcPr>
          <w:p w:rsidR="0013370C" w:rsidRPr="00E522FF" w:rsidRDefault="0013370C" w:rsidP="0013370C">
            <w:pPr>
              <w:pStyle w:val="Odsekzoznamu"/>
              <w:numPr>
                <w:ilvl w:val="0"/>
                <w:numId w:val="7"/>
              </w:numPr>
              <w:spacing w:before="120" w:after="120"/>
              <w:rPr>
                <w:rFonts w:eastAsia="Calibri"/>
                <w:b/>
                <w:bCs/>
                <w:iCs/>
                <w:lang w:eastAsia="en-US"/>
              </w:rPr>
            </w:pPr>
            <w:r w:rsidRPr="00E522FF">
              <w:rPr>
                <w:rFonts w:eastAsia="Calibri"/>
                <w:b/>
                <w:bCs/>
                <w:iCs/>
                <w:lang w:eastAsia="en-US"/>
              </w:rPr>
              <w:t>Povinné prílohy príručky pre odborných hodnotiteľov</w:t>
            </w:r>
          </w:p>
        </w:tc>
      </w:tr>
      <w:tr w:rsidR="0013370C" w:rsidRPr="00E522FF" w:rsidTr="00FD17B3">
        <w:trPr>
          <w:trHeight w:val="1080"/>
        </w:trPr>
        <w:tc>
          <w:tcPr>
            <w:tcW w:w="92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370C" w:rsidRPr="00E522FF" w:rsidRDefault="0013370C" w:rsidP="00FD17B3">
            <w:pPr>
              <w:jc w:val="both"/>
              <w:rPr>
                <w:bCs/>
                <w:i/>
              </w:rPr>
            </w:pPr>
            <w:r w:rsidRPr="00E522FF">
              <w:rPr>
                <w:bCs/>
                <w:i/>
              </w:rPr>
              <w:t>RO ako prílohy príručky pre odborných hodnotiteľov uvedie minimálne nasledovné dokumenty:</w:t>
            </w:r>
          </w:p>
          <w:p w:rsidR="0013370C" w:rsidRPr="00E522FF" w:rsidRDefault="0013370C" w:rsidP="00FD17B3">
            <w:pPr>
              <w:jc w:val="both"/>
              <w:rPr>
                <w:bCs/>
                <w:i/>
              </w:rPr>
            </w:pPr>
          </w:p>
          <w:p w:rsidR="0013370C" w:rsidRPr="003223FD" w:rsidRDefault="0013370C" w:rsidP="0013370C">
            <w:pPr>
              <w:pStyle w:val="Odsekzoznamu"/>
              <w:numPr>
                <w:ilvl w:val="0"/>
                <w:numId w:val="10"/>
              </w:num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3223FD">
              <w:rPr>
                <w:bCs/>
                <w:i/>
              </w:rPr>
              <w:t>Čestné vyhlásenie o nestrannosti, zachovaní dôvernosti informácií a vylúčení konfliktu záujmov</w:t>
            </w:r>
            <w:r w:rsidRPr="003223FD">
              <w:rPr>
                <w:rFonts w:eastAsia="Calibri"/>
                <w:bCs/>
                <w:i/>
                <w:iCs/>
                <w:lang w:eastAsia="en-US"/>
              </w:rPr>
              <w:t xml:space="preserve"> </w:t>
            </w:r>
          </w:p>
          <w:p w:rsidR="0013370C" w:rsidRPr="003223FD" w:rsidRDefault="0013370C" w:rsidP="0013370C">
            <w:pPr>
              <w:pStyle w:val="Odsekzoznamu"/>
              <w:numPr>
                <w:ilvl w:val="0"/>
                <w:numId w:val="10"/>
              </w:num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3223FD">
              <w:rPr>
                <w:rFonts w:eastAsia="Calibri"/>
                <w:bCs/>
                <w:i/>
                <w:iCs/>
                <w:lang w:eastAsia="en-US"/>
              </w:rPr>
              <w:t>Etický kódex odborného hodnotiteľa (nepovinné)</w:t>
            </w:r>
          </w:p>
          <w:p w:rsidR="0013370C" w:rsidRPr="003223FD" w:rsidRDefault="0013370C" w:rsidP="0013370C">
            <w:pPr>
              <w:pStyle w:val="Odsekzoznamu"/>
              <w:numPr>
                <w:ilvl w:val="0"/>
                <w:numId w:val="10"/>
              </w:numPr>
              <w:jc w:val="both"/>
              <w:rPr>
                <w:rFonts w:eastAsia="Calibri"/>
                <w:i/>
                <w:lang w:eastAsia="en-US"/>
              </w:rPr>
            </w:pPr>
            <w:r w:rsidRPr="003223FD">
              <w:rPr>
                <w:i/>
              </w:rPr>
              <w:t xml:space="preserve">Formulár </w:t>
            </w:r>
            <w:r w:rsidRPr="003223FD">
              <w:rPr>
                <w:i/>
                <w:color w:val="000000" w:themeColor="text1"/>
              </w:rPr>
              <w:t xml:space="preserve">výzvy na doplnenie ŽoNFP </w:t>
            </w:r>
            <w:r w:rsidRPr="003223FD">
              <w:rPr>
                <w:rFonts w:eastAsia="Calibri"/>
                <w:i/>
                <w:lang w:eastAsia="en-US"/>
              </w:rPr>
              <w:t xml:space="preserve"> v rámci odborného hodnotenia (v prípade, ak bude mať RO proces, ktorý obsahuje tento formulár)</w:t>
            </w:r>
          </w:p>
          <w:p w:rsidR="0013370C" w:rsidRPr="003223FD" w:rsidRDefault="0013370C" w:rsidP="0013370C">
            <w:pPr>
              <w:pStyle w:val="Odsekzoznamu"/>
              <w:numPr>
                <w:ilvl w:val="0"/>
                <w:numId w:val="10"/>
              </w:numPr>
              <w:jc w:val="both"/>
              <w:rPr>
                <w:bCs/>
                <w:i/>
              </w:rPr>
            </w:pPr>
            <w:r w:rsidRPr="003223FD">
              <w:rPr>
                <w:bCs/>
                <w:i/>
              </w:rPr>
              <w:t>Formulár Individuálneho hodnotiaceho hárku odborného hodnotenia ŽoNFP</w:t>
            </w:r>
          </w:p>
          <w:p w:rsidR="0013370C" w:rsidRPr="003223FD" w:rsidRDefault="0013370C" w:rsidP="0013370C">
            <w:pPr>
              <w:pStyle w:val="Odsekzoznamu"/>
              <w:numPr>
                <w:ilvl w:val="0"/>
                <w:numId w:val="10"/>
              </w:numPr>
              <w:jc w:val="both"/>
              <w:rPr>
                <w:bCs/>
                <w:i/>
              </w:rPr>
            </w:pPr>
            <w:r w:rsidRPr="003223FD">
              <w:rPr>
                <w:bCs/>
                <w:i/>
              </w:rPr>
              <w:t>Formulár Spoločného hodnotiaceho hárku odborného hodnotenia ŽoNFP</w:t>
            </w:r>
            <w:r w:rsidRPr="003223FD">
              <w:rPr>
                <w:rStyle w:val="Odkaznapoznmkupodiarou"/>
                <w:rFonts w:eastAsiaTheme="majorEastAsia"/>
                <w:bCs/>
                <w:i/>
              </w:rPr>
              <w:footnoteReference w:id="2"/>
            </w:r>
          </w:p>
          <w:p w:rsidR="0013370C" w:rsidRPr="003223FD" w:rsidRDefault="0013370C" w:rsidP="0013370C">
            <w:pPr>
              <w:pStyle w:val="Odsekzoznamu"/>
              <w:numPr>
                <w:ilvl w:val="0"/>
                <w:numId w:val="10"/>
              </w:numPr>
              <w:jc w:val="both"/>
              <w:rPr>
                <w:bCs/>
                <w:i/>
              </w:rPr>
            </w:pPr>
            <w:r w:rsidRPr="003223FD">
              <w:rPr>
                <w:bCs/>
                <w:i/>
              </w:rPr>
              <w:t>Kontrolný zoznam na formálnu kontrolu hodnotiaceho hárku odborného hodnotenia žiadosti o nenávratný finančný príspevok (ak relevantné)</w:t>
            </w:r>
          </w:p>
          <w:p w:rsidR="0013370C" w:rsidRPr="00E522FF" w:rsidRDefault="0013370C" w:rsidP="00FD17B3">
            <w:pPr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</w:tr>
    </w:tbl>
    <w:p w:rsidR="0013370C" w:rsidRPr="00E522FF" w:rsidRDefault="0013370C" w:rsidP="0013370C">
      <w:pPr>
        <w:tabs>
          <w:tab w:val="left" w:pos="5179"/>
        </w:tabs>
        <w:jc w:val="both"/>
      </w:pPr>
    </w:p>
    <w:p w:rsidR="0013370C" w:rsidRDefault="0013370C" w:rsidP="0013370C">
      <w:r w:rsidRPr="008412FA">
        <w:rPr>
          <w:i/>
        </w:rPr>
        <w:t>Príloha</w:t>
      </w:r>
      <w:r>
        <w:rPr>
          <w:i/>
        </w:rPr>
        <w:t xml:space="preserve"> č.6</w:t>
      </w:r>
      <w:r w:rsidRPr="008412FA">
        <w:rPr>
          <w:i/>
        </w:rPr>
        <w:t>:</w:t>
      </w:r>
      <w:r w:rsidRPr="008412FA">
        <w:t xml:space="preserve"> </w:t>
      </w:r>
    </w:p>
    <w:p w:rsidR="0013370C" w:rsidRPr="008412FA" w:rsidRDefault="0013370C" w:rsidP="0013370C">
      <w:pPr>
        <w:jc w:val="both"/>
      </w:pPr>
      <w:r>
        <w:rPr>
          <w:bCs/>
          <w:i/>
        </w:rPr>
        <w:t>Vzor kontrolného</w:t>
      </w:r>
      <w:r w:rsidRPr="008412FA">
        <w:rPr>
          <w:bCs/>
          <w:i/>
        </w:rPr>
        <w:t xml:space="preserve"> zoznam</w:t>
      </w:r>
      <w:r>
        <w:rPr>
          <w:bCs/>
          <w:i/>
        </w:rPr>
        <w:t>u</w:t>
      </w:r>
      <w:r w:rsidRPr="008412FA">
        <w:rPr>
          <w:bCs/>
          <w:i/>
        </w:rPr>
        <w:t xml:space="preserve"> na formálnu kontrolu hodnotiaceho hárku odborného hodnotenia žiadosti o nenávratný finančný príspevok</w:t>
      </w:r>
    </w:p>
    <w:p w:rsidR="0013370C" w:rsidRPr="008412FA" w:rsidRDefault="0013370C" w:rsidP="0013370C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9334" w:type="dxa"/>
        <w:tblInd w:w="-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13370C" w:rsidRPr="002365B8" w:rsidTr="0013370C">
        <w:trPr>
          <w:trHeight w:val="762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3370C" w:rsidRPr="002365B8" w:rsidRDefault="0013370C" w:rsidP="00FD17B3">
            <w:pPr>
              <w:spacing w:before="60"/>
              <w:rPr>
                <w:bCs/>
                <w:sz w:val="22"/>
                <w:szCs w:val="22"/>
              </w:rPr>
            </w:pPr>
            <w:r w:rsidRPr="002365B8">
              <w:rPr>
                <w:b/>
                <w:bCs/>
                <w:sz w:val="22"/>
                <w:szCs w:val="22"/>
              </w:rPr>
              <w:t>Meno hodnotiteľa</w:t>
            </w:r>
            <w:r w:rsidRPr="002365B8">
              <w:rPr>
                <w:bCs/>
                <w:sz w:val="22"/>
                <w:szCs w:val="22"/>
              </w:rPr>
              <w:t xml:space="preserve">: </w:t>
            </w:r>
          </w:p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 xml:space="preserve">Názov žiadosti o NFP: </w:t>
            </w:r>
          </w:p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 xml:space="preserve">Kód žiadosti o NFP: </w:t>
            </w:r>
          </w:p>
          <w:p w:rsidR="0013370C" w:rsidRPr="002365B8" w:rsidRDefault="0013370C" w:rsidP="00FD17B3">
            <w:pPr>
              <w:rPr>
                <w:sz w:val="22"/>
                <w:szCs w:val="22"/>
              </w:rPr>
            </w:pPr>
          </w:p>
          <w:p w:rsidR="0013370C" w:rsidRPr="002365B8" w:rsidRDefault="0013370C" w:rsidP="00FD17B3">
            <w:pPr>
              <w:rPr>
                <w:sz w:val="22"/>
                <w:szCs w:val="22"/>
              </w:rPr>
            </w:pPr>
          </w:p>
        </w:tc>
      </w:tr>
    </w:tbl>
    <w:p w:rsidR="0013370C" w:rsidRPr="002365B8" w:rsidRDefault="0013370C" w:rsidP="0013370C">
      <w:pPr>
        <w:jc w:val="center"/>
        <w:rPr>
          <w:b/>
          <w:i/>
          <w:sz w:val="22"/>
          <w:szCs w:val="22"/>
          <w:highlight w:val="lightGray"/>
        </w:rPr>
      </w:pPr>
    </w:p>
    <w:tbl>
      <w:tblPr>
        <w:tblW w:w="9334" w:type="dxa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5415"/>
        <w:gridCol w:w="506"/>
        <w:gridCol w:w="425"/>
        <w:gridCol w:w="425"/>
        <w:gridCol w:w="434"/>
        <w:gridCol w:w="1484"/>
      </w:tblGrid>
      <w:tr w:rsidR="0013370C" w:rsidRPr="002365B8" w:rsidTr="0013370C">
        <w:trPr>
          <w:trHeight w:val="502"/>
          <w:tblHeader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3370C" w:rsidRPr="002365B8" w:rsidRDefault="0013370C" w:rsidP="00FD17B3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8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3370C" w:rsidRPr="002365B8" w:rsidRDefault="0013370C" w:rsidP="00FD17B3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8">
              <w:rPr>
                <w:b/>
                <w:bCs/>
                <w:sz w:val="22"/>
                <w:szCs w:val="22"/>
              </w:rPr>
              <w:t>Kontrolné otázky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3370C" w:rsidRPr="002365B8" w:rsidRDefault="0013370C" w:rsidP="00FD17B3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8">
              <w:rPr>
                <w:b/>
                <w:bCs/>
                <w:sz w:val="22"/>
                <w:szCs w:val="22"/>
              </w:rPr>
              <w:t>áno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3370C" w:rsidRPr="002365B8" w:rsidRDefault="0013370C" w:rsidP="00FD17B3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8">
              <w:rPr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3370C" w:rsidRPr="002365B8" w:rsidRDefault="0013370C" w:rsidP="00FD17B3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8">
              <w:rPr>
                <w:b/>
                <w:bCs/>
                <w:sz w:val="22"/>
                <w:szCs w:val="22"/>
              </w:rPr>
              <w:t>iné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3370C" w:rsidRPr="002365B8" w:rsidRDefault="0013370C" w:rsidP="00FD17B3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8">
              <w:rPr>
                <w:b/>
                <w:bCs/>
                <w:sz w:val="22"/>
                <w:szCs w:val="22"/>
              </w:rPr>
              <w:t>Poznámka</w:t>
            </w:r>
          </w:p>
        </w:tc>
      </w:tr>
      <w:tr w:rsidR="0013370C" w:rsidRPr="002365B8" w:rsidTr="0013370C">
        <w:trPr>
          <w:trHeight w:val="3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jc w:val="center"/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Odovzdal hodnotiteľ všetku dokumentáciu, ktorú dostal pre potreby hodnotenia konkrétnej žiadosti o NFP ?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3370C" w:rsidRPr="002365B8" w:rsidTr="0013370C">
        <w:trPr>
          <w:trHeight w:val="3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jc w:val="center"/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Sú správne a úplne vyplnené údaje v hlavičke hodnotiaceho hárku?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3370C" w:rsidRPr="002365B8" w:rsidTr="0013370C">
        <w:trPr>
          <w:trHeight w:val="3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jc w:val="center"/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Uviedol hodnotiteľ zdôvodnenie ku každému kritériu?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3370C" w:rsidRPr="002365B8" w:rsidTr="0013370C">
        <w:trPr>
          <w:trHeight w:val="3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jc w:val="center"/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Zaznamenal hodnotiteľ správne, či žiadosť o NFP vyhovela, resp. nevyhovela (v časti „výsledok odborného hodnotenia“)?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3370C" w:rsidRPr="002365B8" w:rsidTr="0013370C">
        <w:trPr>
          <w:trHeight w:val="3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jc w:val="center"/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Je navrhovaná výška NFP v súlade so sumou oprávnených výdavkov v návrhu na zmenu rozpočtu?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3370C" w:rsidRPr="002365B8" w:rsidTr="0013370C">
        <w:trPr>
          <w:trHeight w:val="3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jc w:val="center"/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Sú všetky jednotkové ceny rovnaké alebo nižšie (v prípade zníženia jednotkovej ceny hodnotiteľom), ako uviedol žiadateľ v rozpočte žiadosti o NFP?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3370C" w:rsidRPr="002365B8" w:rsidTr="0013370C">
        <w:trPr>
          <w:trHeight w:val="3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jc w:val="center"/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Sú dodržané všetky limity, stanovené vo výzve (napr. pomer priamych a nepriamych výdavkov...)?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3370C" w:rsidRPr="002365B8" w:rsidTr="0013370C">
        <w:trPr>
          <w:trHeight w:val="3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jc w:val="center"/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Je hodnotiaci hár</w:t>
            </w:r>
            <w:r>
              <w:rPr>
                <w:sz w:val="22"/>
                <w:szCs w:val="22"/>
              </w:rPr>
              <w:t xml:space="preserve">ok podpísaný, je uvedený dátum a meno </w:t>
            </w:r>
            <w:r w:rsidRPr="002365B8">
              <w:rPr>
                <w:sz w:val="22"/>
                <w:szCs w:val="22"/>
              </w:rPr>
              <w:t xml:space="preserve"> hodnotiteľa?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70C" w:rsidRPr="002365B8" w:rsidRDefault="0013370C" w:rsidP="00FD17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3370C" w:rsidRPr="002365B8" w:rsidTr="0013370C">
        <w:trPr>
          <w:trHeight w:val="306"/>
        </w:trPr>
        <w:tc>
          <w:tcPr>
            <w:tcW w:w="6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3370C" w:rsidRPr="002365B8" w:rsidRDefault="0013370C" w:rsidP="00FD17B3">
            <w:pPr>
              <w:rPr>
                <w:b/>
                <w:bCs/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 </w:t>
            </w:r>
            <w:r w:rsidRPr="002365B8">
              <w:rPr>
                <w:b/>
                <w:bCs/>
                <w:sz w:val="22"/>
                <w:szCs w:val="22"/>
              </w:rPr>
              <w:t xml:space="preserve">Vypracoval: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 </w:t>
            </w:r>
          </w:p>
        </w:tc>
      </w:tr>
      <w:tr w:rsidR="0013370C" w:rsidRPr="002365B8" w:rsidTr="0013370C">
        <w:trPr>
          <w:trHeight w:val="255"/>
        </w:trPr>
        <w:tc>
          <w:tcPr>
            <w:tcW w:w="6060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 xml:space="preserve"> Meno a priezvisko: </w:t>
            </w: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 xml:space="preserve">Dátum: </w:t>
            </w:r>
          </w:p>
        </w:tc>
      </w:tr>
      <w:tr w:rsidR="0013370C" w:rsidRPr="002365B8" w:rsidTr="0013370C">
        <w:trPr>
          <w:trHeight w:val="255"/>
        </w:trPr>
        <w:tc>
          <w:tcPr>
            <w:tcW w:w="6060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 xml:space="preserve"> Pozícia: </w:t>
            </w: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13370C" w:rsidRPr="002365B8" w:rsidRDefault="0013370C" w:rsidP="00FD17B3">
            <w:pPr>
              <w:rPr>
                <w:sz w:val="22"/>
                <w:szCs w:val="22"/>
              </w:rPr>
            </w:pPr>
            <w:r w:rsidRPr="002365B8">
              <w:rPr>
                <w:sz w:val="22"/>
                <w:szCs w:val="22"/>
              </w:rPr>
              <w:t>Po</w:t>
            </w:r>
            <w:bookmarkStart w:id="0" w:name="_GoBack"/>
            <w:bookmarkEnd w:id="0"/>
            <w:r w:rsidRPr="002365B8">
              <w:rPr>
                <w:sz w:val="22"/>
                <w:szCs w:val="22"/>
              </w:rPr>
              <w:t>dpis:</w:t>
            </w:r>
          </w:p>
        </w:tc>
      </w:tr>
      <w:tr w:rsidR="0013370C" w:rsidRPr="008412FA" w:rsidTr="0013370C">
        <w:trPr>
          <w:trHeight w:val="201"/>
        </w:trPr>
        <w:tc>
          <w:tcPr>
            <w:tcW w:w="6060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13370C" w:rsidRPr="008412FA" w:rsidRDefault="0013370C" w:rsidP="00FD17B3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13370C" w:rsidRPr="008412FA" w:rsidRDefault="0013370C" w:rsidP="00FD17B3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3370C" w:rsidRPr="008412FA" w:rsidRDefault="0013370C" w:rsidP="00FD17B3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13370C" w:rsidRPr="008412FA" w:rsidRDefault="0013370C" w:rsidP="00FD17B3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13370C" w:rsidRPr="008412FA" w:rsidTr="0013370C">
        <w:trPr>
          <w:trHeight w:val="14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3370C" w:rsidRPr="008412FA" w:rsidRDefault="0013370C" w:rsidP="00FD17B3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70C" w:rsidRPr="008412FA" w:rsidRDefault="0013370C" w:rsidP="00FD17B3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370C" w:rsidRPr="008412FA" w:rsidRDefault="0013370C" w:rsidP="00FD17B3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370C" w:rsidRPr="008412FA" w:rsidRDefault="0013370C" w:rsidP="00FD17B3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370C" w:rsidRPr="008412FA" w:rsidRDefault="0013370C" w:rsidP="00FD17B3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13370C" w:rsidRPr="008412FA" w:rsidRDefault="0013370C" w:rsidP="0013370C">
      <w:pPr>
        <w:rPr>
          <w:rFonts w:ascii="Arial Narrow" w:hAnsi="Arial Narrow"/>
          <w:b/>
          <w:i/>
          <w:sz w:val="20"/>
          <w:szCs w:val="20"/>
          <w:highlight w:val="lightGray"/>
        </w:rPr>
      </w:pPr>
    </w:p>
    <w:p w:rsidR="0013370C" w:rsidRDefault="0013370C" w:rsidP="0013370C"/>
    <w:p w:rsidR="0013370C" w:rsidRPr="008412FA" w:rsidRDefault="0013370C" w:rsidP="0013370C">
      <w:pPr>
        <w:jc w:val="both"/>
      </w:pPr>
      <w:r>
        <w:t xml:space="preserve">Tento </w:t>
      </w:r>
      <w:r>
        <w:rPr>
          <w:bCs/>
          <w:i/>
        </w:rPr>
        <w:t>vzor kontrolného</w:t>
      </w:r>
      <w:r w:rsidRPr="008412FA">
        <w:rPr>
          <w:bCs/>
          <w:i/>
        </w:rPr>
        <w:t xml:space="preserve"> zoznam</w:t>
      </w:r>
      <w:r>
        <w:rPr>
          <w:bCs/>
          <w:i/>
        </w:rPr>
        <w:t>u</w:t>
      </w:r>
      <w:r w:rsidRPr="008412FA">
        <w:rPr>
          <w:bCs/>
          <w:i/>
        </w:rPr>
        <w:t xml:space="preserve"> na formálnu kontrolu hodnotiaceho hárku odborného hodnotenia žiadosti o nenávratný finančný príspevok</w:t>
      </w:r>
      <w:r>
        <w:t xml:space="preserve"> nie je pre RO povinný.</w:t>
      </w:r>
    </w:p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627EA3" w:rsidRDefault="00627EA3" w:rsidP="006479DF"/>
    <w:p w:rsidR="00071CD7" w:rsidRDefault="00071CD7" w:rsidP="006479DF"/>
    <w:sectPr w:rsidR="00071CD7" w:rsidSect="00627EA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5F" w:rsidRDefault="0076555F" w:rsidP="00B948E0">
      <w:r>
        <w:separator/>
      </w:r>
    </w:p>
  </w:endnote>
  <w:endnote w:type="continuationSeparator" w:id="0">
    <w:p w:rsidR="0076555F" w:rsidRDefault="0076555F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A3" w:rsidRDefault="00627EA3" w:rsidP="00627EA3">
    <w:pPr>
      <w:pStyle w:val="Pta"/>
      <w:jc w:val="right"/>
    </w:pPr>
    <w:r w:rsidRPr="00627EA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4F1000" wp14:editId="4B25B36E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D1F48E" id="Rovná spojnica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" strokecolor="#8064a2 [3207]" strokeweight="3pt">
              <v:shadow on="t" color="black" opacity="22937f" origin=",.5" offset="0,.63889mm"/>
            </v:line>
          </w:pict>
        </mc:Fallback>
      </mc:AlternateContent>
    </w:r>
    <w:r>
      <w:t xml:space="preserve"> </w:t>
    </w:r>
  </w:p>
  <w:p w:rsidR="00627EA3" w:rsidRDefault="00627EA3">
    <w:pPr>
      <w:pStyle w:val="Pta"/>
      <w:jc w:val="right"/>
    </w:pPr>
    <w:r w:rsidRPr="00627EA3">
      <w:rPr>
        <w:noProof/>
      </w:rPr>
      <w:drawing>
        <wp:anchor distT="0" distB="0" distL="114300" distR="114300" simplePos="0" relativeHeight="251662336" behindDoc="1" locked="0" layoutInCell="1" allowOverlap="1" wp14:anchorId="545F7051" wp14:editId="6C64ACE3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3370C">
          <w:rPr>
            <w:noProof/>
          </w:rPr>
          <w:t>9</w:t>
        </w:r>
        <w:r>
          <w:fldChar w:fldCharType="end"/>
        </w:r>
      </w:sdtContent>
    </w:sdt>
  </w:p>
  <w:p w:rsidR="00627EA3" w:rsidRPr="00627EA3" w:rsidRDefault="00627EA3" w:rsidP="00627E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5F" w:rsidRDefault="0076555F" w:rsidP="00B948E0">
      <w:r>
        <w:separator/>
      </w:r>
    </w:p>
  </w:footnote>
  <w:footnote w:type="continuationSeparator" w:id="0">
    <w:p w:rsidR="0076555F" w:rsidRDefault="0076555F" w:rsidP="00B948E0">
      <w:r>
        <w:continuationSeparator/>
      </w:r>
    </w:p>
  </w:footnote>
  <w:footnote w:id="1">
    <w:p w:rsidR="0013370C" w:rsidRDefault="0013370C" w:rsidP="0013370C">
      <w:pPr>
        <w:pStyle w:val="Textpoznmkypodiarou"/>
        <w:jc w:val="both"/>
      </w:pPr>
      <w:r>
        <w:rPr>
          <w:rStyle w:val="Odkaznapoznmkupodiarou"/>
          <w:rFonts w:eastAsiaTheme="majorEastAsia"/>
        </w:rPr>
        <w:footnoteRef/>
      </w:r>
      <w:r>
        <w:t xml:space="preserve"> </w:t>
      </w:r>
      <w:r w:rsidRPr="003874E2">
        <w:t>Konflikt záujmov upravuje §</w:t>
      </w:r>
      <w:r>
        <w:t xml:space="preserve"> 46 zákona o príspevku z EŠIF a </w:t>
      </w:r>
      <w:r w:rsidRPr="003874E2">
        <w:t>Metodick</w:t>
      </w:r>
      <w:r>
        <w:t>ý pokyn</w:t>
      </w:r>
      <w:r w:rsidRPr="003874E2">
        <w:t xml:space="preserve"> č.29  k v</w:t>
      </w:r>
      <w:r>
        <w:t>ýberu odborných hodnotiteľov.</w:t>
      </w:r>
    </w:p>
  </w:footnote>
  <w:footnote w:id="2">
    <w:p w:rsidR="0013370C" w:rsidRDefault="0013370C" w:rsidP="0013370C">
      <w:pPr>
        <w:pStyle w:val="Textpoznmkypodiarou"/>
        <w:jc w:val="both"/>
      </w:pPr>
      <w:r>
        <w:rPr>
          <w:rStyle w:val="Odkaznapoznmkupodiarou"/>
          <w:rFonts w:eastAsiaTheme="majorEastAsia"/>
        </w:rPr>
        <w:footnoteRef/>
      </w:r>
      <w:r>
        <w:t xml:space="preserve"> V rámci Príručky pre odborných hodnotiteľov</w:t>
      </w:r>
      <w:r w:rsidRPr="00085B32">
        <w:t xml:space="preserve"> </w:t>
      </w:r>
      <w:r>
        <w:t>môže uviesť</w:t>
      </w:r>
      <w:r w:rsidRPr="00085B32">
        <w:t xml:space="preserve"> RO informáciu o individuálnom hodnotiacom hárku, že jeho vzor je totožný so spoločným hodnotiacim hárkom odborného hodnotenia ŽoNFP, pričom ho podpisuje iba ten odborný hodnotiteľ, ktorý ho vypracoval</w:t>
      </w:r>
      <w:r>
        <w:t xml:space="preserve">. V tom prípade, RO nemusí dať </w:t>
      </w:r>
      <w:r w:rsidRPr="0003423D">
        <w:rPr>
          <w:i/>
        </w:rPr>
        <w:t xml:space="preserve">Formulár Individuálneho hodnotiaceho hárku odborného hodnotenia ŽoNFP </w:t>
      </w:r>
      <w:r>
        <w:t>ako prílohu príručky pre odborných hodnotiteľov.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A3" w:rsidRDefault="00627EA3" w:rsidP="00627EA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18A210" wp14:editId="0C0E0B1E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2E62FB" id="Rovná spojnica 3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" strokecolor="#8064a2 [3207]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2070840989"/>
      <w:placeholder>
        <w:docPart w:val="158B50881119422A80FAA77FD3ABFABC"/>
      </w:placeholder>
      <w:date w:fullDate="2017-12-22T00:00:00Z">
        <w:dateFormat w:val="dd.MM.yyyy"/>
        <w:lid w:val="sk-SK"/>
        <w:storeMappedDataAs w:val="dateTime"/>
        <w:calendar w:val="gregorian"/>
      </w:date>
    </w:sdtPr>
    <w:sdtEndPr/>
    <w:sdtContent>
      <w:p w:rsidR="00627EA3" w:rsidRPr="00627EA3" w:rsidRDefault="0013370C" w:rsidP="00627EA3">
        <w:pPr>
          <w:pStyle w:val="Hlavika"/>
          <w:jc w:val="right"/>
        </w:pPr>
        <w:r>
          <w:rPr>
            <w:szCs w:val="20"/>
          </w:rPr>
          <w:t>22.12.2017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1F11"/>
    <w:multiLevelType w:val="multilevel"/>
    <w:tmpl w:val="885CB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141A"/>
    <w:multiLevelType w:val="hybridMultilevel"/>
    <w:tmpl w:val="CCA46D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54816"/>
    <w:multiLevelType w:val="hybridMultilevel"/>
    <w:tmpl w:val="D674C3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732FB"/>
    <w:multiLevelType w:val="hybridMultilevel"/>
    <w:tmpl w:val="45E4BC36"/>
    <w:lvl w:ilvl="0" w:tplc="FE70B0A6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8698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F583F"/>
    <w:multiLevelType w:val="hybridMultilevel"/>
    <w:tmpl w:val="3E9AEB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47930"/>
    <w:rsid w:val="00050728"/>
    <w:rsid w:val="00066955"/>
    <w:rsid w:val="00071088"/>
    <w:rsid w:val="00071CD7"/>
    <w:rsid w:val="000D298C"/>
    <w:rsid w:val="000D6B86"/>
    <w:rsid w:val="000E2AA4"/>
    <w:rsid w:val="00116F61"/>
    <w:rsid w:val="0013370C"/>
    <w:rsid w:val="0013382C"/>
    <w:rsid w:val="0014641E"/>
    <w:rsid w:val="0015233E"/>
    <w:rsid w:val="00173917"/>
    <w:rsid w:val="001873B5"/>
    <w:rsid w:val="001B12DC"/>
    <w:rsid w:val="001B27DA"/>
    <w:rsid w:val="001B6E9F"/>
    <w:rsid w:val="001C513F"/>
    <w:rsid w:val="001D4B25"/>
    <w:rsid w:val="001F0193"/>
    <w:rsid w:val="002259C4"/>
    <w:rsid w:val="00225A05"/>
    <w:rsid w:val="00246970"/>
    <w:rsid w:val="00256687"/>
    <w:rsid w:val="00274479"/>
    <w:rsid w:val="002A1E17"/>
    <w:rsid w:val="002D65BD"/>
    <w:rsid w:val="002E3888"/>
    <w:rsid w:val="002E611C"/>
    <w:rsid w:val="002E7F32"/>
    <w:rsid w:val="002E7F66"/>
    <w:rsid w:val="00386CBA"/>
    <w:rsid w:val="003A67E1"/>
    <w:rsid w:val="003B0DFE"/>
    <w:rsid w:val="003B2F8A"/>
    <w:rsid w:val="003B61C8"/>
    <w:rsid w:val="003C2544"/>
    <w:rsid w:val="003D0894"/>
    <w:rsid w:val="003D568C"/>
    <w:rsid w:val="00416E2D"/>
    <w:rsid w:val="00431EE0"/>
    <w:rsid w:val="00432DF1"/>
    <w:rsid w:val="004445A9"/>
    <w:rsid w:val="004470FB"/>
    <w:rsid w:val="00477B8E"/>
    <w:rsid w:val="00490AF9"/>
    <w:rsid w:val="00493F0A"/>
    <w:rsid w:val="004A0829"/>
    <w:rsid w:val="004C1071"/>
    <w:rsid w:val="004E2120"/>
    <w:rsid w:val="004E3ABD"/>
    <w:rsid w:val="005122F6"/>
    <w:rsid w:val="00541FF5"/>
    <w:rsid w:val="005800C7"/>
    <w:rsid w:val="00580A58"/>
    <w:rsid w:val="00586FDB"/>
    <w:rsid w:val="005B49EF"/>
    <w:rsid w:val="005F5B71"/>
    <w:rsid w:val="00622D7A"/>
    <w:rsid w:val="00627EA3"/>
    <w:rsid w:val="006479DF"/>
    <w:rsid w:val="00660DCB"/>
    <w:rsid w:val="006719A0"/>
    <w:rsid w:val="00687102"/>
    <w:rsid w:val="006A5157"/>
    <w:rsid w:val="006A7DF2"/>
    <w:rsid w:val="006C6A25"/>
    <w:rsid w:val="006D082A"/>
    <w:rsid w:val="006D3B82"/>
    <w:rsid w:val="006F15B4"/>
    <w:rsid w:val="0076414C"/>
    <w:rsid w:val="00765555"/>
    <w:rsid w:val="0076555F"/>
    <w:rsid w:val="00771CC6"/>
    <w:rsid w:val="00782970"/>
    <w:rsid w:val="007A60EF"/>
    <w:rsid w:val="007F0D9A"/>
    <w:rsid w:val="00801225"/>
    <w:rsid w:val="0084743A"/>
    <w:rsid w:val="008743E6"/>
    <w:rsid w:val="008806AC"/>
    <w:rsid w:val="008C271F"/>
    <w:rsid w:val="008D0F9C"/>
    <w:rsid w:val="008F2627"/>
    <w:rsid w:val="0090110D"/>
    <w:rsid w:val="00911D80"/>
    <w:rsid w:val="00926284"/>
    <w:rsid w:val="00977CF6"/>
    <w:rsid w:val="009836CF"/>
    <w:rsid w:val="009B421D"/>
    <w:rsid w:val="00A144AE"/>
    <w:rsid w:val="00A9254C"/>
    <w:rsid w:val="00AB755C"/>
    <w:rsid w:val="00B12061"/>
    <w:rsid w:val="00B315E9"/>
    <w:rsid w:val="00B4284E"/>
    <w:rsid w:val="00B53B4A"/>
    <w:rsid w:val="00B713AF"/>
    <w:rsid w:val="00B90222"/>
    <w:rsid w:val="00B948E0"/>
    <w:rsid w:val="00BA13ED"/>
    <w:rsid w:val="00BA4376"/>
    <w:rsid w:val="00BC4BAC"/>
    <w:rsid w:val="00BF50ED"/>
    <w:rsid w:val="00C214B6"/>
    <w:rsid w:val="00C348A2"/>
    <w:rsid w:val="00C53567"/>
    <w:rsid w:val="00C6439D"/>
    <w:rsid w:val="00C92BF0"/>
    <w:rsid w:val="00CA208E"/>
    <w:rsid w:val="00CB33DE"/>
    <w:rsid w:val="00CD3D13"/>
    <w:rsid w:val="00D05350"/>
    <w:rsid w:val="00D61BB6"/>
    <w:rsid w:val="00D86DA2"/>
    <w:rsid w:val="00DB3113"/>
    <w:rsid w:val="00DB798B"/>
    <w:rsid w:val="00E52D37"/>
    <w:rsid w:val="00E5416A"/>
    <w:rsid w:val="00E742C1"/>
    <w:rsid w:val="00E74EA1"/>
    <w:rsid w:val="00E7702D"/>
    <w:rsid w:val="00EE70FE"/>
    <w:rsid w:val="00EF44C1"/>
    <w:rsid w:val="00F0607A"/>
    <w:rsid w:val="00F10B9D"/>
    <w:rsid w:val="00F27075"/>
    <w:rsid w:val="00F854AC"/>
    <w:rsid w:val="00F97E8C"/>
    <w:rsid w:val="00FC04A6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63BEB"/>
  <w15:docId w15:val="{527AAFB3-E290-4DCB-ACDE-2D97F1E4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37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337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character" w:customStyle="1" w:styleId="Nadpis1Char">
    <w:name w:val="Nadpis 1 Char"/>
    <w:basedOn w:val="Predvolenpsmoodseku"/>
    <w:link w:val="Nadpis1"/>
    <w:uiPriority w:val="9"/>
    <w:rsid w:val="001337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customStyle="1" w:styleId="MPCKO1">
    <w:name w:val="MP CKO 1"/>
    <w:basedOn w:val="Nadpis2"/>
    <w:next w:val="Normlny"/>
    <w:qFormat/>
    <w:rsid w:val="0013370C"/>
    <w:pPr>
      <w:pBdr>
        <w:bottom w:val="single" w:sz="8" w:space="4" w:color="4F81BD" w:themeColor="accent1"/>
      </w:pBdr>
      <w:spacing w:before="200" w:after="300"/>
    </w:pPr>
    <w:rPr>
      <w:rFonts w:ascii="Times New Roman" w:hAnsi="Times New Roman"/>
      <w:b/>
      <w:bCs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337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3370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133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80D784-2070-4DFA-A2D2-501DD51E9A67}"/>
      </w:docPartPr>
      <w:docPartBody>
        <w:p w:rsidR="00616C33" w:rsidRDefault="00C16CB5"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DD8C56F5396145BBB819E25B80F3F0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16327F-B264-4748-AE05-522764FA73DF}"/>
      </w:docPartPr>
      <w:docPartBody>
        <w:p w:rsidR="00616C33" w:rsidRDefault="00C16CB5" w:rsidP="00C16CB5">
          <w:pPr>
            <w:pStyle w:val="DD8C56F5396145BBB819E25B80F3F0AE1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A1DE1FAF9C3142D9B35DEB35D3F613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C5DC39-D9A6-461C-976C-7A1EC3C66119}"/>
      </w:docPartPr>
      <w:docPartBody>
        <w:p w:rsidR="00616C33" w:rsidRDefault="00C16CB5" w:rsidP="00C16CB5">
          <w:pPr>
            <w:pStyle w:val="A1DE1FAF9C3142D9B35DEB35D3F6137F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A9F731F61A7042F186F5DB555D9179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1BC267-285B-4322-A8B2-DE4A29A52CB6}"/>
      </w:docPartPr>
      <w:docPartBody>
        <w:p w:rsidR="00616C33" w:rsidRDefault="00C16CB5" w:rsidP="00C16CB5">
          <w:pPr>
            <w:pStyle w:val="A9F731F61A7042F186F5DB555D917909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C438CDECBB774123926E36EC328124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EAA706-9665-4547-B3B8-D9FA0721F29F}"/>
      </w:docPartPr>
      <w:docPartBody>
        <w:p w:rsidR="00DF1217" w:rsidRDefault="00FF3250" w:rsidP="00FF3250">
          <w:pPr>
            <w:pStyle w:val="C438CDECBB774123926E36EC328124C8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158B50881119422A80FAA77FD3ABFA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5089B2-4D9E-4263-8647-8B8625BEFF66}"/>
      </w:docPartPr>
      <w:docPartBody>
        <w:p w:rsidR="003D2703" w:rsidRDefault="00B12684" w:rsidP="00B12684">
          <w:pPr>
            <w:pStyle w:val="158B50881119422A80FAA77FD3ABFABC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B5"/>
    <w:rsid w:val="000B3A71"/>
    <w:rsid w:val="000E30BC"/>
    <w:rsid w:val="00140858"/>
    <w:rsid w:val="002C3A22"/>
    <w:rsid w:val="003D2703"/>
    <w:rsid w:val="00500067"/>
    <w:rsid w:val="00616C33"/>
    <w:rsid w:val="00695953"/>
    <w:rsid w:val="007B0128"/>
    <w:rsid w:val="008225C7"/>
    <w:rsid w:val="00845353"/>
    <w:rsid w:val="0085402B"/>
    <w:rsid w:val="00B12684"/>
    <w:rsid w:val="00C16CB5"/>
    <w:rsid w:val="00CE2D99"/>
    <w:rsid w:val="00DF1217"/>
    <w:rsid w:val="00F37E3B"/>
    <w:rsid w:val="00F76E64"/>
    <w:rsid w:val="00FB660B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12684"/>
    <w:rPr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0DDBCD821CF2456F8A802A916666D852">
    <w:name w:val="0DDBCD821CF2456F8A802A916666D852"/>
    <w:rsid w:val="00B12684"/>
  </w:style>
  <w:style w:type="paragraph" w:customStyle="1" w:styleId="C0618EA2486B41B6886771D7032AFFA2">
    <w:name w:val="C0618EA2486B41B6886771D7032AFFA2"/>
    <w:rsid w:val="00B12684"/>
  </w:style>
  <w:style w:type="paragraph" w:customStyle="1" w:styleId="9291883C089D4AE6ADFCAEF4EA713755">
    <w:name w:val="9291883C089D4AE6ADFCAEF4EA713755"/>
    <w:rsid w:val="00B12684"/>
  </w:style>
  <w:style w:type="paragraph" w:customStyle="1" w:styleId="158B50881119422A80FAA77FD3ABFABC">
    <w:name w:val="158B50881119422A80FAA77FD3ABFABC"/>
    <w:rsid w:val="00B12684"/>
  </w:style>
  <w:style w:type="paragraph" w:customStyle="1" w:styleId="228610352EC045A78B45B63D2FF155F7">
    <w:name w:val="228610352EC045A78B45B63D2FF155F7"/>
    <w:rsid w:val="00B12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68DD-9409-4174-9A05-90A9038B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Tibor Barna</cp:lastModifiedBy>
  <cp:revision>2</cp:revision>
  <cp:lastPrinted>2014-06-27T08:05:00Z</cp:lastPrinted>
  <dcterms:created xsi:type="dcterms:W3CDTF">2017-12-22T07:59:00Z</dcterms:created>
  <dcterms:modified xsi:type="dcterms:W3CDTF">2017-12-22T07:59:00Z</dcterms:modified>
</cp:coreProperties>
</file>