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48" w:rsidRDefault="00316BD1" w:rsidP="00316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GB"/>
        </w:rPr>
      </w:pPr>
      <w:r w:rsidRPr="00316BD1">
        <w:rPr>
          <w:rFonts w:ascii="Times New Roman" w:hAnsi="Times New Roman"/>
          <w:b/>
          <w:sz w:val="28"/>
          <w:szCs w:val="28"/>
          <w:lang w:eastAsia="en-GB"/>
        </w:rPr>
        <w:t>Revízia Partnerskej dohody S</w:t>
      </w:r>
      <w:r w:rsidR="004C2143">
        <w:rPr>
          <w:rFonts w:ascii="Times New Roman" w:hAnsi="Times New Roman"/>
          <w:b/>
          <w:sz w:val="28"/>
          <w:szCs w:val="28"/>
          <w:lang w:eastAsia="en-GB"/>
        </w:rPr>
        <w:t>lovenskej republiky</w:t>
      </w:r>
      <w:r w:rsidRPr="00316BD1">
        <w:rPr>
          <w:rFonts w:ascii="Times New Roman" w:hAnsi="Times New Roman"/>
          <w:b/>
          <w:sz w:val="28"/>
          <w:szCs w:val="28"/>
          <w:lang w:eastAsia="en-GB"/>
        </w:rPr>
        <w:t xml:space="preserve"> </w:t>
      </w:r>
      <w:r w:rsidR="004C2143">
        <w:rPr>
          <w:rFonts w:ascii="Times New Roman" w:hAnsi="Times New Roman"/>
          <w:b/>
          <w:sz w:val="28"/>
          <w:szCs w:val="28"/>
          <w:lang w:eastAsia="en-GB"/>
        </w:rPr>
        <w:t xml:space="preserve">na roky </w:t>
      </w:r>
      <w:r w:rsidRPr="00316BD1">
        <w:rPr>
          <w:rFonts w:ascii="Times New Roman" w:hAnsi="Times New Roman"/>
          <w:b/>
          <w:sz w:val="28"/>
          <w:szCs w:val="28"/>
          <w:lang w:eastAsia="en-GB"/>
        </w:rPr>
        <w:t>2014 – 2020</w:t>
      </w:r>
    </w:p>
    <w:p w:rsidR="00316BD1" w:rsidRDefault="00316BD1" w:rsidP="00316B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</w:p>
    <w:p w:rsidR="0041575A" w:rsidRDefault="0041575A" w:rsidP="00F16D2A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16BD1" w:rsidRDefault="00663948" w:rsidP="00F16D2A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663948">
        <w:rPr>
          <w:rFonts w:ascii="Times New Roman" w:hAnsi="Times New Roman"/>
          <w:sz w:val="24"/>
          <w:szCs w:val="24"/>
          <w:lang w:eastAsia="en-GB"/>
        </w:rPr>
        <w:t>Predkladaný materiál po</w:t>
      </w:r>
      <w:r w:rsidR="001A6F7A">
        <w:rPr>
          <w:rFonts w:ascii="Times New Roman" w:hAnsi="Times New Roman"/>
          <w:sz w:val="24"/>
          <w:szCs w:val="24"/>
          <w:lang w:eastAsia="en-GB"/>
        </w:rPr>
        <w:t>skytuje</w:t>
      </w:r>
      <w:r w:rsidRPr="00663948">
        <w:rPr>
          <w:rFonts w:ascii="Times New Roman" w:hAnsi="Times New Roman"/>
          <w:sz w:val="24"/>
          <w:szCs w:val="24"/>
          <w:lang w:eastAsia="en-GB"/>
        </w:rPr>
        <w:t xml:space="preserve"> ucelenú informáciu o zmenách, </w:t>
      </w:r>
      <w:r w:rsidR="00F07640">
        <w:rPr>
          <w:rFonts w:ascii="Times New Roman" w:hAnsi="Times New Roman"/>
          <w:sz w:val="24"/>
          <w:szCs w:val="24"/>
          <w:lang w:eastAsia="en-GB"/>
        </w:rPr>
        <w:t xml:space="preserve">ktoré boli vykonané </w:t>
      </w:r>
      <w:r w:rsidR="00F07640">
        <w:rPr>
          <w:rFonts w:ascii="Times New Roman" w:hAnsi="Times New Roman"/>
          <w:sz w:val="24"/>
          <w:szCs w:val="24"/>
          <w:lang w:eastAsia="en-GB"/>
        </w:rPr>
        <w:br/>
      </w:r>
      <w:r w:rsidRPr="00663948">
        <w:rPr>
          <w:rFonts w:ascii="Times New Roman" w:hAnsi="Times New Roman"/>
          <w:sz w:val="24"/>
          <w:szCs w:val="24"/>
          <w:lang w:eastAsia="en-GB"/>
        </w:rPr>
        <w:t>v Partnerskej dohode Slovenskej republiky na roky 2014 – 2020 (</w:t>
      </w:r>
      <w:r w:rsidR="001A6F7A">
        <w:rPr>
          <w:rFonts w:ascii="Times New Roman" w:hAnsi="Times New Roman"/>
          <w:sz w:val="24"/>
          <w:szCs w:val="24"/>
          <w:lang w:eastAsia="en-GB"/>
        </w:rPr>
        <w:t>ďalej len „</w:t>
      </w:r>
      <w:r w:rsidRPr="00663948">
        <w:rPr>
          <w:rFonts w:ascii="Times New Roman" w:hAnsi="Times New Roman"/>
          <w:sz w:val="24"/>
          <w:szCs w:val="24"/>
          <w:lang w:eastAsia="en-GB"/>
        </w:rPr>
        <w:t>PD SR</w:t>
      </w:r>
      <w:r w:rsidR="001A6F7A">
        <w:rPr>
          <w:rFonts w:ascii="Times New Roman" w:hAnsi="Times New Roman"/>
          <w:sz w:val="24"/>
          <w:szCs w:val="24"/>
          <w:lang w:eastAsia="en-GB"/>
        </w:rPr>
        <w:t>“</w:t>
      </w:r>
      <w:r w:rsidRPr="00663948">
        <w:rPr>
          <w:rFonts w:ascii="Times New Roman" w:hAnsi="Times New Roman"/>
          <w:sz w:val="24"/>
          <w:szCs w:val="24"/>
          <w:lang w:eastAsia="en-GB"/>
        </w:rPr>
        <w:t>)</w:t>
      </w:r>
      <w:r w:rsidR="001A6F7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316BD1" w:rsidRPr="00316BD1">
        <w:rPr>
          <w:rFonts w:ascii="Times New Roman" w:hAnsi="Times New Roman"/>
          <w:sz w:val="24"/>
          <w:szCs w:val="24"/>
          <w:lang w:eastAsia="en-GB"/>
        </w:rPr>
        <w:t>schválen</w:t>
      </w:r>
      <w:r w:rsidR="001A6F7A">
        <w:rPr>
          <w:rFonts w:ascii="Times New Roman" w:hAnsi="Times New Roman"/>
          <w:sz w:val="24"/>
          <w:szCs w:val="24"/>
          <w:lang w:eastAsia="en-GB"/>
        </w:rPr>
        <w:t>ej</w:t>
      </w:r>
      <w:r w:rsidR="00316BD1" w:rsidRPr="00316BD1">
        <w:rPr>
          <w:rFonts w:ascii="Times New Roman" w:hAnsi="Times New Roman"/>
          <w:sz w:val="24"/>
          <w:szCs w:val="24"/>
          <w:lang w:eastAsia="en-GB"/>
        </w:rPr>
        <w:t xml:space="preserve"> E</w:t>
      </w:r>
      <w:r w:rsidR="00316BD1">
        <w:rPr>
          <w:rFonts w:ascii="Times New Roman" w:hAnsi="Times New Roman"/>
          <w:sz w:val="24"/>
          <w:szCs w:val="24"/>
          <w:lang w:eastAsia="en-GB"/>
        </w:rPr>
        <w:t>urópskou komisiou (</w:t>
      </w:r>
      <w:r w:rsidR="001A6F7A">
        <w:rPr>
          <w:rFonts w:ascii="Times New Roman" w:hAnsi="Times New Roman"/>
          <w:sz w:val="24"/>
          <w:szCs w:val="24"/>
          <w:lang w:eastAsia="en-GB"/>
        </w:rPr>
        <w:t>ďalej len „</w:t>
      </w:r>
      <w:r w:rsidR="00316BD1">
        <w:rPr>
          <w:rFonts w:ascii="Times New Roman" w:hAnsi="Times New Roman"/>
          <w:sz w:val="24"/>
          <w:szCs w:val="24"/>
          <w:lang w:eastAsia="en-GB"/>
        </w:rPr>
        <w:t>E</w:t>
      </w:r>
      <w:r w:rsidR="00316BD1" w:rsidRPr="00316BD1">
        <w:rPr>
          <w:rFonts w:ascii="Times New Roman" w:hAnsi="Times New Roman"/>
          <w:sz w:val="24"/>
          <w:szCs w:val="24"/>
          <w:lang w:eastAsia="en-GB"/>
        </w:rPr>
        <w:t>K</w:t>
      </w:r>
      <w:r w:rsidR="001A6F7A">
        <w:rPr>
          <w:rFonts w:ascii="Times New Roman" w:hAnsi="Times New Roman"/>
          <w:sz w:val="24"/>
          <w:szCs w:val="24"/>
          <w:lang w:eastAsia="en-GB"/>
        </w:rPr>
        <w:t>“</w:t>
      </w:r>
      <w:r w:rsidR="00316BD1">
        <w:rPr>
          <w:rFonts w:ascii="Times New Roman" w:hAnsi="Times New Roman"/>
          <w:sz w:val="24"/>
          <w:szCs w:val="24"/>
          <w:lang w:eastAsia="en-GB"/>
        </w:rPr>
        <w:t>)</w:t>
      </w:r>
      <w:r w:rsidR="00316BD1" w:rsidRPr="00316BD1">
        <w:rPr>
          <w:rFonts w:ascii="Times New Roman" w:hAnsi="Times New Roman"/>
          <w:sz w:val="24"/>
          <w:szCs w:val="24"/>
          <w:lang w:eastAsia="en-GB"/>
        </w:rPr>
        <w:t xml:space="preserve"> v júni 2014</w:t>
      </w:r>
      <w:r w:rsidR="008131C0">
        <w:rPr>
          <w:rFonts w:ascii="Times New Roman" w:hAnsi="Times New Roman"/>
          <w:sz w:val="24"/>
          <w:szCs w:val="24"/>
          <w:lang w:eastAsia="en-GB"/>
        </w:rPr>
        <w:t>.</w:t>
      </w:r>
      <w:r w:rsidR="001A6F7A">
        <w:rPr>
          <w:rFonts w:ascii="Times New Roman" w:hAnsi="Times New Roman"/>
          <w:sz w:val="24"/>
          <w:szCs w:val="24"/>
          <w:lang w:eastAsia="en-GB"/>
        </w:rPr>
        <w:t xml:space="preserve"> Revízia</w:t>
      </w:r>
      <w:r w:rsidR="008131C0">
        <w:rPr>
          <w:rFonts w:ascii="Times New Roman" w:hAnsi="Times New Roman"/>
          <w:sz w:val="24"/>
          <w:szCs w:val="24"/>
          <w:lang w:eastAsia="en-GB"/>
        </w:rPr>
        <w:t xml:space="preserve"> PD SR </w:t>
      </w:r>
      <w:r w:rsidR="002A0E9C">
        <w:rPr>
          <w:rFonts w:ascii="Times New Roman" w:hAnsi="Times New Roman"/>
          <w:sz w:val="24"/>
          <w:szCs w:val="24"/>
          <w:lang w:eastAsia="en-GB"/>
        </w:rPr>
        <w:t>sa uskutočnila v</w:t>
      </w:r>
      <w:r w:rsidR="008131C0">
        <w:rPr>
          <w:rFonts w:ascii="Times New Roman" w:hAnsi="Times New Roman"/>
          <w:sz w:val="24"/>
          <w:szCs w:val="24"/>
          <w:lang w:eastAsia="en-GB"/>
        </w:rPr>
        <w:t> </w:t>
      </w:r>
      <w:r w:rsidR="001A6F7A">
        <w:rPr>
          <w:rFonts w:ascii="Times New Roman" w:hAnsi="Times New Roman"/>
          <w:sz w:val="24"/>
          <w:szCs w:val="24"/>
          <w:lang w:eastAsia="en-GB"/>
        </w:rPr>
        <w:t>dvoch</w:t>
      </w:r>
      <w:r w:rsidR="008131C0">
        <w:rPr>
          <w:rFonts w:ascii="Times New Roman" w:hAnsi="Times New Roman"/>
          <w:sz w:val="24"/>
          <w:szCs w:val="24"/>
          <w:lang w:eastAsia="en-GB"/>
        </w:rPr>
        <w:t xml:space="preserve"> krokoch</w:t>
      </w:r>
      <w:r w:rsidR="001A6F7A">
        <w:rPr>
          <w:rFonts w:ascii="Times New Roman" w:hAnsi="Times New Roman"/>
          <w:sz w:val="24"/>
          <w:szCs w:val="24"/>
          <w:lang w:eastAsia="en-GB"/>
        </w:rPr>
        <w:t>:</w:t>
      </w:r>
      <w:r w:rsidR="00316BD1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:rsidR="00316BD1" w:rsidRPr="005D5102" w:rsidRDefault="001A6F7A" w:rsidP="00F16D2A">
      <w:pPr>
        <w:pStyle w:val="Odsekzoznamu"/>
        <w:numPr>
          <w:ilvl w:val="0"/>
          <w:numId w:val="23"/>
        </w:numPr>
        <w:spacing w:after="0"/>
        <w:ind w:hanging="436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v</w:t>
      </w:r>
      <w:r w:rsidR="00316BD1" w:rsidRPr="005D5102">
        <w:rPr>
          <w:rFonts w:ascii="Times New Roman" w:hAnsi="Times New Roman"/>
          <w:sz w:val="24"/>
          <w:szCs w:val="24"/>
          <w:lang w:eastAsia="en-GB"/>
        </w:rPr>
        <w:t xml:space="preserve"> prvom kroku bola PD SR </w:t>
      </w:r>
      <w:r>
        <w:rPr>
          <w:rFonts w:ascii="Times New Roman" w:hAnsi="Times New Roman"/>
          <w:sz w:val="24"/>
          <w:szCs w:val="24"/>
          <w:lang w:eastAsia="en-GB"/>
        </w:rPr>
        <w:t>aktualizovaná</w:t>
      </w:r>
      <w:r w:rsidR="00663948" w:rsidRPr="005D5102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316BD1" w:rsidRPr="005D5102">
        <w:rPr>
          <w:rFonts w:ascii="Times New Roman" w:hAnsi="Times New Roman"/>
          <w:sz w:val="24"/>
          <w:szCs w:val="24"/>
          <w:lang w:eastAsia="en-GB"/>
        </w:rPr>
        <w:t>na základe</w:t>
      </w:r>
      <w:r w:rsidR="00663948" w:rsidRPr="005D5102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0F5739" w:rsidRPr="005D5102">
        <w:rPr>
          <w:rFonts w:ascii="Times New Roman" w:hAnsi="Times New Roman"/>
          <w:sz w:val="24"/>
          <w:szCs w:val="24"/>
          <w:lang w:eastAsia="en-GB"/>
        </w:rPr>
        <w:t>potreby</w:t>
      </w:r>
      <w:r>
        <w:rPr>
          <w:rFonts w:ascii="Times New Roman" w:hAnsi="Times New Roman"/>
          <w:sz w:val="24"/>
          <w:szCs w:val="24"/>
          <w:lang w:eastAsia="en-GB"/>
        </w:rPr>
        <w:t xml:space="preserve"> jej</w:t>
      </w:r>
      <w:r w:rsidR="000F5739" w:rsidRPr="005D5102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663948" w:rsidRPr="005D5102">
        <w:rPr>
          <w:rFonts w:ascii="Times New Roman" w:hAnsi="Times New Roman"/>
          <w:sz w:val="24"/>
          <w:szCs w:val="24"/>
          <w:lang w:eastAsia="en-GB"/>
        </w:rPr>
        <w:t>zosúladenia s</w:t>
      </w:r>
      <w:r w:rsidR="00F20342">
        <w:rPr>
          <w:rFonts w:ascii="Times New Roman" w:hAnsi="Times New Roman"/>
          <w:sz w:val="24"/>
          <w:szCs w:val="24"/>
          <w:lang w:eastAsia="en-GB"/>
        </w:rPr>
        <w:t> </w:t>
      </w:r>
      <w:r>
        <w:rPr>
          <w:rFonts w:ascii="Times New Roman" w:hAnsi="Times New Roman"/>
          <w:sz w:val="24"/>
          <w:szCs w:val="24"/>
          <w:lang w:eastAsia="en-GB"/>
        </w:rPr>
        <w:t>platným</w:t>
      </w:r>
      <w:r w:rsidR="00663948" w:rsidRPr="005D5102">
        <w:rPr>
          <w:rFonts w:ascii="Times New Roman" w:hAnsi="Times New Roman"/>
          <w:sz w:val="24"/>
          <w:szCs w:val="24"/>
          <w:lang w:eastAsia="en-GB"/>
        </w:rPr>
        <w:t xml:space="preserve"> znením </w:t>
      </w:r>
      <w:r>
        <w:rPr>
          <w:rFonts w:ascii="Times New Roman" w:hAnsi="Times New Roman"/>
          <w:sz w:val="24"/>
          <w:szCs w:val="24"/>
          <w:lang w:eastAsia="en-GB"/>
        </w:rPr>
        <w:t xml:space="preserve">operačných </w:t>
      </w:r>
      <w:r w:rsidR="00663948" w:rsidRPr="005D5102">
        <w:rPr>
          <w:rFonts w:ascii="Times New Roman" w:hAnsi="Times New Roman"/>
          <w:sz w:val="24"/>
          <w:szCs w:val="24"/>
          <w:lang w:eastAsia="en-GB"/>
        </w:rPr>
        <w:t xml:space="preserve">programov SR </w:t>
      </w:r>
      <w:r w:rsidR="00665FBE">
        <w:rPr>
          <w:rFonts w:ascii="Times New Roman" w:hAnsi="Times New Roman"/>
          <w:sz w:val="24"/>
          <w:szCs w:val="24"/>
          <w:lang w:eastAsia="en-GB"/>
        </w:rPr>
        <w:t xml:space="preserve">(ďalej len „OP“) </w:t>
      </w:r>
      <w:r w:rsidR="00663948" w:rsidRPr="005D5102">
        <w:rPr>
          <w:rFonts w:ascii="Times New Roman" w:hAnsi="Times New Roman"/>
          <w:sz w:val="24"/>
          <w:szCs w:val="24"/>
          <w:lang w:eastAsia="en-GB"/>
        </w:rPr>
        <w:t xml:space="preserve">pre európske štrukturálne a investičné fondy </w:t>
      </w:r>
      <w:r w:rsidR="0040442E" w:rsidRPr="005D5102">
        <w:rPr>
          <w:rFonts w:ascii="Times New Roman" w:hAnsi="Times New Roman"/>
          <w:sz w:val="24"/>
          <w:szCs w:val="24"/>
          <w:lang w:eastAsia="en-GB"/>
        </w:rPr>
        <w:t>(</w:t>
      </w:r>
      <w:r w:rsidR="0040442E">
        <w:rPr>
          <w:rFonts w:ascii="Times New Roman" w:hAnsi="Times New Roman"/>
          <w:sz w:val="24"/>
          <w:szCs w:val="24"/>
          <w:lang w:eastAsia="en-GB"/>
        </w:rPr>
        <w:t>ďalej len „</w:t>
      </w:r>
      <w:r w:rsidR="0040442E" w:rsidRPr="005D5102">
        <w:rPr>
          <w:rFonts w:ascii="Times New Roman" w:hAnsi="Times New Roman"/>
          <w:sz w:val="24"/>
          <w:szCs w:val="24"/>
          <w:lang w:eastAsia="en-GB"/>
        </w:rPr>
        <w:t>EŠIF</w:t>
      </w:r>
      <w:r w:rsidR="0040442E">
        <w:rPr>
          <w:rFonts w:ascii="Times New Roman" w:hAnsi="Times New Roman"/>
          <w:sz w:val="24"/>
          <w:szCs w:val="24"/>
          <w:lang w:eastAsia="en-GB"/>
        </w:rPr>
        <w:t>“</w:t>
      </w:r>
      <w:r w:rsidR="0040442E" w:rsidRPr="005D5102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="00663948" w:rsidRPr="005D5102">
        <w:rPr>
          <w:rFonts w:ascii="Times New Roman" w:hAnsi="Times New Roman"/>
          <w:sz w:val="24"/>
          <w:szCs w:val="24"/>
          <w:lang w:eastAsia="en-GB"/>
        </w:rPr>
        <w:t>na programové obdobie</w:t>
      </w:r>
      <w:r w:rsidR="00F20342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6673CB">
        <w:rPr>
          <w:rFonts w:ascii="Times New Roman" w:hAnsi="Times New Roman"/>
          <w:sz w:val="24"/>
          <w:szCs w:val="24"/>
          <w:lang w:eastAsia="en-GB"/>
        </w:rPr>
        <w:br/>
      </w:r>
      <w:r w:rsidR="00F20342" w:rsidRPr="005D5102">
        <w:rPr>
          <w:rFonts w:ascii="Times New Roman" w:hAnsi="Times New Roman"/>
          <w:sz w:val="24"/>
          <w:szCs w:val="24"/>
          <w:lang w:eastAsia="en-GB"/>
        </w:rPr>
        <w:t>2014 – 2020</w:t>
      </w:r>
      <w:r w:rsidR="0040442E">
        <w:rPr>
          <w:rFonts w:ascii="Times New Roman" w:hAnsi="Times New Roman"/>
          <w:sz w:val="24"/>
          <w:szCs w:val="24"/>
          <w:lang w:eastAsia="en-GB"/>
        </w:rPr>
        <w:t>,</w:t>
      </w:r>
      <w:r w:rsidR="00F20342" w:rsidRPr="005D5102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0F5739" w:rsidRPr="005D5102">
        <w:rPr>
          <w:rFonts w:ascii="Times New Roman" w:hAnsi="Times New Roman"/>
          <w:sz w:val="24"/>
          <w:szCs w:val="24"/>
          <w:lang w:eastAsia="en-GB"/>
        </w:rPr>
        <w:t xml:space="preserve">ktoré boli predmetom schvaľovania zo strany EK až v neskoršom období po </w:t>
      </w:r>
      <w:r w:rsidR="00316BD1" w:rsidRPr="005D5102">
        <w:rPr>
          <w:rFonts w:ascii="Times New Roman" w:hAnsi="Times New Roman"/>
          <w:sz w:val="24"/>
          <w:szCs w:val="24"/>
          <w:lang w:eastAsia="en-GB"/>
        </w:rPr>
        <w:t xml:space="preserve">prijatí </w:t>
      </w:r>
      <w:r w:rsidR="000F5739" w:rsidRPr="005D5102">
        <w:rPr>
          <w:rFonts w:ascii="Times New Roman" w:hAnsi="Times New Roman"/>
          <w:sz w:val="24"/>
          <w:szCs w:val="24"/>
          <w:lang w:eastAsia="en-GB"/>
        </w:rPr>
        <w:t>PD SR</w:t>
      </w:r>
      <w:r>
        <w:rPr>
          <w:rFonts w:ascii="Times New Roman" w:hAnsi="Times New Roman"/>
          <w:sz w:val="24"/>
          <w:szCs w:val="24"/>
          <w:lang w:eastAsia="en-GB"/>
        </w:rPr>
        <w:t>;</w:t>
      </w:r>
    </w:p>
    <w:p w:rsidR="00F07640" w:rsidRPr="005D5102" w:rsidRDefault="001A6F7A" w:rsidP="00F16D2A">
      <w:pPr>
        <w:pStyle w:val="Odsekzoznamu"/>
        <w:numPr>
          <w:ilvl w:val="0"/>
          <w:numId w:val="23"/>
        </w:numPr>
        <w:spacing w:after="0"/>
        <w:ind w:hanging="436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v</w:t>
      </w:r>
      <w:r w:rsidR="00A02C0E" w:rsidRPr="005D5102">
        <w:rPr>
          <w:rFonts w:ascii="Times New Roman" w:hAnsi="Times New Roman"/>
          <w:sz w:val="24"/>
          <w:szCs w:val="24"/>
          <w:lang w:eastAsia="en-GB"/>
        </w:rPr>
        <w:t> </w:t>
      </w:r>
      <w:r w:rsidR="0052302D">
        <w:rPr>
          <w:rFonts w:ascii="Times New Roman" w:hAnsi="Times New Roman"/>
          <w:sz w:val="24"/>
          <w:szCs w:val="24"/>
          <w:lang w:eastAsia="en-GB"/>
        </w:rPr>
        <w:t>druhom</w:t>
      </w:r>
      <w:r w:rsidR="00A02C0E" w:rsidRPr="005D5102">
        <w:rPr>
          <w:rFonts w:ascii="Times New Roman" w:hAnsi="Times New Roman"/>
          <w:sz w:val="24"/>
          <w:szCs w:val="24"/>
          <w:lang w:eastAsia="en-GB"/>
        </w:rPr>
        <w:t xml:space="preserve"> kroku sa uskutočnila </w:t>
      </w:r>
      <w:r>
        <w:rPr>
          <w:rFonts w:ascii="Times New Roman" w:hAnsi="Times New Roman"/>
          <w:sz w:val="24"/>
          <w:szCs w:val="24"/>
          <w:lang w:eastAsia="en-GB"/>
        </w:rPr>
        <w:t>revízia</w:t>
      </w:r>
      <w:r w:rsidR="00A02C0E" w:rsidRPr="005D5102">
        <w:rPr>
          <w:rFonts w:ascii="Times New Roman" w:hAnsi="Times New Roman"/>
          <w:sz w:val="24"/>
          <w:szCs w:val="24"/>
          <w:lang w:eastAsia="en-GB"/>
        </w:rPr>
        <w:t xml:space="preserve"> PD SR na základe po</w:t>
      </w:r>
      <w:r w:rsidR="00F07640" w:rsidRPr="005D5102">
        <w:rPr>
          <w:rFonts w:ascii="Times New Roman" w:hAnsi="Times New Roman"/>
          <w:sz w:val="24"/>
          <w:szCs w:val="24"/>
          <w:lang w:eastAsia="en-GB"/>
        </w:rPr>
        <w:t>treby</w:t>
      </w:r>
      <w:r w:rsidR="00A02C0E" w:rsidRPr="005D5102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5D5102">
        <w:rPr>
          <w:rFonts w:ascii="Times New Roman" w:hAnsi="Times New Roman"/>
          <w:sz w:val="24"/>
          <w:szCs w:val="24"/>
          <w:lang w:eastAsia="en-GB"/>
        </w:rPr>
        <w:t>vykonania technickej úpravy</w:t>
      </w:r>
      <w:r w:rsidR="0052302D">
        <w:rPr>
          <w:rFonts w:ascii="Times New Roman" w:hAnsi="Times New Roman"/>
          <w:sz w:val="24"/>
          <w:szCs w:val="24"/>
          <w:lang w:eastAsia="en-GB"/>
        </w:rPr>
        <w:t xml:space="preserve"> finančnej </w:t>
      </w:r>
      <w:r w:rsidR="00A02C0E" w:rsidRPr="005D5102">
        <w:rPr>
          <w:rFonts w:ascii="Times New Roman" w:hAnsi="Times New Roman"/>
          <w:sz w:val="24"/>
          <w:szCs w:val="24"/>
          <w:lang w:eastAsia="en-GB"/>
        </w:rPr>
        <w:t xml:space="preserve">obálky SR </w:t>
      </w:r>
      <w:r w:rsidR="00F07640" w:rsidRPr="005D5102">
        <w:rPr>
          <w:rFonts w:ascii="Times New Roman" w:hAnsi="Times New Roman"/>
          <w:sz w:val="24"/>
          <w:szCs w:val="24"/>
          <w:lang w:eastAsia="en-GB"/>
        </w:rPr>
        <w:t xml:space="preserve">pre </w:t>
      </w:r>
      <w:r w:rsidR="00A02C0E" w:rsidRPr="005D5102">
        <w:rPr>
          <w:rFonts w:ascii="Times New Roman" w:hAnsi="Times New Roman"/>
          <w:sz w:val="24"/>
          <w:szCs w:val="24"/>
          <w:lang w:eastAsia="en-GB"/>
        </w:rPr>
        <w:t>politiku súdržnosti na roky 2017 – 2020</w:t>
      </w:r>
      <w:r w:rsidR="00F07640" w:rsidRPr="005D5102">
        <w:rPr>
          <w:rFonts w:ascii="Times New Roman" w:hAnsi="Times New Roman"/>
          <w:sz w:val="24"/>
          <w:szCs w:val="24"/>
          <w:lang w:eastAsia="en-GB"/>
        </w:rPr>
        <w:t xml:space="preserve"> (tzv. technický prepočet obálky SR)</w:t>
      </w:r>
      <w:r w:rsidR="00A02C0E" w:rsidRPr="005D5102">
        <w:rPr>
          <w:rFonts w:ascii="Times New Roman" w:hAnsi="Times New Roman"/>
          <w:sz w:val="24"/>
          <w:szCs w:val="24"/>
          <w:lang w:eastAsia="en-GB"/>
        </w:rPr>
        <w:t>, ktorá vypl</w:t>
      </w:r>
      <w:r w:rsidR="00F07640" w:rsidRPr="005D5102">
        <w:rPr>
          <w:rFonts w:ascii="Times New Roman" w:hAnsi="Times New Roman"/>
          <w:sz w:val="24"/>
          <w:szCs w:val="24"/>
          <w:lang w:eastAsia="en-GB"/>
        </w:rPr>
        <w:t>ýva z platn</w:t>
      </w:r>
      <w:r w:rsidR="0052302D">
        <w:rPr>
          <w:rFonts w:ascii="Times New Roman" w:hAnsi="Times New Roman"/>
          <w:sz w:val="24"/>
          <w:szCs w:val="24"/>
          <w:lang w:eastAsia="en-GB"/>
        </w:rPr>
        <w:t>ých</w:t>
      </w:r>
      <w:r w:rsidR="00F07640" w:rsidRPr="005D5102">
        <w:rPr>
          <w:rFonts w:ascii="Times New Roman" w:hAnsi="Times New Roman"/>
          <w:sz w:val="24"/>
          <w:szCs w:val="24"/>
          <w:lang w:eastAsia="en-GB"/>
        </w:rPr>
        <w:t xml:space="preserve"> legislatív</w:t>
      </w:r>
      <w:r w:rsidR="0052302D">
        <w:rPr>
          <w:rFonts w:ascii="Times New Roman" w:hAnsi="Times New Roman"/>
          <w:sz w:val="24"/>
          <w:szCs w:val="24"/>
          <w:lang w:eastAsia="en-GB"/>
        </w:rPr>
        <w:t>nych predpisov</w:t>
      </w:r>
      <w:r w:rsidR="00F07640" w:rsidRPr="005D5102">
        <w:rPr>
          <w:rFonts w:ascii="Times New Roman" w:hAnsi="Times New Roman"/>
          <w:sz w:val="24"/>
          <w:szCs w:val="24"/>
          <w:lang w:eastAsia="en-GB"/>
        </w:rPr>
        <w:t xml:space="preserve"> EÚ.</w:t>
      </w:r>
      <w:r w:rsidR="004B0669" w:rsidRPr="004B0669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="004B0669" w:rsidRPr="004B0669">
        <w:rPr>
          <w:rFonts w:ascii="Times New Roman" w:hAnsi="Times New Roman"/>
          <w:sz w:val="24"/>
          <w:szCs w:val="24"/>
          <w:lang w:eastAsia="en-GB"/>
        </w:rPr>
        <w:t>Úprava finančnej obálky pre SR na roky 2017 – 2020 bola vykonaná na</w:t>
      </w:r>
      <w:r w:rsidR="0041575A">
        <w:rPr>
          <w:rFonts w:ascii="Times New Roman" w:hAnsi="Times New Roman"/>
          <w:sz w:val="24"/>
          <w:szCs w:val="24"/>
          <w:lang w:eastAsia="en-GB"/>
        </w:rPr>
        <w:t> </w:t>
      </w:r>
      <w:r w:rsidR="004B0669" w:rsidRPr="004B0669">
        <w:rPr>
          <w:rFonts w:ascii="Times New Roman" w:hAnsi="Times New Roman"/>
          <w:sz w:val="24"/>
          <w:szCs w:val="24"/>
          <w:lang w:eastAsia="en-GB"/>
        </w:rPr>
        <w:t xml:space="preserve">základe rozhodnutia </w:t>
      </w:r>
      <w:r w:rsidR="004B0669">
        <w:rPr>
          <w:rFonts w:ascii="Times New Roman" w:hAnsi="Times New Roman"/>
          <w:sz w:val="24"/>
          <w:szCs w:val="24"/>
          <w:lang w:eastAsia="en-GB"/>
        </w:rPr>
        <w:t>EK</w:t>
      </w:r>
      <w:r w:rsidR="004B0669" w:rsidRPr="004B0669">
        <w:rPr>
          <w:rFonts w:ascii="Times New Roman" w:hAnsi="Times New Roman"/>
          <w:sz w:val="24"/>
          <w:szCs w:val="24"/>
          <w:lang w:eastAsia="en-GB"/>
        </w:rPr>
        <w:t xml:space="preserve"> podľa článku 92 ods. 3 nariadenia Európskeho parlamentu a Rady (EÚ) č. 1303/2013. </w:t>
      </w:r>
      <w:r w:rsidR="004B0669">
        <w:rPr>
          <w:rFonts w:ascii="Times New Roman" w:hAnsi="Times New Roman"/>
          <w:sz w:val="24"/>
          <w:szCs w:val="24"/>
          <w:lang w:eastAsia="en-GB"/>
        </w:rPr>
        <w:t>EK</w:t>
      </w:r>
      <w:r w:rsidR="004B0669" w:rsidRPr="004B0669">
        <w:rPr>
          <w:rFonts w:ascii="Times New Roman" w:hAnsi="Times New Roman"/>
          <w:sz w:val="24"/>
          <w:szCs w:val="24"/>
          <w:lang w:eastAsia="en-GB"/>
        </w:rPr>
        <w:t xml:space="preserve"> v súlade s týmto nariadením EÚ aktualizovala prepočty jednotlivých rozpočtov na politiku súdržnosti pre členské štáty EÚ, a to podľa aktuálnych údajov o ich očakávanom raste alebo poklese HDP. V prípade SR vyšší </w:t>
      </w:r>
      <w:r w:rsidR="004B0669" w:rsidRPr="004B0669">
        <w:rPr>
          <w:rFonts w:ascii="Times New Roman" w:hAnsi="Times New Roman"/>
          <w:bCs/>
          <w:sz w:val="24"/>
          <w:szCs w:val="24"/>
          <w:lang w:eastAsia="en-GB"/>
        </w:rPr>
        <w:t xml:space="preserve">rast HDP v rokoch 2014 a 2015, v porovnaní s odhadom rastu HDP zo strany </w:t>
      </w:r>
      <w:r w:rsidR="004B0669">
        <w:rPr>
          <w:rFonts w:ascii="Times New Roman" w:hAnsi="Times New Roman"/>
          <w:bCs/>
          <w:sz w:val="24"/>
          <w:szCs w:val="24"/>
          <w:lang w:eastAsia="en-GB"/>
        </w:rPr>
        <w:t>EK</w:t>
      </w:r>
      <w:r w:rsidR="004B0669" w:rsidRPr="004B0669">
        <w:rPr>
          <w:rFonts w:ascii="Times New Roman" w:hAnsi="Times New Roman"/>
          <w:bCs/>
          <w:sz w:val="24"/>
          <w:szCs w:val="24"/>
          <w:lang w:eastAsia="en-GB"/>
        </w:rPr>
        <w:t xml:space="preserve"> v roku 2012, spôsobil zníženie celkových zdrojov EÚ pre politiku súdržnosti v rámci finančnej obálky SR.</w:t>
      </w:r>
    </w:p>
    <w:p w:rsidR="000F5739" w:rsidRDefault="00A02C0E" w:rsidP="00F16D2A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663948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:rsidR="005334AD" w:rsidRPr="00297394" w:rsidRDefault="00EF0C5B" w:rsidP="00F16D2A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Dotknuté časti PD</w:t>
      </w:r>
      <w:r w:rsidR="0052302D">
        <w:rPr>
          <w:rFonts w:ascii="Times New Roman" w:hAnsi="Times New Roman"/>
          <w:sz w:val="24"/>
          <w:szCs w:val="24"/>
          <w:lang w:eastAsia="en-GB"/>
        </w:rPr>
        <w:t xml:space="preserve"> SR</w:t>
      </w:r>
      <w:r>
        <w:rPr>
          <w:rFonts w:ascii="Times New Roman" w:hAnsi="Times New Roman"/>
          <w:sz w:val="24"/>
          <w:szCs w:val="24"/>
          <w:lang w:eastAsia="en-GB"/>
        </w:rPr>
        <w:t xml:space="preserve"> sú upravené v nadväznosti na zmeny opísané v častiach I</w:t>
      </w:r>
      <w:r w:rsidR="003252F4">
        <w:rPr>
          <w:rFonts w:ascii="Times New Roman" w:hAnsi="Times New Roman"/>
          <w:sz w:val="24"/>
          <w:szCs w:val="24"/>
          <w:lang w:eastAsia="en-GB"/>
        </w:rPr>
        <w:t>.</w:t>
      </w:r>
      <w:r>
        <w:rPr>
          <w:rFonts w:ascii="Times New Roman" w:hAnsi="Times New Roman"/>
          <w:sz w:val="24"/>
          <w:szCs w:val="24"/>
          <w:lang w:eastAsia="en-GB"/>
        </w:rPr>
        <w:t xml:space="preserve"> a</w:t>
      </w:r>
      <w:r w:rsidR="00B57023">
        <w:rPr>
          <w:rFonts w:ascii="Times New Roman" w:hAnsi="Times New Roman"/>
          <w:sz w:val="24"/>
          <w:szCs w:val="24"/>
          <w:lang w:eastAsia="en-GB"/>
        </w:rPr>
        <w:t> </w:t>
      </w:r>
      <w:r>
        <w:rPr>
          <w:rFonts w:ascii="Times New Roman" w:hAnsi="Times New Roman"/>
          <w:sz w:val="24"/>
          <w:szCs w:val="24"/>
          <w:lang w:eastAsia="en-GB"/>
        </w:rPr>
        <w:t>II</w:t>
      </w:r>
      <w:r w:rsidR="00B57023">
        <w:rPr>
          <w:rFonts w:ascii="Times New Roman" w:hAnsi="Times New Roman"/>
          <w:sz w:val="24"/>
          <w:szCs w:val="24"/>
          <w:lang w:eastAsia="en-GB"/>
        </w:rPr>
        <w:t>. Dokument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5E5B0D" w:rsidRPr="00297394">
        <w:rPr>
          <w:rFonts w:ascii="Times New Roman" w:eastAsiaTheme="minorEastAsia" w:hAnsi="Times New Roman"/>
          <w:sz w:val="24"/>
          <w:szCs w:val="24"/>
          <w:lang w:eastAsia="en-GB"/>
        </w:rPr>
        <w:t>„</w:t>
      </w:r>
      <w:r w:rsidR="0072010E">
        <w:rPr>
          <w:rFonts w:ascii="Times New Roman" w:eastAsiaTheme="minorEastAsia" w:hAnsi="Times New Roman"/>
          <w:sz w:val="24"/>
          <w:szCs w:val="24"/>
          <w:lang w:eastAsia="en-GB"/>
        </w:rPr>
        <w:t>Partnerská dohoda</w:t>
      </w:r>
      <w:r w:rsidR="005E5B0D" w:rsidRPr="00297394">
        <w:rPr>
          <w:rFonts w:ascii="Times New Roman" w:eastAsiaTheme="minorEastAsia" w:hAnsi="Times New Roman"/>
          <w:sz w:val="24"/>
          <w:szCs w:val="24"/>
          <w:lang w:eastAsia="en-GB"/>
        </w:rPr>
        <w:t xml:space="preserve"> Slovenskej republi</w:t>
      </w:r>
      <w:r w:rsidR="0072010E">
        <w:rPr>
          <w:rFonts w:ascii="Times New Roman" w:eastAsiaTheme="minorEastAsia" w:hAnsi="Times New Roman"/>
          <w:sz w:val="24"/>
          <w:szCs w:val="24"/>
          <w:lang w:eastAsia="en-GB"/>
        </w:rPr>
        <w:t>ky na roky 2014 – 2020 (verzia 2</w:t>
      </w:r>
      <w:r w:rsidR="005E5B0D" w:rsidRPr="00297394">
        <w:rPr>
          <w:rFonts w:ascii="Times New Roman" w:eastAsiaTheme="minorEastAsia" w:hAnsi="Times New Roman"/>
          <w:sz w:val="24"/>
          <w:szCs w:val="24"/>
          <w:lang w:eastAsia="en-GB"/>
        </w:rPr>
        <w:t>.0)“</w:t>
      </w:r>
      <w:r w:rsidR="00F07640" w:rsidRPr="00297394">
        <w:rPr>
          <w:rFonts w:ascii="Times New Roman" w:eastAsiaTheme="minorEastAsia" w:hAnsi="Times New Roman"/>
          <w:sz w:val="24"/>
          <w:szCs w:val="24"/>
          <w:lang w:eastAsia="en-GB"/>
        </w:rPr>
        <w:t xml:space="preserve"> tvorí príloh</w:t>
      </w:r>
      <w:r w:rsidR="005D5102" w:rsidRPr="00297394">
        <w:rPr>
          <w:rFonts w:ascii="Times New Roman" w:eastAsiaTheme="minorEastAsia" w:hAnsi="Times New Roman"/>
          <w:sz w:val="24"/>
          <w:szCs w:val="24"/>
          <w:lang w:eastAsia="en-GB"/>
        </w:rPr>
        <w:t>u</w:t>
      </w:r>
      <w:r w:rsidR="00F07640" w:rsidRPr="00297394">
        <w:rPr>
          <w:rFonts w:ascii="Times New Roman" w:eastAsiaTheme="minorEastAsia" w:hAnsi="Times New Roman"/>
          <w:sz w:val="24"/>
          <w:szCs w:val="24"/>
          <w:lang w:eastAsia="en-GB"/>
        </w:rPr>
        <w:t xml:space="preserve"> </w:t>
      </w:r>
      <w:r w:rsidR="0052302D" w:rsidRPr="00297394">
        <w:rPr>
          <w:rFonts w:ascii="Times New Roman" w:eastAsiaTheme="minorEastAsia" w:hAnsi="Times New Roman"/>
          <w:sz w:val="24"/>
          <w:szCs w:val="24"/>
          <w:lang w:eastAsia="en-GB"/>
        </w:rPr>
        <w:t xml:space="preserve">tohto </w:t>
      </w:r>
      <w:r w:rsidR="005D5102" w:rsidRPr="00297394">
        <w:rPr>
          <w:rFonts w:ascii="Times New Roman" w:eastAsiaTheme="minorEastAsia" w:hAnsi="Times New Roman"/>
          <w:sz w:val="24"/>
          <w:szCs w:val="24"/>
          <w:lang w:eastAsia="en-GB"/>
        </w:rPr>
        <w:t>materiálu</w:t>
      </w:r>
      <w:r w:rsidR="005E5B0D">
        <w:rPr>
          <w:rFonts w:ascii="Times New Roman" w:eastAsiaTheme="minorEastAsia" w:hAnsi="Times New Roman"/>
          <w:sz w:val="24"/>
          <w:szCs w:val="24"/>
          <w:lang w:eastAsia="en-GB"/>
        </w:rPr>
        <w:t>, ktorá bude predložená na schválenie EK.</w:t>
      </w:r>
      <w:r w:rsidR="005D5102" w:rsidRPr="00297394">
        <w:rPr>
          <w:rFonts w:ascii="Times New Roman" w:eastAsiaTheme="minorEastAsia" w:hAnsi="Times New Roman"/>
          <w:sz w:val="24"/>
          <w:szCs w:val="24"/>
          <w:lang w:eastAsia="en-GB"/>
        </w:rPr>
        <w:t xml:space="preserve"> </w:t>
      </w:r>
      <w:r w:rsidR="00357389" w:rsidRPr="00297394">
        <w:rPr>
          <w:rFonts w:ascii="Times New Roman" w:eastAsiaTheme="minorEastAsia" w:hAnsi="Times New Roman"/>
          <w:sz w:val="24"/>
          <w:szCs w:val="24"/>
          <w:lang w:eastAsia="en-GB"/>
        </w:rPr>
        <w:t xml:space="preserve"> </w:t>
      </w:r>
    </w:p>
    <w:p w:rsidR="005334AD" w:rsidRDefault="005334AD" w:rsidP="00F16D2A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0F5739" w:rsidRDefault="005334AD" w:rsidP="00F16D2A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Č</w:t>
      </w:r>
      <w:r w:rsidRPr="005334AD">
        <w:rPr>
          <w:rFonts w:ascii="Times New Roman" w:hAnsi="Times New Roman"/>
          <w:sz w:val="24"/>
          <w:szCs w:val="24"/>
          <w:lang w:eastAsia="en-GB"/>
        </w:rPr>
        <w:t>asť</w:t>
      </w:r>
      <w:r>
        <w:rPr>
          <w:rFonts w:ascii="Times New Roman" w:hAnsi="Times New Roman"/>
          <w:sz w:val="24"/>
          <w:szCs w:val="24"/>
          <w:lang w:eastAsia="en-GB"/>
        </w:rPr>
        <w:t xml:space="preserve"> I</w:t>
      </w:r>
      <w:r w:rsidR="003252F4">
        <w:rPr>
          <w:rFonts w:ascii="Times New Roman" w:hAnsi="Times New Roman"/>
          <w:sz w:val="24"/>
          <w:szCs w:val="24"/>
          <w:lang w:eastAsia="en-GB"/>
        </w:rPr>
        <w:t>.</w:t>
      </w:r>
      <w:r>
        <w:rPr>
          <w:rFonts w:ascii="Times New Roman" w:hAnsi="Times New Roman"/>
          <w:sz w:val="24"/>
          <w:szCs w:val="24"/>
          <w:lang w:eastAsia="en-GB"/>
        </w:rPr>
        <w:t xml:space="preserve"> tohto materiálu </w:t>
      </w:r>
      <w:r w:rsidRPr="005334AD">
        <w:rPr>
          <w:rFonts w:ascii="Times New Roman" w:hAnsi="Times New Roman"/>
          <w:sz w:val="24"/>
          <w:szCs w:val="24"/>
          <w:lang w:eastAsia="en-GB"/>
        </w:rPr>
        <w:t xml:space="preserve">predstavuje aktualizovanú verziu alokácií pre jednotlivé </w:t>
      </w:r>
      <w:r w:rsidR="00665FBE">
        <w:rPr>
          <w:rFonts w:ascii="Times New Roman" w:hAnsi="Times New Roman"/>
          <w:sz w:val="24"/>
          <w:szCs w:val="24"/>
          <w:lang w:eastAsia="en-GB"/>
        </w:rPr>
        <w:t>OP</w:t>
      </w:r>
      <w:r w:rsidR="0052302D">
        <w:rPr>
          <w:rFonts w:ascii="Times New Roman" w:hAnsi="Times New Roman"/>
          <w:sz w:val="24"/>
          <w:szCs w:val="24"/>
          <w:lang w:eastAsia="en-GB"/>
        </w:rPr>
        <w:t xml:space="preserve"> pre</w:t>
      </w:r>
      <w:r w:rsidRPr="005334AD">
        <w:rPr>
          <w:rFonts w:ascii="Times New Roman" w:hAnsi="Times New Roman"/>
          <w:sz w:val="24"/>
          <w:szCs w:val="24"/>
          <w:lang w:eastAsia="en-GB"/>
        </w:rPr>
        <w:t xml:space="preserve"> EŠIF</w:t>
      </w:r>
      <w:r w:rsidR="008975AA">
        <w:rPr>
          <w:rFonts w:ascii="Times New Roman" w:hAnsi="Times New Roman"/>
          <w:sz w:val="24"/>
          <w:szCs w:val="24"/>
          <w:lang w:eastAsia="en-GB"/>
        </w:rPr>
        <w:t xml:space="preserve"> na </w:t>
      </w:r>
      <w:r w:rsidR="0040442E">
        <w:rPr>
          <w:rFonts w:ascii="Times New Roman" w:hAnsi="Times New Roman"/>
          <w:sz w:val="24"/>
          <w:szCs w:val="24"/>
          <w:lang w:eastAsia="en-GB"/>
        </w:rPr>
        <w:t xml:space="preserve">programové </w:t>
      </w:r>
      <w:r w:rsidR="008975AA">
        <w:rPr>
          <w:rFonts w:ascii="Times New Roman" w:hAnsi="Times New Roman"/>
          <w:sz w:val="24"/>
          <w:szCs w:val="24"/>
          <w:lang w:eastAsia="en-GB"/>
        </w:rPr>
        <w:t xml:space="preserve">obdobie 2014 </w:t>
      </w:r>
      <w:r w:rsidR="004D3234" w:rsidRPr="005D5102">
        <w:rPr>
          <w:rFonts w:ascii="Times New Roman" w:hAnsi="Times New Roman"/>
          <w:sz w:val="24"/>
          <w:szCs w:val="24"/>
          <w:lang w:eastAsia="en-GB"/>
        </w:rPr>
        <w:t>–</w:t>
      </w:r>
      <w:r w:rsidR="008975AA">
        <w:rPr>
          <w:rFonts w:ascii="Times New Roman" w:hAnsi="Times New Roman"/>
          <w:sz w:val="24"/>
          <w:szCs w:val="24"/>
          <w:lang w:eastAsia="en-GB"/>
        </w:rPr>
        <w:t xml:space="preserve"> 2020</w:t>
      </w:r>
      <w:r w:rsidRPr="005334AD">
        <w:rPr>
          <w:rFonts w:ascii="Times New Roman" w:hAnsi="Times New Roman"/>
          <w:sz w:val="24"/>
          <w:szCs w:val="24"/>
          <w:lang w:eastAsia="en-GB"/>
        </w:rPr>
        <w:t xml:space="preserve"> na úrovni SR. Tieto zosúladené alokácie  zároveň predstavujú východiskové hodnoty pre vykonanie revízie PD SR</w:t>
      </w:r>
      <w:r w:rsidR="008975AA">
        <w:rPr>
          <w:rFonts w:ascii="Times New Roman" w:hAnsi="Times New Roman"/>
          <w:sz w:val="24"/>
          <w:szCs w:val="24"/>
          <w:lang w:eastAsia="en-GB"/>
        </w:rPr>
        <w:t>, a to</w:t>
      </w:r>
      <w:r w:rsidRPr="005334AD">
        <w:rPr>
          <w:rFonts w:ascii="Times New Roman" w:hAnsi="Times New Roman"/>
          <w:sz w:val="24"/>
          <w:szCs w:val="24"/>
          <w:lang w:eastAsia="en-GB"/>
        </w:rPr>
        <w:t xml:space="preserve"> z dôvodu technick</w:t>
      </w:r>
      <w:r w:rsidR="008975AA">
        <w:rPr>
          <w:rFonts w:ascii="Times New Roman" w:hAnsi="Times New Roman"/>
          <w:sz w:val="24"/>
          <w:szCs w:val="24"/>
          <w:lang w:eastAsia="en-GB"/>
        </w:rPr>
        <w:t>ej</w:t>
      </w:r>
      <w:r w:rsidRPr="005334AD">
        <w:rPr>
          <w:rFonts w:ascii="Times New Roman" w:hAnsi="Times New Roman"/>
          <w:sz w:val="24"/>
          <w:szCs w:val="24"/>
          <w:lang w:eastAsia="en-GB"/>
        </w:rPr>
        <w:t xml:space="preserve"> úprav</w:t>
      </w:r>
      <w:r w:rsidR="008975AA">
        <w:rPr>
          <w:rFonts w:ascii="Times New Roman" w:hAnsi="Times New Roman"/>
          <w:sz w:val="24"/>
          <w:szCs w:val="24"/>
          <w:lang w:eastAsia="en-GB"/>
        </w:rPr>
        <w:t>y</w:t>
      </w:r>
      <w:r w:rsidRPr="005334AD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52302D">
        <w:rPr>
          <w:rFonts w:ascii="Times New Roman" w:hAnsi="Times New Roman"/>
          <w:sz w:val="24"/>
          <w:szCs w:val="24"/>
          <w:lang w:eastAsia="en-GB"/>
        </w:rPr>
        <w:t xml:space="preserve">finančnej </w:t>
      </w:r>
      <w:r w:rsidRPr="005334AD">
        <w:rPr>
          <w:rFonts w:ascii="Times New Roman" w:hAnsi="Times New Roman"/>
          <w:sz w:val="24"/>
          <w:szCs w:val="24"/>
          <w:lang w:eastAsia="en-GB"/>
        </w:rPr>
        <w:t>obálky</w:t>
      </w:r>
      <w:r w:rsidR="008975A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5334AD">
        <w:rPr>
          <w:rFonts w:ascii="Times New Roman" w:hAnsi="Times New Roman"/>
          <w:sz w:val="24"/>
          <w:szCs w:val="24"/>
          <w:lang w:eastAsia="en-GB"/>
        </w:rPr>
        <w:t>na politiku súdržnosti na roky</w:t>
      </w:r>
      <w:r w:rsidR="004D3234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5334AD">
        <w:rPr>
          <w:rFonts w:ascii="Times New Roman" w:hAnsi="Times New Roman"/>
          <w:sz w:val="24"/>
          <w:szCs w:val="24"/>
          <w:lang w:eastAsia="en-GB"/>
        </w:rPr>
        <w:t>2017 – 2020 v podmienkach Slovenskej republiky</w:t>
      </w:r>
      <w:r w:rsidR="00665FBE">
        <w:rPr>
          <w:rFonts w:ascii="Times New Roman" w:hAnsi="Times New Roman"/>
          <w:sz w:val="24"/>
          <w:szCs w:val="24"/>
          <w:lang w:eastAsia="en-GB"/>
        </w:rPr>
        <w:t xml:space="preserve"> (ďalej len „SR“)</w:t>
      </w:r>
      <w:r w:rsidRPr="005334AD">
        <w:rPr>
          <w:rFonts w:ascii="Times New Roman" w:hAnsi="Times New Roman"/>
          <w:sz w:val="24"/>
          <w:szCs w:val="24"/>
          <w:lang w:eastAsia="en-GB"/>
        </w:rPr>
        <w:t xml:space="preserve">, ktorá je predmetom časti </w:t>
      </w:r>
      <w:r w:rsidR="0040442E" w:rsidRPr="005334AD">
        <w:rPr>
          <w:rFonts w:ascii="Times New Roman" w:hAnsi="Times New Roman"/>
          <w:sz w:val="24"/>
          <w:szCs w:val="24"/>
          <w:lang w:eastAsia="en-GB"/>
        </w:rPr>
        <w:t>II</w:t>
      </w:r>
      <w:r w:rsidR="003252F4">
        <w:rPr>
          <w:rFonts w:ascii="Times New Roman" w:hAnsi="Times New Roman"/>
          <w:sz w:val="24"/>
          <w:szCs w:val="24"/>
          <w:lang w:eastAsia="en-GB"/>
        </w:rPr>
        <w:t>.</w:t>
      </w:r>
      <w:r w:rsidR="0040442E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5334AD">
        <w:rPr>
          <w:rFonts w:ascii="Times New Roman" w:hAnsi="Times New Roman"/>
          <w:sz w:val="24"/>
          <w:szCs w:val="24"/>
          <w:lang w:eastAsia="en-GB"/>
        </w:rPr>
        <w:t>tohto materiálu</w:t>
      </w:r>
      <w:r w:rsidR="0040442E">
        <w:rPr>
          <w:rFonts w:ascii="Times New Roman" w:hAnsi="Times New Roman"/>
          <w:sz w:val="24"/>
          <w:szCs w:val="24"/>
          <w:lang w:eastAsia="en-GB"/>
        </w:rPr>
        <w:t>.</w:t>
      </w:r>
      <w:r w:rsidRPr="005334AD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8700AD">
        <w:rPr>
          <w:rFonts w:ascii="Times New Roman" w:hAnsi="Times New Roman"/>
          <w:sz w:val="24"/>
          <w:szCs w:val="24"/>
          <w:lang w:eastAsia="en-GB"/>
        </w:rPr>
        <w:t>To z</w:t>
      </w:r>
      <w:r w:rsidR="008975AA">
        <w:rPr>
          <w:rFonts w:ascii="Times New Roman" w:hAnsi="Times New Roman"/>
          <w:sz w:val="24"/>
          <w:szCs w:val="24"/>
          <w:lang w:eastAsia="en-GB"/>
        </w:rPr>
        <w:t xml:space="preserve">namená, že </w:t>
      </w:r>
      <w:r>
        <w:rPr>
          <w:rFonts w:ascii="Times New Roman" w:hAnsi="Times New Roman"/>
          <w:sz w:val="24"/>
          <w:szCs w:val="24"/>
          <w:lang w:eastAsia="en-GB"/>
        </w:rPr>
        <w:t>úpravy a</w:t>
      </w:r>
      <w:r w:rsidRPr="00357389">
        <w:rPr>
          <w:rFonts w:ascii="Times New Roman" w:hAnsi="Times New Roman"/>
          <w:sz w:val="24"/>
          <w:szCs w:val="24"/>
          <w:lang w:eastAsia="en-GB"/>
        </w:rPr>
        <w:t>lokáci</w:t>
      </w:r>
      <w:r>
        <w:rPr>
          <w:rFonts w:ascii="Times New Roman" w:hAnsi="Times New Roman"/>
          <w:sz w:val="24"/>
          <w:szCs w:val="24"/>
          <w:lang w:eastAsia="en-GB"/>
        </w:rPr>
        <w:t>í, ktoré sú opísané v časti II</w:t>
      </w:r>
      <w:r w:rsidR="003252F4">
        <w:rPr>
          <w:rFonts w:ascii="Times New Roman" w:hAnsi="Times New Roman"/>
          <w:sz w:val="24"/>
          <w:szCs w:val="24"/>
          <w:lang w:eastAsia="en-GB"/>
        </w:rPr>
        <w:t>.</w:t>
      </w:r>
      <w:r>
        <w:rPr>
          <w:rFonts w:ascii="Times New Roman" w:hAnsi="Times New Roman"/>
          <w:sz w:val="24"/>
          <w:szCs w:val="24"/>
          <w:lang w:eastAsia="en-GB"/>
        </w:rPr>
        <w:t xml:space="preserve"> tohto materiálu</w:t>
      </w:r>
      <w:r w:rsidR="0040442E">
        <w:rPr>
          <w:rFonts w:ascii="Times New Roman" w:hAnsi="Times New Roman"/>
          <w:sz w:val="24"/>
          <w:szCs w:val="24"/>
          <w:lang w:eastAsia="en-GB"/>
        </w:rPr>
        <w:t>,</w:t>
      </w:r>
      <w:r>
        <w:rPr>
          <w:rFonts w:ascii="Times New Roman" w:hAnsi="Times New Roman"/>
          <w:sz w:val="24"/>
          <w:szCs w:val="24"/>
          <w:lang w:eastAsia="en-GB"/>
        </w:rPr>
        <w:t xml:space="preserve"> už zohľadňujú úpravy</w:t>
      </w:r>
      <w:r w:rsidRPr="00357389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125248">
        <w:rPr>
          <w:rFonts w:ascii="Times New Roman" w:hAnsi="Times New Roman"/>
          <w:sz w:val="24"/>
          <w:szCs w:val="24"/>
          <w:lang w:eastAsia="en-GB"/>
        </w:rPr>
        <w:t>uvedené</w:t>
      </w:r>
      <w:r>
        <w:rPr>
          <w:rFonts w:ascii="Times New Roman" w:hAnsi="Times New Roman"/>
          <w:sz w:val="24"/>
          <w:szCs w:val="24"/>
          <w:lang w:eastAsia="en-GB"/>
        </w:rPr>
        <w:t xml:space="preserve"> v časti I</w:t>
      </w:r>
      <w:r w:rsidR="003252F4">
        <w:rPr>
          <w:rFonts w:ascii="Times New Roman" w:hAnsi="Times New Roman"/>
          <w:sz w:val="24"/>
          <w:szCs w:val="24"/>
          <w:lang w:eastAsia="en-GB"/>
        </w:rPr>
        <w:t>.</w:t>
      </w:r>
      <w:r>
        <w:rPr>
          <w:rFonts w:ascii="Times New Roman" w:hAnsi="Times New Roman"/>
          <w:sz w:val="24"/>
          <w:szCs w:val="24"/>
          <w:lang w:eastAsia="en-GB"/>
        </w:rPr>
        <w:t> tohto materiálu</w:t>
      </w:r>
      <w:r w:rsidRPr="005334AD">
        <w:rPr>
          <w:rFonts w:ascii="Times New Roman" w:hAnsi="Times New Roman"/>
          <w:sz w:val="24"/>
          <w:szCs w:val="24"/>
          <w:lang w:eastAsia="en-GB"/>
        </w:rPr>
        <w:t>.</w:t>
      </w:r>
    </w:p>
    <w:p w:rsidR="008E2A34" w:rsidRDefault="008E2A34" w:rsidP="00C067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GB"/>
        </w:rPr>
      </w:pPr>
    </w:p>
    <w:p w:rsidR="00C0678F" w:rsidRPr="00F16D2A" w:rsidRDefault="00AA258D" w:rsidP="00F16D2A">
      <w:pPr>
        <w:pStyle w:val="Odsekzoznamu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  <w:u w:val="single"/>
          <w:lang w:eastAsia="en-GB"/>
        </w:rPr>
      </w:pPr>
      <w:r>
        <w:rPr>
          <w:rFonts w:ascii="Times New Roman" w:hAnsi="Times New Roman"/>
          <w:b/>
          <w:sz w:val="26"/>
          <w:szCs w:val="26"/>
          <w:u w:val="single"/>
          <w:lang w:eastAsia="en-GB"/>
        </w:rPr>
        <w:t>Aktualizácia</w:t>
      </w:r>
      <w:r w:rsidR="00C0678F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 xml:space="preserve"> </w:t>
      </w:r>
      <w:r w:rsidR="00F36DFE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>PD SR</w:t>
      </w:r>
      <w:r w:rsidR="00C0678F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 xml:space="preserve"> z dôvodu zosúladenia jej príslušných častí s aktuálnym znením programov</w:t>
      </w:r>
    </w:p>
    <w:p w:rsidR="00C0678F" w:rsidRPr="00C0678F" w:rsidRDefault="00C0678F" w:rsidP="00C067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en-GB"/>
        </w:rPr>
      </w:pPr>
    </w:p>
    <w:p w:rsidR="00C0678F" w:rsidRPr="00C0678F" w:rsidRDefault="0041575A" w:rsidP="00C0678F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C0678F">
        <w:rPr>
          <w:rFonts w:ascii="Times New Roman" w:hAnsi="Times New Roman"/>
          <w:sz w:val="24"/>
          <w:szCs w:val="24"/>
          <w:lang w:eastAsia="en-GB"/>
        </w:rPr>
        <w:t>EK</w:t>
      </w:r>
      <w:r>
        <w:rPr>
          <w:rFonts w:ascii="Times New Roman" w:hAnsi="Times New Roman"/>
          <w:sz w:val="24"/>
          <w:szCs w:val="24"/>
          <w:lang w:eastAsia="en-GB"/>
        </w:rPr>
        <w:t>,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n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a základe listu zo dňa 2. </w:t>
      </w:r>
      <w:r w:rsidR="00DF3A1C">
        <w:rPr>
          <w:rFonts w:ascii="Times New Roman" w:hAnsi="Times New Roman"/>
          <w:sz w:val="24"/>
          <w:szCs w:val="24"/>
          <w:lang w:eastAsia="en-GB"/>
        </w:rPr>
        <w:t>mája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2016</w:t>
      </w:r>
      <w:r w:rsidR="00663948" w:rsidRPr="00663948">
        <w:t xml:space="preserve"> </w:t>
      </w:r>
      <w:r w:rsidR="00663948" w:rsidRPr="00663948">
        <w:rPr>
          <w:rFonts w:ascii="Times New Roman" w:hAnsi="Times New Roman"/>
          <w:sz w:val="24"/>
          <w:szCs w:val="24"/>
          <w:lang w:eastAsia="en-GB"/>
        </w:rPr>
        <w:t>(CCI: 2014SK16M8PA001)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>, požiadala</w:t>
      </w:r>
      <w:r w:rsidR="005B5626">
        <w:rPr>
          <w:rFonts w:ascii="Times New Roman" w:hAnsi="Times New Roman"/>
          <w:sz w:val="24"/>
          <w:szCs w:val="24"/>
          <w:lang w:eastAsia="en-GB"/>
        </w:rPr>
        <w:t xml:space="preserve"> SR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o</w:t>
      </w:r>
      <w:r w:rsidR="008700AD">
        <w:rPr>
          <w:rFonts w:ascii="Times New Roman" w:hAnsi="Times New Roman"/>
          <w:sz w:val="24"/>
          <w:szCs w:val="24"/>
          <w:lang w:eastAsia="en-GB"/>
        </w:rPr>
        <w:t> </w:t>
      </w:r>
      <w:r w:rsidR="002F051E">
        <w:rPr>
          <w:rFonts w:ascii="Times New Roman" w:hAnsi="Times New Roman"/>
          <w:sz w:val="24"/>
          <w:szCs w:val="24"/>
          <w:lang w:eastAsia="en-GB"/>
        </w:rPr>
        <w:t>aktualizáciu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PD SR</w:t>
      </w:r>
      <w:r w:rsidR="008700AD">
        <w:rPr>
          <w:rFonts w:ascii="Times New Roman" w:hAnsi="Times New Roman"/>
          <w:sz w:val="24"/>
          <w:szCs w:val="24"/>
          <w:lang w:eastAsia="en-GB"/>
        </w:rPr>
        <w:t>.</w:t>
      </w:r>
      <w:r w:rsidR="005B5626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8700AD">
        <w:rPr>
          <w:rFonts w:ascii="Times New Roman" w:hAnsi="Times New Roman"/>
          <w:sz w:val="24"/>
          <w:szCs w:val="24"/>
          <w:lang w:eastAsia="en-GB"/>
        </w:rPr>
        <w:t>D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>ôvod</w:t>
      </w:r>
      <w:r w:rsidR="008700AD">
        <w:rPr>
          <w:rFonts w:ascii="Times New Roman" w:hAnsi="Times New Roman"/>
          <w:sz w:val="24"/>
          <w:szCs w:val="24"/>
          <w:lang w:eastAsia="en-GB"/>
        </w:rPr>
        <w:t>om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2F051E">
        <w:rPr>
          <w:rFonts w:ascii="Times New Roman" w:hAnsi="Times New Roman"/>
          <w:sz w:val="24"/>
          <w:szCs w:val="24"/>
          <w:lang w:eastAsia="en-GB"/>
        </w:rPr>
        <w:t>aktualizácie</w:t>
      </w:r>
      <w:r w:rsidR="008700AD">
        <w:rPr>
          <w:rFonts w:ascii="Times New Roman" w:hAnsi="Times New Roman"/>
          <w:sz w:val="24"/>
          <w:szCs w:val="24"/>
          <w:lang w:eastAsia="en-GB"/>
        </w:rPr>
        <w:t xml:space="preserve"> bolo 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>zosúladeni</w:t>
      </w:r>
      <w:r w:rsidR="008700AD">
        <w:rPr>
          <w:rFonts w:ascii="Times New Roman" w:hAnsi="Times New Roman"/>
          <w:sz w:val="24"/>
          <w:szCs w:val="24"/>
          <w:lang w:eastAsia="en-GB"/>
        </w:rPr>
        <w:t>e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príslušných častí PD SR s</w:t>
      </w:r>
      <w:r>
        <w:rPr>
          <w:rFonts w:ascii="Times New Roman" w:hAnsi="Times New Roman"/>
          <w:sz w:val="24"/>
          <w:szCs w:val="24"/>
          <w:lang w:eastAsia="en-GB"/>
        </w:rPr>
        <w:t> </w:t>
      </w:r>
      <w:r w:rsidR="008975AA">
        <w:rPr>
          <w:rFonts w:ascii="Times New Roman" w:hAnsi="Times New Roman"/>
          <w:sz w:val="24"/>
          <w:szCs w:val="24"/>
          <w:lang w:eastAsia="en-GB"/>
        </w:rPr>
        <w:t>platnými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341B17">
        <w:rPr>
          <w:rFonts w:ascii="Times New Roman" w:hAnsi="Times New Roman"/>
          <w:sz w:val="24"/>
          <w:szCs w:val="24"/>
          <w:lang w:eastAsia="en-GB"/>
        </w:rPr>
        <w:t>verziami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programov SR pre EŠIF na programové obdobie 2014 – 2020</w:t>
      </w:r>
      <w:r w:rsidR="00341B17">
        <w:rPr>
          <w:rFonts w:ascii="Times New Roman" w:hAnsi="Times New Roman"/>
          <w:sz w:val="24"/>
          <w:szCs w:val="24"/>
          <w:lang w:eastAsia="en-GB"/>
        </w:rPr>
        <w:t>, ktoré boli</w:t>
      </w:r>
      <w:r w:rsidR="008975AA">
        <w:rPr>
          <w:rFonts w:ascii="Times New Roman" w:hAnsi="Times New Roman"/>
          <w:sz w:val="24"/>
          <w:szCs w:val="24"/>
          <w:lang w:eastAsia="en-GB"/>
        </w:rPr>
        <w:t xml:space="preserve"> prijaté</w:t>
      </w:r>
      <w:r w:rsidR="00341B17">
        <w:rPr>
          <w:rFonts w:ascii="Times New Roman" w:hAnsi="Times New Roman"/>
          <w:sz w:val="24"/>
          <w:szCs w:val="24"/>
          <w:lang w:eastAsia="en-GB"/>
        </w:rPr>
        <w:t xml:space="preserve"> zo</w:t>
      </w:r>
      <w:r w:rsidR="008700AD">
        <w:rPr>
          <w:rFonts w:ascii="Times New Roman" w:hAnsi="Times New Roman"/>
          <w:sz w:val="24"/>
          <w:szCs w:val="24"/>
          <w:lang w:eastAsia="en-GB"/>
        </w:rPr>
        <w:t> </w:t>
      </w:r>
      <w:r w:rsidR="00341B17">
        <w:rPr>
          <w:rFonts w:ascii="Times New Roman" w:hAnsi="Times New Roman"/>
          <w:sz w:val="24"/>
          <w:szCs w:val="24"/>
          <w:lang w:eastAsia="en-GB"/>
        </w:rPr>
        <w:t xml:space="preserve">strany </w:t>
      </w:r>
      <w:r w:rsidR="00566821">
        <w:rPr>
          <w:rFonts w:ascii="Times New Roman" w:hAnsi="Times New Roman"/>
          <w:sz w:val="24"/>
          <w:szCs w:val="24"/>
          <w:lang w:eastAsia="en-GB"/>
        </w:rPr>
        <w:t>EK</w:t>
      </w:r>
      <w:r w:rsidR="005D5102">
        <w:rPr>
          <w:rFonts w:ascii="Times New Roman" w:hAnsi="Times New Roman"/>
          <w:sz w:val="24"/>
          <w:szCs w:val="24"/>
          <w:lang w:eastAsia="en-GB"/>
        </w:rPr>
        <w:t xml:space="preserve"> až </w:t>
      </w:r>
      <w:r w:rsidR="008975AA">
        <w:rPr>
          <w:rFonts w:ascii="Times New Roman" w:hAnsi="Times New Roman"/>
          <w:sz w:val="24"/>
          <w:szCs w:val="24"/>
          <w:lang w:eastAsia="en-GB"/>
        </w:rPr>
        <w:t xml:space="preserve">v období </w:t>
      </w:r>
      <w:r w:rsidR="005D5102">
        <w:rPr>
          <w:rFonts w:ascii="Times New Roman" w:hAnsi="Times New Roman"/>
          <w:sz w:val="24"/>
          <w:szCs w:val="24"/>
          <w:lang w:eastAsia="en-GB"/>
        </w:rPr>
        <w:t>po schválení PD SR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>.</w:t>
      </w:r>
    </w:p>
    <w:p w:rsidR="00C0678F" w:rsidRPr="00C0678F" w:rsidRDefault="00C0678F" w:rsidP="00C0678F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C0678F" w:rsidRPr="00C0678F" w:rsidRDefault="00C0678F" w:rsidP="00C0678F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C0678F">
        <w:rPr>
          <w:rFonts w:ascii="Times New Roman" w:hAnsi="Times New Roman"/>
          <w:sz w:val="24"/>
          <w:szCs w:val="24"/>
          <w:lang w:eastAsia="en-GB"/>
        </w:rPr>
        <w:lastRenderedPageBreak/>
        <w:t>Informácie poskytnuté v PD SR a v</w:t>
      </w:r>
      <w:r w:rsidR="00341B17">
        <w:rPr>
          <w:rFonts w:ascii="Times New Roman" w:hAnsi="Times New Roman"/>
          <w:sz w:val="24"/>
          <w:szCs w:val="24"/>
          <w:lang w:eastAsia="en-GB"/>
        </w:rPr>
        <w:t xml:space="preserve"> jednotlivých </w:t>
      </w:r>
      <w:r w:rsidR="00665FBE">
        <w:rPr>
          <w:rFonts w:ascii="Times New Roman" w:hAnsi="Times New Roman"/>
          <w:sz w:val="24"/>
          <w:szCs w:val="24"/>
          <w:lang w:eastAsia="en-GB"/>
        </w:rPr>
        <w:t>OP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5B5626">
        <w:rPr>
          <w:rFonts w:ascii="Times New Roman" w:hAnsi="Times New Roman"/>
          <w:sz w:val="24"/>
          <w:szCs w:val="24"/>
          <w:lang w:eastAsia="en-GB"/>
        </w:rPr>
        <w:t>na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obdob</w:t>
      </w:r>
      <w:r w:rsidR="005B5626">
        <w:rPr>
          <w:rFonts w:ascii="Times New Roman" w:hAnsi="Times New Roman"/>
          <w:sz w:val="24"/>
          <w:szCs w:val="24"/>
          <w:lang w:eastAsia="en-GB"/>
        </w:rPr>
        <w:t>ie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2014 – 2020 sú </w:t>
      </w:r>
      <w:r w:rsidR="005B5626">
        <w:rPr>
          <w:rFonts w:ascii="Times New Roman" w:hAnsi="Times New Roman"/>
          <w:sz w:val="24"/>
          <w:szCs w:val="24"/>
          <w:lang w:eastAsia="en-GB"/>
        </w:rPr>
        <w:t>na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vzájom závislé. </w:t>
      </w:r>
      <w:r w:rsidR="002F051E">
        <w:rPr>
          <w:rFonts w:ascii="Times New Roman" w:hAnsi="Times New Roman"/>
          <w:sz w:val="24"/>
          <w:szCs w:val="24"/>
          <w:lang w:eastAsia="en-GB"/>
        </w:rPr>
        <w:t>Vzhľadom na to, že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PD SR poskytuje strategický prehľad o investíciách z</w:t>
      </w:r>
      <w:r w:rsidR="008700AD">
        <w:rPr>
          <w:rFonts w:ascii="Times New Roman" w:hAnsi="Times New Roman"/>
          <w:sz w:val="24"/>
          <w:szCs w:val="24"/>
          <w:lang w:eastAsia="en-GB"/>
        </w:rPr>
        <w:t> </w:t>
      </w:r>
      <w:r w:rsidRPr="00C0678F">
        <w:rPr>
          <w:rFonts w:ascii="Times New Roman" w:hAnsi="Times New Roman"/>
          <w:sz w:val="24"/>
          <w:szCs w:val="24"/>
          <w:lang w:eastAsia="en-GB"/>
        </w:rPr>
        <w:t>EŠIF</w:t>
      </w:r>
      <w:r w:rsidR="008700AD">
        <w:rPr>
          <w:rFonts w:ascii="Times New Roman" w:hAnsi="Times New Roman"/>
          <w:sz w:val="24"/>
          <w:szCs w:val="24"/>
          <w:lang w:eastAsia="en-GB"/>
        </w:rPr>
        <w:t>,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je dôležité, aby</w:t>
      </w:r>
      <w:r w:rsidR="00341B17">
        <w:rPr>
          <w:rFonts w:ascii="Times New Roman" w:hAnsi="Times New Roman"/>
          <w:sz w:val="24"/>
          <w:szCs w:val="24"/>
          <w:lang w:eastAsia="en-GB"/>
        </w:rPr>
        <w:t xml:space="preserve"> aktuálne verzie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665FBE">
        <w:rPr>
          <w:rFonts w:ascii="Times New Roman" w:hAnsi="Times New Roman"/>
          <w:sz w:val="24"/>
          <w:szCs w:val="24"/>
          <w:lang w:eastAsia="en-GB"/>
        </w:rPr>
        <w:t>OP</w:t>
      </w:r>
      <w:r w:rsidR="00341B17">
        <w:rPr>
          <w:rFonts w:ascii="Times New Roman" w:hAnsi="Times New Roman"/>
          <w:sz w:val="24"/>
          <w:szCs w:val="24"/>
          <w:lang w:eastAsia="en-GB"/>
        </w:rPr>
        <w:t xml:space="preserve"> pre EŠIF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boli zohľadnené v PD SR</w:t>
      </w:r>
      <w:r w:rsidR="005B5626">
        <w:rPr>
          <w:rFonts w:ascii="Times New Roman" w:hAnsi="Times New Roman"/>
          <w:sz w:val="24"/>
          <w:szCs w:val="24"/>
          <w:lang w:eastAsia="en-GB"/>
        </w:rPr>
        <w:t xml:space="preserve"> a</w:t>
      </w:r>
      <w:r w:rsidR="00341B17">
        <w:rPr>
          <w:rFonts w:ascii="Times New Roman" w:hAnsi="Times New Roman"/>
          <w:sz w:val="24"/>
          <w:szCs w:val="24"/>
          <w:lang w:eastAsia="en-GB"/>
        </w:rPr>
        <w:t> </w:t>
      </w:r>
      <w:r w:rsidR="005B5626">
        <w:rPr>
          <w:rFonts w:ascii="Times New Roman" w:hAnsi="Times New Roman"/>
          <w:sz w:val="24"/>
          <w:szCs w:val="24"/>
          <w:lang w:eastAsia="en-GB"/>
        </w:rPr>
        <w:t>naopak</w:t>
      </w:r>
      <w:r w:rsidR="00341B17">
        <w:rPr>
          <w:rFonts w:ascii="Times New Roman" w:hAnsi="Times New Roman"/>
          <w:sz w:val="24"/>
          <w:szCs w:val="24"/>
          <w:lang w:eastAsia="en-GB"/>
        </w:rPr>
        <w:t>.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341B17">
        <w:rPr>
          <w:rFonts w:ascii="Times New Roman" w:hAnsi="Times New Roman"/>
          <w:sz w:val="24"/>
          <w:szCs w:val="24"/>
          <w:lang w:eastAsia="en-GB"/>
        </w:rPr>
        <w:t>T</w:t>
      </w:r>
      <w:r w:rsidR="005B5626">
        <w:rPr>
          <w:rFonts w:ascii="Times New Roman" w:hAnsi="Times New Roman"/>
          <w:sz w:val="24"/>
          <w:szCs w:val="24"/>
          <w:lang w:eastAsia="en-GB"/>
        </w:rPr>
        <w:t>akýmto spôsobom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341B17">
        <w:rPr>
          <w:rFonts w:ascii="Times New Roman" w:hAnsi="Times New Roman"/>
          <w:sz w:val="24"/>
          <w:szCs w:val="24"/>
          <w:lang w:eastAsia="en-GB"/>
        </w:rPr>
        <w:t>je žiaduce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zachova</w:t>
      </w:r>
      <w:r w:rsidR="00341B17">
        <w:rPr>
          <w:rFonts w:ascii="Times New Roman" w:hAnsi="Times New Roman"/>
          <w:sz w:val="24"/>
          <w:szCs w:val="24"/>
          <w:lang w:eastAsia="en-GB"/>
        </w:rPr>
        <w:t>ť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konzistentnosť počas celého programového obdobia.</w:t>
      </w:r>
      <w:r w:rsidR="008700AD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V tomto kontexte </w:t>
      </w:r>
      <w:r w:rsidR="005B5626">
        <w:rPr>
          <w:rFonts w:ascii="Times New Roman" w:hAnsi="Times New Roman"/>
          <w:sz w:val="24"/>
          <w:szCs w:val="24"/>
          <w:lang w:eastAsia="en-GB"/>
        </w:rPr>
        <w:t xml:space="preserve">boli </w:t>
      </w:r>
      <w:r w:rsidR="008975AA">
        <w:rPr>
          <w:rFonts w:ascii="Times New Roman" w:hAnsi="Times New Roman"/>
          <w:sz w:val="24"/>
          <w:szCs w:val="24"/>
          <w:lang w:eastAsia="en-GB"/>
        </w:rPr>
        <w:t>príslušné údaje</w:t>
      </w:r>
      <w:r w:rsidR="008975AA" w:rsidRPr="00C0678F">
        <w:rPr>
          <w:rFonts w:ascii="Times New Roman" w:hAnsi="Times New Roman"/>
          <w:sz w:val="24"/>
          <w:szCs w:val="24"/>
          <w:lang w:eastAsia="en-GB"/>
        </w:rPr>
        <w:t xml:space="preserve"> v PD SR</w:t>
      </w:r>
      <w:r w:rsidR="008975AA" w:rsidRPr="00C0678F" w:rsidDel="005B5626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C0678F">
        <w:rPr>
          <w:rFonts w:ascii="Times New Roman" w:hAnsi="Times New Roman"/>
          <w:sz w:val="24"/>
          <w:szCs w:val="24"/>
          <w:lang w:eastAsia="en-GB"/>
        </w:rPr>
        <w:t>zosúlad</w:t>
      </w:r>
      <w:r w:rsidR="00341B17">
        <w:rPr>
          <w:rFonts w:ascii="Times New Roman" w:hAnsi="Times New Roman"/>
          <w:sz w:val="24"/>
          <w:szCs w:val="24"/>
          <w:lang w:eastAsia="en-GB"/>
        </w:rPr>
        <w:t>ené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s aktuálnym znením </w:t>
      </w:r>
      <w:r w:rsidR="00665FBE">
        <w:rPr>
          <w:rFonts w:ascii="Times New Roman" w:hAnsi="Times New Roman"/>
          <w:sz w:val="24"/>
          <w:szCs w:val="24"/>
          <w:lang w:eastAsia="en-GB"/>
        </w:rPr>
        <w:t>OP</w:t>
      </w:r>
      <w:r w:rsidR="00DE6060">
        <w:rPr>
          <w:rFonts w:ascii="Times New Roman" w:hAnsi="Times New Roman"/>
          <w:sz w:val="24"/>
          <w:szCs w:val="24"/>
          <w:lang w:eastAsia="en-GB"/>
        </w:rPr>
        <w:t xml:space="preserve"> pre EŠIF</w:t>
      </w:r>
      <w:r w:rsidR="006B02E3">
        <w:rPr>
          <w:rFonts w:ascii="Times New Roman" w:hAnsi="Times New Roman"/>
          <w:sz w:val="24"/>
          <w:szCs w:val="24"/>
          <w:lang w:eastAsia="en-GB"/>
        </w:rPr>
        <w:t xml:space="preserve"> na</w:t>
      </w:r>
      <w:r w:rsidR="0041575A">
        <w:rPr>
          <w:rFonts w:ascii="Times New Roman" w:hAnsi="Times New Roman"/>
          <w:sz w:val="24"/>
          <w:szCs w:val="24"/>
          <w:lang w:eastAsia="en-GB"/>
        </w:rPr>
        <w:t> </w:t>
      </w:r>
      <w:r w:rsidR="006B02E3">
        <w:rPr>
          <w:rFonts w:ascii="Times New Roman" w:hAnsi="Times New Roman"/>
          <w:sz w:val="24"/>
          <w:szCs w:val="24"/>
          <w:lang w:eastAsia="en-GB"/>
        </w:rPr>
        <w:t xml:space="preserve">obdobie 2014 </w:t>
      </w:r>
      <w:r w:rsidR="004D3234" w:rsidRPr="005D5102">
        <w:rPr>
          <w:rFonts w:ascii="Times New Roman" w:hAnsi="Times New Roman"/>
          <w:sz w:val="24"/>
          <w:szCs w:val="24"/>
          <w:lang w:eastAsia="en-GB"/>
        </w:rPr>
        <w:t>–</w:t>
      </w:r>
      <w:r w:rsidR="006B02E3">
        <w:rPr>
          <w:rFonts w:ascii="Times New Roman" w:hAnsi="Times New Roman"/>
          <w:sz w:val="24"/>
          <w:szCs w:val="24"/>
          <w:lang w:eastAsia="en-GB"/>
        </w:rPr>
        <w:t xml:space="preserve"> 2020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v nasledujúcich bodoch:</w:t>
      </w:r>
    </w:p>
    <w:p w:rsidR="00C0678F" w:rsidRPr="00C0678F" w:rsidRDefault="00C0678F" w:rsidP="00C0678F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C0678F" w:rsidRPr="00F16D2A" w:rsidRDefault="00C0678F" w:rsidP="00F16D2A">
      <w:pPr>
        <w:pStyle w:val="Odsekzoznamu"/>
        <w:numPr>
          <w:ilvl w:val="0"/>
          <w:numId w:val="24"/>
        </w:numPr>
        <w:spacing w:before="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D2A">
        <w:rPr>
          <w:rFonts w:ascii="Times New Roman" w:hAnsi="Times New Roman" w:cs="Times New Roman"/>
          <w:b/>
          <w:sz w:val="24"/>
          <w:szCs w:val="24"/>
          <w:u w:val="single"/>
        </w:rPr>
        <w:t>Zosúladenie indikatívnej podpory EÚ podľa tematických cieľov</w:t>
      </w:r>
      <w:bookmarkStart w:id="0" w:name="_Ref489463239"/>
      <w:r w:rsidRPr="00EE04B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footnoteReference w:id="1"/>
      </w:r>
      <w:bookmarkEnd w:id="0"/>
      <w:r w:rsidRPr="00F1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E27194" w:rsidRPr="00F16D2A">
        <w:rPr>
          <w:rFonts w:ascii="Times New Roman" w:hAnsi="Times New Roman" w:cs="Times New Roman"/>
          <w:b/>
          <w:sz w:val="24"/>
          <w:szCs w:val="24"/>
          <w:u w:val="single"/>
        </w:rPr>
        <w:t>ďalej len „</w:t>
      </w:r>
      <w:r w:rsidRPr="00F16D2A">
        <w:rPr>
          <w:rFonts w:ascii="Times New Roman" w:hAnsi="Times New Roman" w:cs="Times New Roman"/>
          <w:b/>
          <w:sz w:val="24"/>
          <w:szCs w:val="24"/>
          <w:u w:val="single"/>
        </w:rPr>
        <w:t>TC</w:t>
      </w:r>
      <w:r w:rsidR="00E27194" w:rsidRPr="00F16D2A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Pr="00F16D2A">
        <w:rPr>
          <w:rFonts w:ascii="Times New Roman" w:hAnsi="Times New Roman" w:cs="Times New Roman"/>
          <w:b/>
          <w:sz w:val="24"/>
          <w:szCs w:val="24"/>
          <w:u w:val="single"/>
        </w:rPr>
        <w:t>) na</w:t>
      </w:r>
      <w:r w:rsidR="008700AD" w:rsidRPr="00F16D2A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F16D2A">
        <w:rPr>
          <w:rFonts w:ascii="Times New Roman" w:hAnsi="Times New Roman" w:cs="Times New Roman"/>
          <w:b/>
          <w:sz w:val="24"/>
          <w:szCs w:val="24"/>
          <w:u w:val="single"/>
        </w:rPr>
        <w:t>národnej úrovni pre každý EŠIF medzi PD SR a programami SR</w:t>
      </w:r>
      <w:r w:rsidRPr="002E2B16">
        <w:rPr>
          <w:rFonts w:ascii="Times New Roman" w:eastAsiaTheme="minorHAnsi" w:hAnsi="Times New Roman"/>
          <w:b/>
          <w:sz w:val="24"/>
          <w:szCs w:val="24"/>
          <w:vertAlign w:val="superscript"/>
          <w:lang w:eastAsia="en-GB"/>
        </w:rPr>
        <w:footnoteReference w:id="2"/>
      </w:r>
    </w:p>
    <w:p w:rsidR="00C0678F" w:rsidRPr="00C0678F" w:rsidRDefault="00C0678F" w:rsidP="00C0678F">
      <w:pPr>
        <w:spacing w:after="0"/>
        <w:jc w:val="both"/>
        <w:rPr>
          <w:rFonts w:ascii="Times New Roman" w:hAnsi="Times New Roman"/>
          <w:i/>
          <w:sz w:val="24"/>
          <w:szCs w:val="24"/>
          <w:lang w:eastAsia="en-GB"/>
        </w:rPr>
      </w:pPr>
    </w:p>
    <w:p w:rsidR="00C0678F" w:rsidRDefault="00C0678F" w:rsidP="00C0678F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C0678F">
        <w:rPr>
          <w:rFonts w:ascii="Times New Roman" w:hAnsi="Times New Roman"/>
          <w:sz w:val="24"/>
          <w:szCs w:val="24"/>
          <w:lang w:eastAsia="en-GB"/>
        </w:rPr>
        <w:t>Úpravy sa týkali Európsk</w:t>
      </w:r>
      <w:r w:rsidR="00EB5CE2">
        <w:rPr>
          <w:rFonts w:ascii="Times New Roman" w:hAnsi="Times New Roman"/>
          <w:sz w:val="24"/>
          <w:szCs w:val="24"/>
          <w:lang w:eastAsia="en-GB"/>
        </w:rPr>
        <w:t xml:space="preserve">eho fondu regionálneho rozvoja </w:t>
      </w:r>
      <w:r w:rsidRPr="00C0678F">
        <w:rPr>
          <w:rFonts w:ascii="Times New Roman" w:hAnsi="Times New Roman"/>
          <w:sz w:val="24"/>
          <w:szCs w:val="24"/>
          <w:lang w:eastAsia="en-GB"/>
        </w:rPr>
        <w:t>(</w:t>
      </w:r>
      <w:r w:rsidR="00E27194">
        <w:rPr>
          <w:rFonts w:ascii="Times New Roman" w:hAnsi="Times New Roman"/>
          <w:sz w:val="24"/>
          <w:szCs w:val="24"/>
          <w:lang w:eastAsia="en-GB"/>
        </w:rPr>
        <w:t>ďalej len „</w:t>
      </w:r>
      <w:r w:rsidRPr="00C0678F">
        <w:rPr>
          <w:rFonts w:ascii="Times New Roman" w:hAnsi="Times New Roman"/>
          <w:sz w:val="24"/>
          <w:szCs w:val="24"/>
          <w:lang w:eastAsia="en-GB"/>
        </w:rPr>
        <w:t>EFRR</w:t>
      </w:r>
      <w:r w:rsidR="00E27194">
        <w:rPr>
          <w:rFonts w:ascii="Times New Roman" w:hAnsi="Times New Roman"/>
          <w:sz w:val="24"/>
          <w:szCs w:val="24"/>
          <w:lang w:eastAsia="en-GB"/>
        </w:rPr>
        <w:t>“</w:t>
      </w:r>
      <w:r w:rsidR="00EB5CE2">
        <w:rPr>
          <w:rFonts w:ascii="Times New Roman" w:hAnsi="Times New Roman"/>
          <w:sz w:val="24"/>
          <w:szCs w:val="24"/>
          <w:lang w:eastAsia="en-GB"/>
        </w:rPr>
        <w:t>), Európskeho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poľnohospodárskeho fondu pre rozvoj vidieka (</w:t>
      </w:r>
      <w:r w:rsidR="00E27194">
        <w:rPr>
          <w:rFonts w:ascii="Times New Roman" w:hAnsi="Times New Roman"/>
          <w:sz w:val="24"/>
          <w:szCs w:val="24"/>
          <w:lang w:eastAsia="en-GB"/>
        </w:rPr>
        <w:t>ďalej len „</w:t>
      </w:r>
      <w:r w:rsidRPr="00C0678F">
        <w:rPr>
          <w:rFonts w:ascii="Times New Roman" w:hAnsi="Times New Roman"/>
          <w:sz w:val="24"/>
          <w:szCs w:val="24"/>
          <w:lang w:eastAsia="en-GB"/>
        </w:rPr>
        <w:t>EPFRV</w:t>
      </w:r>
      <w:r w:rsidR="00E27194">
        <w:rPr>
          <w:rFonts w:ascii="Times New Roman" w:hAnsi="Times New Roman"/>
          <w:sz w:val="24"/>
          <w:szCs w:val="24"/>
          <w:lang w:eastAsia="en-GB"/>
        </w:rPr>
        <w:t>“</w:t>
      </w:r>
      <w:r w:rsidRPr="00C0678F">
        <w:rPr>
          <w:rFonts w:ascii="Times New Roman" w:hAnsi="Times New Roman"/>
          <w:sz w:val="24"/>
          <w:szCs w:val="24"/>
          <w:lang w:eastAsia="en-GB"/>
        </w:rPr>
        <w:t>) a Európskeho námorného a rybárskeho fondu (</w:t>
      </w:r>
      <w:r w:rsidR="00E27194">
        <w:rPr>
          <w:rFonts w:ascii="Times New Roman" w:hAnsi="Times New Roman"/>
          <w:sz w:val="24"/>
          <w:szCs w:val="24"/>
          <w:lang w:eastAsia="en-GB"/>
        </w:rPr>
        <w:t>ďalej len „</w:t>
      </w:r>
      <w:r w:rsidRPr="00C0678F">
        <w:rPr>
          <w:rFonts w:ascii="Times New Roman" w:hAnsi="Times New Roman"/>
          <w:sz w:val="24"/>
          <w:szCs w:val="24"/>
          <w:lang w:eastAsia="en-GB"/>
        </w:rPr>
        <w:t>ENRF</w:t>
      </w:r>
      <w:r w:rsidR="00E27194">
        <w:rPr>
          <w:rFonts w:ascii="Times New Roman" w:hAnsi="Times New Roman"/>
          <w:sz w:val="24"/>
          <w:szCs w:val="24"/>
          <w:lang w:eastAsia="en-GB"/>
        </w:rPr>
        <w:t>“</w:t>
      </w:r>
      <w:r w:rsidRPr="00C0678F">
        <w:rPr>
          <w:rFonts w:ascii="Times New Roman" w:hAnsi="Times New Roman"/>
          <w:sz w:val="24"/>
          <w:szCs w:val="24"/>
          <w:lang w:eastAsia="en-GB"/>
        </w:rPr>
        <w:t>).</w:t>
      </w:r>
    </w:p>
    <w:p w:rsidR="00AA788E" w:rsidRPr="00C0678F" w:rsidRDefault="00AA788E" w:rsidP="00C0678F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470C0C" w:rsidRDefault="00C0678F" w:rsidP="00C06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78F">
        <w:rPr>
          <w:rFonts w:ascii="Times New Roman" w:hAnsi="Times New Roman"/>
          <w:sz w:val="24"/>
          <w:szCs w:val="24"/>
          <w:lang w:eastAsia="en-GB"/>
        </w:rPr>
        <w:t xml:space="preserve">V prípade EFRR došlo k presunu časti alokácie z TC1 na TC3 v rámci </w:t>
      </w:r>
      <w:r w:rsidR="00EB5CE2">
        <w:rPr>
          <w:rFonts w:ascii="Times New Roman" w:hAnsi="Times New Roman"/>
          <w:sz w:val="24"/>
          <w:szCs w:val="24"/>
          <w:lang w:eastAsia="en-GB"/>
        </w:rPr>
        <w:t>Operačného programu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Výskum a</w:t>
      </w:r>
      <w:r w:rsidR="008975AA">
        <w:rPr>
          <w:rFonts w:ascii="Times New Roman" w:hAnsi="Times New Roman"/>
          <w:sz w:val="24"/>
          <w:szCs w:val="24"/>
          <w:lang w:eastAsia="en-GB"/>
        </w:rPr>
        <w:t> </w:t>
      </w:r>
      <w:r w:rsidR="00341B17">
        <w:rPr>
          <w:rFonts w:ascii="Times New Roman" w:hAnsi="Times New Roman"/>
          <w:sz w:val="24"/>
          <w:szCs w:val="24"/>
          <w:lang w:eastAsia="en-GB"/>
        </w:rPr>
        <w:t>i</w:t>
      </w:r>
      <w:r w:rsidRPr="00C0678F">
        <w:rPr>
          <w:rFonts w:ascii="Times New Roman" w:hAnsi="Times New Roman"/>
          <w:sz w:val="24"/>
          <w:szCs w:val="24"/>
          <w:lang w:eastAsia="en-GB"/>
        </w:rPr>
        <w:t>novácie</w:t>
      </w:r>
      <w:r w:rsidR="008975A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E27194">
        <w:rPr>
          <w:rFonts w:ascii="Times New Roman" w:hAnsi="Times New Roman"/>
          <w:sz w:val="24"/>
          <w:szCs w:val="24"/>
          <w:lang w:eastAsia="en-GB"/>
        </w:rPr>
        <w:t xml:space="preserve">2014 </w:t>
      </w:r>
      <w:r w:rsidR="004D3234" w:rsidRPr="005D5102">
        <w:rPr>
          <w:rFonts w:ascii="Times New Roman" w:hAnsi="Times New Roman"/>
          <w:sz w:val="24"/>
          <w:szCs w:val="24"/>
          <w:lang w:eastAsia="en-GB"/>
        </w:rPr>
        <w:t>–</w:t>
      </w:r>
      <w:r w:rsidR="00E27194">
        <w:rPr>
          <w:rFonts w:ascii="Times New Roman" w:hAnsi="Times New Roman"/>
          <w:sz w:val="24"/>
          <w:szCs w:val="24"/>
          <w:lang w:eastAsia="en-GB"/>
        </w:rPr>
        <w:t xml:space="preserve"> 2020</w:t>
      </w:r>
      <w:r w:rsidR="00341B17">
        <w:rPr>
          <w:rFonts w:ascii="Times New Roman" w:hAnsi="Times New Roman"/>
          <w:sz w:val="24"/>
          <w:szCs w:val="24"/>
          <w:lang w:eastAsia="en-GB"/>
        </w:rPr>
        <w:t>,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avšak celková alokácia na EFRR </w:t>
      </w:r>
      <w:r w:rsidR="00341B17">
        <w:rPr>
          <w:rFonts w:ascii="Times New Roman" w:hAnsi="Times New Roman"/>
          <w:sz w:val="24"/>
          <w:szCs w:val="24"/>
          <w:lang w:eastAsia="en-GB"/>
        </w:rPr>
        <w:t>z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ostala nezmenená. 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>V súvislosti so zmenou alokácie EPFRV</w:t>
      </w:r>
      <w:r w:rsidR="00341B17">
        <w:rPr>
          <w:rFonts w:ascii="Times New Roman" w:hAnsi="Times New Roman" w:cs="Times New Roman"/>
          <w:sz w:val="24"/>
          <w:szCs w:val="24"/>
          <w:lang w:eastAsia="en-GB"/>
        </w:rPr>
        <w:t>, a to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 xml:space="preserve"> v zmysle delegovaného nariadenia Komisie</w:t>
      </w:r>
      <w:r w:rsidR="00102622" w:rsidRPr="00C0678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>(EÚ) č. 1378/2014 zo 17. októbra 2014</w:t>
      </w:r>
      <w:r w:rsidR="00AA788E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 xml:space="preserve"> došlo k úpravám alokácie TC1, TC3</w:t>
      </w:r>
      <w:r w:rsidR="00C70BDE">
        <w:rPr>
          <w:rFonts w:ascii="Times New Roman" w:hAnsi="Times New Roman" w:cs="Times New Roman"/>
          <w:sz w:val="24"/>
          <w:szCs w:val="24"/>
          <w:lang w:eastAsia="en-GB"/>
        </w:rPr>
        <w:t xml:space="preserve"> až TC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>6, TC8</w:t>
      </w:r>
      <w:r w:rsidR="00C70BDE">
        <w:rPr>
          <w:rFonts w:ascii="Times New Roman" w:hAnsi="Times New Roman" w:cs="Times New Roman"/>
          <w:sz w:val="24"/>
          <w:szCs w:val="24"/>
          <w:lang w:eastAsia="en-GB"/>
        </w:rPr>
        <w:t xml:space="preserve"> až TC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>10 a Technickej pomoci (</w:t>
      </w:r>
      <w:r w:rsidR="00AA788E">
        <w:rPr>
          <w:rFonts w:ascii="Times New Roman" w:hAnsi="Times New Roman" w:cs="Times New Roman"/>
          <w:sz w:val="24"/>
          <w:szCs w:val="24"/>
          <w:lang w:eastAsia="en-GB"/>
        </w:rPr>
        <w:t>ďalej len „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>TP</w:t>
      </w:r>
      <w:r w:rsidR="00AA788E">
        <w:rPr>
          <w:rFonts w:ascii="Times New Roman" w:hAnsi="Times New Roman" w:cs="Times New Roman"/>
          <w:sz w:val="24"/>
          <w:szCs w:val="24"/>
          <w:lang w:eastAsia="en-GB"/>
        </w:rPr>
        <w:t>“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>). Ďalšie úpravy sa týkali ENRF</w:t>
      </w:r>
      <w:r w:rsidR="00341B17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 xml:space="preserve"> v rámci ktorého bola presunutá časť alokácie z TP na TC3</w:t>
      </w:r>
      <w:r w:rsidR="00341B17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 xml:space="preserve"> avšak celková alokácia ostala nezmenená.</w:t>
      </w:r>
      <w:r w:rsidR="00FE272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E272C">
        <w:rPr>
          <w:rFonts w:ascii="Times New Roman" w:hAnsi="Times New Roman"/>
          <w:bCs/>
          <w:sz w:val="24"/>
          <w:szCs w:val="24"/>
          <w:lang w:eastAsia="en-GB"/>
        </w:rPr>
        <w:t xml:space="preserve">Ide o zmeny v tabuľke 2 </w:t>
      </w:r>
      <w:r w:rsidR="00735D0E">
        <w:rPr>
          <w:rFonts w:ascii="Times New Roman" w:hAnsi="Times New Roman"/>
          <w:bCs/>
          <w:sz w:val="24"/>
          <w:szCs w:val="24"/>
          <w:lang w:eastAsia="en-GB"/>
        </w:rPr>
        <w:t xml:space="preserve">a 4 </w:t>
      </w:r>
      <w:r w:rsidR="00FE272C">
        <w:rPr>
          <w:rFonts w:ascii="Times New Roman" w:hAnsi="Times New Roman"/>
          <w:bCs/>
          <w:sz w:val="24"/>
          <w:szCs w:val="24"/>
          <w:lang w:eastAsia="en-GB"/>
        </w:rPr>
        <w:t>v kapitole</w:t>
      </w:r>
      <w:r w:rsidR="00FE272C">
        <w:rPr>
          <w:rFonts w:ascii="Times New Roman" w:hAnsi="Times New Roman" w:cs="Times New Roman"/>
          <w:sz w:val="24"/>
          <w:szCs w:val="24"/>
        </w:rPr>
        <w:t xml:space="preserve"> 1.4</w:t>
      </w:r>
      <w:r w:rsidR="00B46E76">
        <w:rPr>
          <w:rFonts w:ascii="Times New Roman" w:hAnsi="Times New Roman" w:cs="Times New Roman"/>
          <w:sz w:val="24"/>
          <w:szCs w:val="24"/>
        </w:rPr>
        <w:t xml:space="preserve"> PD SR</w:t>
      </w:r>
      <w:r w:rsidR="00FE272C">
        <w:rPr>
          <w:rFonts w:ascii="Times New Roman" w:hAnsi="Times New Roman" w:cs="Times New Roman"/>
          <w:sz w:val="24"/>
          <w:szCs w:val="24"/>
        </w:rPr>
        <w:t>.</w:t>
      </w:r>
      <w:r w:rsidR="00470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C0C" w:rsidRDefault="00470C0C" w:rsidP="00C06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78F" w:rsidRPr="00C0678F" w:rsidRDefault="00470C0C" w:rsidP="00C0678F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V súvislosti s uvedenými zmenami bola upravená aj tabuľka 11 v kapitole 1.10 PD SR.</w:t>
      </w:r>
    </w:p>
    <w:p w:rsidR="00C0678F" w:rsidRPr="00C0678F" w:rsidRDefault="00C0678F" w:rsidP="00C0678F">
      <w:pPr>
        <w:spacing w:after="0"/>
        <w:jc w:val="both"/>
        <w:rPr>
          <w:rFonts w:ascii="Times New Roman" w:hAnsi="Times New Roman"/>
          <w:b/>
          <w:sz w:val="24"/>
          <w:szCs w:val="24"/>
          <w:lang w:eastAsia="en-GB"/>
        </w:rPr>
      </w:pPr>
    </w:p>
    <w:p w:rsidR="00C0678F" w:rsidRPr="00F16D2A" w:rsidRDefault="00C0678F" w:rsidP="00F16D2A">
      <w:pPr>
        <w:pStyle w:val="Odsekzoznamu"/>
        <w:numPr>
          <w:ilvl w:val="0"/>
          <w:numId w:val="24"/>
        </w:numPr>
        <w:spacing w:before="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D2A">
        <w:rPr>
          <w:rFonts w:ascii="Times New Roman" w:hAnsi="Times New Roman" w:cs="Times New Roman"/>
          <w:b/>
          <w:sz w:val="24"/>
          <w:szCs w:val="24"/>
          <w:u w:val="single"/>
        </w:rPr>
        <w:t>Zosúladenie pridelených finančných prostriedkov podľa EŠIF a ročných záväzkov</w:t>
      </w:r>
      <w:r w:rsidRPr="002E2B16">
        <w:rPr>
          <w:rFonts w:ascii="Times New Roman" w:eastAsiaTheme="minorHAnsi" w:hAnsi="Times New Roman"/>
          <w:b/>
          <w:sz w:val="24"/>
          <w:szCs w:val="24"/>
          <w:vertAlign w:val="superscript"/>
          <w:lang w:eastAsia="en-GB"/>
        </w:rPr>
        <w:footnoteReference w:id="3"/>
      </w:r>
      <w:r w:rsidRPr="002E2B16">
        <w:rPr>
          <w:rFonts w:ascii="Times New Roman" w:eastAsiaTheme="minorHAnsi" w:hAnsi="Times New Roman"/>
          <w:b/>
          <w:sz w:val="24"/>
          <w:szCs w:val="24"/>
          <w:vertAlign w:val="superscript"/>
          <w:lang w:eastAsia="en-GB"/>
        </w:rPr>
        <w:t xml:space="preserve"> </w:t>
      </w:r>
    </w:p>
    <w:p w:rsidR="00C0678F" w:rsidRPr="00C0678F" w:rsidRDefault="00C0678F" w:rsidP="00C0678F">
      <w:pPr>
        <w:spacing w:after="0"/>
        <w:jc w:val="both"/>
        <w:rPr>
          <w:rFonts w:ascii="Times New Roman" w:hAnsi="Times New Roman"/>
          <w:i/>
          <w:sz w:val="24"/>
          <w:szCs w:val="24"/>
          <w:lang w:eastAsia="en-GB"/>
        </w:rPr>
      </w:pPr>
    </w:p>
    <w:p w:rsidR="00C0678F" w:rsidRPr="00C0678F" w:rsidRDefault="00C0678F" w:rsidP="00C067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0678F">
        <w:rPr>
          <w:rFonts w:ascii="Times New Roman" w:hAnsi="Times New Roman"/>
          <w:sz w:val="24"/>
          <w:szCs w:val="24"/>
          <w:lang w:eastAsia="en-GB"/>
        </w:rPr>
        <w:t>V rámci ENRF, O</w:t>
      </w:r>
      <w:r w:rsidR="00E27194">
        <w:rPr>
          <w:rFonts w:ascii="Times New Roman" w:hAnsi="Times New Roman"/>
          <w:sz w:val="24"/>
          <w:szCs w:val="24"/>
          <w:lang w:eastAsia="en-GB"/>
        </w:rPr>
        <w:t>peračného programu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Rybné hospodárstvo </w:t>
      </w:r>
      <w:r w:rsidR="00E27194">
        <w:rPr>
          <w:rFonts w:ascii="Times New Roman" w:hAnsi="Times New Roman"/>
          <w:sz w:val="24"/>
          <w:szCs w:val="24"/>
          <w:lang w:eastAsia="en-GB"/>
        </w:rPr>
        <w:t xml:space="preserve">2014 </w:t>
      </w:r>
      <w:r w:rsidR="00AA788E">
        <w:rPr>
          <w:rFonts w:ascii="Times New Roman" w:hAnsi="Times New Roman"/>
          <w:sz w:val="24"/>
          <w:szCs w:val="24"/>
          <w:lang w:eastAsia="en-GB"/>
        </w:rPr>
        <w:t>–</w:t>
      </w:r>
      <w:r w:rsidR="00E27194">
        <w:rPr>
          <w:rFonts w:ascii="Times New Roman" w:hAnsi="Times New Roman"/>
          <w:sz w:val="24"/>
          <w:szCs w:val="24"/>
          <w:lang w:eastAsia="en-GB"/>
        </w:rPr>
        <w:t xml:space="preserve"> 2020</w:t>
      </w:r>
      <w:r w:rsidR="00AA788E">
        <w:rPr>
          <w:rFonts w:ascii="Times New Roman" w:hAnsi="Times New Roman"/>
          <w:sz w:val="24"/>
          <w:szCs w:val="24"/>
          <w:lang w:eastAsia="en-GB"/>
        </w:rPr>
        <w:t>,</w:t>
      </w:r>
      <w:r w:rsidR="006B02E3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boli </w:t>
      </w:r>
      <w:r w:rsidR="00E27194">
        <w:rPr>
          <w:rFonts w:ascii="Times New Roman" w:hAnsi="Times New Roman"/>
          <w:sz w:val="24"/>
          <w:szCs w:val="24"/>
          <w:lang w:eastAsia="en-GB"/>
        </w:rPr>
        <w:t xml:space="preserve">na úrovni SR </w:t>
      </w:r>
      <w:r w:rsidR="00E27194" w:rsidRPr="00C0678F">
        <w:rPr>
          <w:rFonts w:ascii="Times New Roman" w:hAnsi="Times New Roman"/>
          <w:sz w:val="24"/>
          <w:szCs w:val="24"/>
          <w:lang w:eastAsia="en-GB"/>
        </w:rPr>
        <w:t>presunuté</w:t>
      </w:r>
      <w:r w:rsidR="00E27194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6B02E3">
        <w:rPr>
          <w:rFonts w:ascii="Times New Roman" w:hAnsi="Times New Roman"/>
          <w:sz w:val="24"/>
          <w:szCs w:val="24"/>
          <w:lang w:eastAsia="en-GB"/>
        </w:rPr>
        <w:t xml:space="preserve">finančné 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záväzky z roku 2014 do záväzkov roku 2015. 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>Ďalšie úpravy ročných záväzkov sa týkali EPFRV</w:t>
      </w:r>
      <w:r w:rsidR="006B02E3">
        <w:rPr>
          <w:rFonts w:ascii="Times New Roman" w:hAnsi="Times New Roman" w:cs="Times New Roman"/>
          <w:sz w:val="24"/>
          <w:szCs w:val="24"/>
          <w:lang w:eastAsia="en-GB"/>
        </w:rPr>
        <w:t>, a to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 xml:space="preserve"> v zmysle delegovaného nariadenia Komisie (EÚ) č.</w:t>
      </w:r>
      <w:r w:rsidR="00AA788E">
        <w:rPr>
          <w:rFonts w:ascii="Times New Roman" w:hAnsi="Times New Roman" w:cs="Times New Roman"/>
          <w:sz w:val="24"/>
          <w:szCs w:val="24"/>
          <w:lang w:eastAsia="en-GB"/>
        </w:rPr>
        <w:t> 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 xml:space="preserve">1378/2014 zo 17. októbra 2014, z dôvodu zmeny celkovej </w:t>
      </w:r>
      <w:r w:rsidR="006B02E3" w:rsidRPr="00C0678F">
        <w:rPr>
          <w:rFonts w:ascii="Times New Roman" w:hAnsi="Times New Roman" w:cs="Times New Roman"/>
          <w:sz w:val="24"/>
          <w:szCs w:val="24"/>
          <w:lang w:eastAsia="en-GB"/>
        </w:rPr>
        <w:t xml:space="preserve">pridelenej </w:t>
      </w:r>
      <w:r w:rsidRPr="00C0678F">
        <w:rPr>
          <w:rFonts w:ascii="Times New Roman" w:hAnsi="Times New Roman" w:cs="Times New Roman"/>
          <w:sz w:val="24"/>
          <w:szCs w:val="24"/>
          <w:lang w:eastAsia="en-GB"/>
        </w:rPr>
        <w:t>alokácie.</w:t>
      </w:r>
      <w:r w:rsidR="006B02E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B3193B">
        <w:rPr>
          <w:rFonts w:ascii="Times New Roman" w:hAnsi="Times New Roman"/>
          <w:bCs/>
          <w:sz w:val="24"/>
          <w:szCs w:val="24"/>
          <w:lang w:eastAsia="en-GB"/>
        </w:rPr>
        <w:t>Ide o zmeny v tabuľke 6</w:t>
      </w:r>
      <w:r w:rsidR="00A14F8F">
        <w:rPr>
          <w:rFonts w:ascii="Times New Roman" w:hAnsi="Times New Roman"/>
          <w:bCs/>
          <w:sz w:val="24"/>
          <w:szCs w:val="24"/>
          <w:lang w:eastAsia="en-GB"/>
        </w:rPr>
        <w:t>,</w:t>
      </w:r>
      <w:r w:rsidR="00B3193B">
        <w:rPr>
          <w:rFonts w:ascii="Times New Roman" w:hAnsi="Times New Roman"/>
          <w:bCs/>
          <w:sz w:val="24"/>
          <w:szCs w:val="24"/>
          <w:lang w:eastAsia="en-GB"/>
        </w:rPr>
        <w:t xml:space="preserve"> v kapitole</w:t>
      </w:r>
      <w:r w:rsidR="00B3193B">
        <w:rPr>
          <w:rFonts w:ascii="Times New Roman" w:hAnsi="Times New Roman" w:cs="Times New Roman"/>
          <w:sz w:val="24"/>
          <w:szCs w:val="24"/>
        </w:rPr>
        <w:t xml:space="preserve"> 1.6 PD SR.</w:t>
      </w:r>
      <w:r w:rsidR="00E2719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C0678F" w:rsidRPr="00C0678F" w:rsidRDefault="00C0678F" w:rsidP="00C067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0678F" w:rsidRPr="00F16D2A" w:rsidRDefault="00C0678F" w:rsidP="00F16D2A">
      <w:pPr>
        <w:pStyle w:val="Odsekzoznamu"/>
        <w:numPr>
          <w:ilvl w:val="0"/>
          <w:numId w:val="24"/>
        </w:numPr>
        <w:spacing w:before="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Špecifické environmentálne aspekty </w:t>
      </w:r>
    </w:p>
    <w:p w:rsidR="00C0678F" w:rsidRPr="00C0678F" w:rsidRDefault="00C0678F" w:rsidP="00C0678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eastAsia="en-GB"/>
        </w:rPr>
      </w:pPr>
    </w:p>
    <w:p w:rsidR="00C0678F" w:rsidRPr="00C0678F" w:rsidRDefault="004F50E5" w:rsidP="00C067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en-GB"/>
        </w:rPr>
        <w:t>Vzhľadom na otvorené otázky na programovej úrovni, bolo potrebné zabezpečiť z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osúladenie </w:t>
      </w:r>
      <w:r>
        <w:rPr>
          <w:rFonts w:ascii="Times New Roman" w:hAnsi="Times New Roman"/>
          <w:sz w:val="24"/>
          <w:szCs w:val="24"/>
          <w:lang w:eastAsia="en-GB"/>
        </w:rPr>
        <w:t xml:space="preserve">znenia 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>textu PD SR s</w:t>
      </w:r>
      <w:r w:rsidR="00C70BDE">
        <w:rPr>
          <w:rFonts w:ascii="Times New Roman" w:hAnsi="Times New Roman"/>
          <w:sz w:val="24"/>
          <w:szCs w:val="24"/>
          <w:lang w:eastAsia="en-GB"/>
        </w:rPr>
        <w:t> 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>modifikovaným</w:t>
      </w:r>
      <w:r w:rsidR="00C70BDE">
        <w:rPr>
          <w:rFonts w:ascii="Times New Roman" w:hAnsi="Times New Roman"/>
          <w:sz w:val="24"/>
          <w:szCs w:val="24"/>
          <w:lang w:eastAsia="en-GB"/>
        </w:rPr>
        <w:t xml:space="preserve"> znením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Program</w:t>
      </w:r>
      <w:r w:rsidR="00C70BDE">
        <w:rPr>
          <w:rFonts w:ascii="Times New Roman" w:hAnsi="Times New Roman"/>
          <w:sz w:val="24"/>
          <w:szCs w:val="24"/>
          <w:lang w:eastAsia="en-GB"/>
        </w:rPr>
        <w:t>u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rozvoja vidieka </w:t>
      </w:r>
      <w:r w:rsidR="00E27194">
        <w:rPr>
          <w:rFonts w:ascii="Times New Roman" w:hAnsi="Times New Roman"/>
          <w:sz w:val="24"/>
          <w:szCs w:val="24"/>
          <w:lang w:eastAsia="en-GB"/>
        </w:rPr>
        <w:t xml:space="preserve">2014 </w:t>
      </w:r>
      <w:r w:rsidR="004D3234" w:rsidRPr="005D5102">
        <w:rPr>
          <w:rFonts w:ascii="Times New Roman" w:hAnsi="Times New Roman"/>
          <w:sz w:val="24"/>
          <w:szCs w:val="24"/>
          <w:lang w:eastAsia="en-GB"/>
        </w:rPr>
        <w:t>–</w:t>
      </w:r>
      <w:r w:rsidR="00E27194">
        <w:rPr>
          <w:rFonts w:ascii="Times New Roman" w:hAnsi="Times New Roman"/>
          <w:sz w:val="24"/>
          <w:szCs w:val="24"/>
          <w:lang w:eastAsia="en-GB"/>
        </w:rPr>
        <w:t xml:space="preserve"> 2020</w:t>
      </w:r>
      <w:r w:rsidR="006B02E3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>(</w:t>
      </w:r>
      <w:r w:rsidR="00E27194">
        <w:rPr>
          <w:rFonts w:ascii="Times New Roman" w:hAnsi="Times New Roman"/>
          <w:sz w:val="24"/>
          <w:szCs w:val="24"/>
          <w:lang w:eastAsia="en-GB"/>
        </w:rPr>
        <w:t>ďalej len „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>PRV</w:t>
      </w:r>
      <w:r w:rsidR="00E27194">
        <w:rPr>
          <w:rFonts w:ascii="Times New Roman" w:hAnsi="Times New Roman"/>
          <w:sz w:val="24"/>
          <w:szCs w:val="24"/>
          <w:lang w:eastAsia="en-GB"/>
        </w:rPr>
        <w:t>“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>)</w:t>
      </w:r>
      <w:r w:rsidR="00C70BDE">
        <w:rPr>
          <w:rFonts w:ascii="Times New Roman" w:hAnsi="Times New Roman"/>
          <w:sz w:val="24"/>
          <w:szCs w:val="24"/>
          <w:lang w:eastAsia="en-GB"/>
        </w:rPr>
        <w:t>, ktorý bol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schválený 13. februára 2015 a s</w:t>
      </w:r>
      <w:r w:rsidR="00E27194">
        <w:rPr>
          <w:rFonts w:ascii="Times New Roman" w:hAnsi="Times New Roman"/>
          <w:sz w:val="24"/>
          <w:szCs w:val="24"/>
          <w:lang w:eastAsia="en-GB"/>
        </w:rPr>
        <w:t> </w:t>
      </w:r>
      <w:r w:rsidR="00E27194">
        <w:rPr>
          <w:rFonts w:ascii="Times New Roman" w:eastAsia="Times New Roman" w:hAnsi="Times New Roman" w:cs="Times New Roman"/>
          <w:sz w:val="24"/>
          <w:szCs w:val="24"/>
          <w:lang w:eastAsia="sk-SK"/>
        </w:rPr>
        <w:t>Operačným programom</w:t>
      </w:r>
      <w:r w:rsidR="00C0678F" w:rsidRPr="00C067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Kvalita </w:t>
      </w:r>
      <w:r w:rsidR="00C0678F" w:rsidRPr="00C0678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životného prostredia</w:t>
      </w:r>
      <w:r w:rsidR="00A14F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2014 - 2020</w:t>
      </w:r>
      <w:r w:rsidR="00C0678F" w:rsidRPr="00C067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66821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27194">
        <w:rPr>
          <w:rFonts w:ascii="Times New Roman" w:eastAsia="Times New Roman" w:hAnsi="Times New Roman" w:cs="Times New Roman"/>
          <w:sz w:val="24"/>
          <w:szCs w:val="24"/>
          <w:lang w:eastAsia="sk-SK"/>
        </w:rPr>
        <w:t>ďalej len „</w:t>
      </w:r>
      <w:r w:rsidR="00566821">
        <w:rPr>
          <w:rFonts w:ascii="Times New Roman" w:eastAsia="Times New Roman" w:hAnsi="Times New Roman" w:cs="Times New Roman"/>
          <w:sz w:val="24"/>
          <w:szCs w:val="24"/>
          <w:lang w:eastAsia="sk-SK"/>
        </w:rPr>
        <w:t>OP KŽP</w:t>
      </w:r>
      <w:r w:rsidR="00E27194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56682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C70B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E37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 bol schválený 28. októbra 2014, </w:t>
      </w:r>
      <w:r w:rsidR="00C70BDE">
        <w:rPr>
          <w:rFonts w:ascii="Times New Roman" w:eastAsia="Times New Roman" w:hAnsi="Times New Roman" w:cs="Times New Roman"/>
          <w:sz w:val="24"/>
          <w:szCs w:val="24"/>
          <w:lang w:eastAsia="sk-SK"/>
        </w:rPr>
        <w:t>a to</w:t>
      </w:r>
      <w:r w:rsidR="005668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oblastiach týkajúcich sa</w:t>
      </w:r>
      <w:r w:rsidR="00C0678F" w:rsidRPr="00C067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>využívan</w:t>
      </w:r>
      <w:r>
        <w:rPr>
          <w:rFonts w:ascii="Times New Roman" w:hAnsi="Times New Roman"/>
          <w:sz w:val="24"/>
          <w:szCs w:val="24"/>
          <w:lang w:eastAsia="en-GB"/>
        </w:rPr>
        <w:t>ia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biomasy v</w:t>
      </w:r>
      <w:r w:rsidR="000D327A">
        <w:rPr>
          <w:rFonts w:ascii="Times New Roman" w:hAnsi="Times New Roman"/>
          <w:sz w:val="24"/>
          <w:szCs w:val="24"/>
          <w:lang w:eastAsia="en-GB"/>
        </w:rPr>
        <w:t> </w:t>
      </w:r>
      <w:r w:rsidR="00E23C21">
        <w:rPr>
          <w:rFonts w:ascii="Times New Roman" w:hAnsi="Times New Roman"/>
          <w:sz w:val="24"/>
          <w:szCs w:val="24"/>
          <w:lang w:eastAsia="en-GB"/>
        </w:rPr>
        <w:t>pôdohospodárstve</w:t>
      </w:r>
      <w:r w:rsidR="00C0678F" w:rsidRPr="00C0678F">
        <w:rPr>
          <w:rFonts w:ascii="Times New Roman" w:hAnsi="Times New Roman"/>
          <w:sz w:val="24"/>
          <w:szCs w:val="24"/>
          <w:vertAlign w:val="superscript"/>
          <w:lang w:eastAsia="en-GB"/>
        </w:rPr>
        <w:footnoteReference w:id="4"/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a  manažmentu lesných požiarov</w:t>
      </w:r>
      <w:r w:rsidR="00C0678F" w:rsidRPr="00C0678F">
        <w:rPr>
          <w:rFonts w:ascii="Times New Roman" w:hAnsi="Times New Roman"/>
          <w:sz w:val="24"/>
          <w:szCs w:val="24"/>
          <w:vertAlign w:val="superscript"/>
          <w:lang w:eastAsia="en-GB"/>
        </w:rPr>
        <w:footnoteReference w:id="5"/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. </w:t>
      </w:r>
    </w:p>
    <w:p w:rsidR="00C0678F" w:rsidRPr="00C0678F" w:rsidRDefault="00C0678F" w:rsidP="00C067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0678F" w:rsidRPr="00C0678F" w:rsidRDefault="00C0678F" w:rsidP="00AA788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C0678F">
        <w:rPr>
          <w:rFonts w:ascii="Times New Roman" w:hAnsi="Times New Roman"/>
          <w:sz w:val="24"/>
          <w:szCs w:val="24"/>
          <w:lang w:eastAsia="en-GB"/>
        </w:rPr>
        <w:t>A.</w:t>
      </w:r>
      <w:r w:rsidRPr="00C0678F">
        <w:rPr>
          <w:rFonts w:ascii="Times New Roman" w:hAnsi="Times New Roman"/>
          <w:sz w:val="24"/>
          <w:szCs w:val="24"/>
          <w:lang w:eastAsia="en-GB"/>
        </w:rPr>
        <w:tab/>
        <w:t>Na využívanie biomasy</w:t>
      </w:r>
      <w:r w:rsidR="002D3941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2D3941" w:rsidRPr="00C0678F">
        <w:rPr>
          <w:rFonts w:ascii="Times New Roman" w:hAnsi="Times New Roman"/>
          <w:sz w:val="24"/>
          <w:szCs w:val="24"/>
          <w:lang w:eastAsia="en-GB"/>
        </w:rPr>
        <w:t>(</w:t>
      </w:r>
      <w:r w:rsidR="002D3941">
        <w:rPr>
          <w:rFonts w:ascii="Times New Roman" w:hAnsi="Times New Roman"/>
          <w:sz w:val="24"/>
          <w:szCs w:val="24"/>
          <w:lang w:eastAsia="en-GB"/>
        </w:rPr>
        <w:t xml:space="preserve">vrátane </w:t>
      </w:r>
      <w:r w:rsidR="002D3941" w:rsidRPr="00C0678F">
        <w:rPr>
          <w:rFonts w:ascii="Times New Roman" w:hAnsi="Times New Roman"/>
          <w:sz w:val="24"/>
          <w:szCs w:val="24"/>
          <w:lang w:eastAsia="en-GB"/>
        </w:rPr>
        <w:t>drevnej)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v rámci </w:t>
      </w:r>
      <w:proofErr w:type="spellStart"/>
      <w:r w:rsidR="002D3941">
        <w:rPr>
          <w:rFonts w:ascii="Times New Roman" w:hAnsi="Times New Roman"/>
          <w:sz w:val="24"/>
          <w:szCs w:val="24"/>
          <w:lang w:eastAsia="en-GB"/>
        </w:rPr>
        <w:t>pod</w:t>
      </w:r>
      <w:r w:rsidRPr="00C0678F">
        <w:rPr>
          <w:rFonts w:ascii="Times New Roman" w:hAnsi="Times New Roman"/>
          <w:sz w:val="24"/>
          <w:szCs w:val="24"/>
          <w:lang w:eastAsia="en-GB"/>
        </w:rPr>
        <w:t>opatrenia</w:t>
      </w:r>
      <w:proofErr w:type="spellEnd"/>
      <w:r w:rsidRPr="00C0678F">
        <w:rPr>
          <w:rFonts w:ascii="Times New Roman" w:hAnsi="Times New Roman"/>
          <w:sz w:val="24"/>
          <w:szCs w:val="24"/>
          <w:lang w:eastAsia="en-GB"/>
        </w:rPr>
        <w:t xml:space="preserve"> č. 6</w:t>
      </w:r>
      <w:r w:rsidR="002D3941">
        <w:rPr>
          <w:rFonts w:ascii="Times New Roman" w:hAnsi="Times New Roman"/>
          <w:sz w:val="24"/>
          <w:szCs w:val="24"/>
          <w:lang w:eastAsia="en-GB"/>
        </w:rPr>
        <w:t>.4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PRV</w:t>
      </w:r>
      <w:r w:rsidR="002F051E">
        <w:rPr>
          <w:rFonts w:ascii="Times New Roman" w:hAnsi="Times New Roman"/>
          <w:sz w:val="24"/>
          <w:szCs w:val="24"/>
          <w:lang w:eastAsia="en-GB"/>
        </w:rPr>
        <w:t>,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bola </w:t>
      </w:r>
      <w:r w:rsidR="004F50E5">
        <w:rPr>
          <w:rFonts w:ascii="Times New Roman" w:hAnsi="Times New Roman"/>
          <w:sz w:val="24"/>
          <w:szCs w:val="24"/>
          <w:lang w:eastAsia="en-GB"/>
        </w:rPr>
        <w:t xml:space="preserve">zo strany </w:t>
      </w:r>
      <w:r w:rsidR="00535C3F">
        <w:rPr>
          <w:rFonts w:ascii="Times New Roman" w:hAnsi="Times New Roman"/>
          <w:sz w:val="24"/>
          <w:szCs w:val="24"/>
          <w:lang w:eastAsia="en-GB"/>
        </w:rPr>
        <w:t>EK</w:t>
      </w:r>
      <w:r w:rsidR="00535C3F"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367C09">
        <w:rPr>
          <w:rFonts w:ascii="Times New Roman" w:hAnsi="Times New Roman"/>
          <w:sz w:val="24"/>
          <w:szCs w:val="24"/>
          <w:lang w:eastAsia="en-GB"/>
        </w:rPr>
        <w:t xml:space="preserve">vznesená </w:t>
      </w:r>
      <w:r w:rsidRPr="00C0678F">
        <w:rPr>
          <w:rFonts w:ascii="Times New Roman" w:hAnsi="Times New Roman"/>
          <w:sz w:val="24"/>
          <w:szCs w:val="24"/>
          <w:lang w:eastAsia="en-GB"/>
        </w:rPr>
        <w:t>pož</w:t>
      </w:r>
      <w:r w:rsidR="00367C09">
        <w:rPr>
          <w:rFonts w:ascii="Times New Roman" w:hAnsi="Times New Roman"/>
          <w:sz w:val="24"/>
          <w:szCs w:val="24"/>
          <w:lang w:eastAsia="en-GB"/>
        </w:rPr>
        <w:t>i</w:t>
      </w:r>
      <w:r w:rsidRPr="00C0678F">
        <w:rPr>
          <w:rFonts w:ascii="Times New Roman" w:hAnsi="Times New Roman"/>
          <w:sz w:val="24"/>
          <w:szCs w:val="24"/>
          <w:lang w:eastAsia="en-GB"/>
        </w:rPr>
        <w:t>ad</w:t>
      </w:r>
      <w:r w:rsidR="00367C09">
        <w:rPr>
          <w:rFonts w:ascii="Times New Roman" w:hAnsi="Times New Roman"/>
          <w:sz w:val="24"/>
          <w:szCs w:val="24"/>
          <w:lang w:eastAsia="en-GB"/>
        </w:rPr>
        <w:t>avka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367C09">
        <w:rPr>
          <w:rFonts w:ascii="Times New Roman" w:hAnsi="Times New Roman"/>
          <w:sz w:val="24"/>
          <w:szCs w:val="24"/>
          <w:lang w:eastAsia="en-GB"/>
        </w:rPr>
        <w:t xml:space="preserve">na vypracovanie </w:t>
      </w:r>
      <w:r w:rsidR="00CD7933">
        <w:rPr>
          <w:rFonts w:ascii="Times New Roman" w:hAnsi="Times New Roman"/>
          <w:sz w:val="24"/>
          <w:szCs w:val="24"/>
          <w:lang w:eastAsia="en-GB"/>
        </w:rPr>
        <w:t xml:space="preserve">kritérií </w:t>
      </w:r>
      <w:r w:rsidR="00CD7933" w:rsidRPr="00C0678F">
        <w:rPr>
          <w:rFonts w:ascii="Times New Roman" w:hAnsi="Times New Roman"/>
          <w:sz w:val="24"/>
          <w:szCs w:val="24"/>
          <w:lang w:eastAsia="en-GB"/>
        </w:rPr>
        <w:t>udržateľ</w:t>
      </w:r>
      <w:r w:rsidR="00CD7933">
        <w:rPr>
          <w:rFonts w:ascii="Times New Roman" w:hAnsi="Times New Roman"/>
          <w:sz w:val="24"/>
          <w:szCs w:val="24"/>
          <w:lang w:eastAsia="en-GB"/>
        </w:rPr>
        <w:t>nosti</w:t>
      </w:r>
      <w:r w:rsidR="00CD7933"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C0678F">
        <w:rPr>
          <w:rFonts w:ascii="Times New Roman" w:hAnsi="Times New Roman"/>
          <w:sz w:val="24"/>
          <w:szCs w:val="24"/>
          <w:lang w:eastAsia="en-GB"/>
        </w:rPr>
        <w:t>využívania biomasy na národnej úrovni</w:t>
      </w:r>
      <w:r w:rsidR="006B02E3">
        <w:rPr>
          <w:rFonts w:ascii="Times New Roman" w:hAnsi="Times New Roman"/>
          <w:sz w:val="24"/>
          <w:szCs w:val="24"/>
          <w:lang w:eastAsia="en-GB"/>
        </w:rPr>
        <w:t>,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732911" w:rsidRPr="00C0678F">
        <w:rPr>
          <w:rFonts w:ascii="Times New Roman" w:hAnsi="Times New Roman"/>
          <w:sz w:val="24"/>
          <w:szCs w:val="24"/>
          <w:lang w:eastAsia="en-GB"/>
        </w:rPr>
        <w:t xml:space="preserve">s prihliadnutím na potenciál </w:t>
      </w:r>
      <w:r w:rsidR="00732911">
        <w:rPr>
          <w:rFonts w:ascii="Times New Roman" w:hAnsi="Times New Roman"/>
          <w:sz w:val="24"/>
          <w:szCs w:val="24"/>
          <w:lang w:eastAsia="en-GB"/>
        </w:rPr>
        <w:t xml:space="preserve">jednotlivých </w:t>
      </w:r>
      <w:r w:rsidR="00732911" w:rsidRPr="00C0678F">
        <w:rPr>
          <w:rFonts w:ascii="Times New Roman" w:hAnsi="Times New Roman"/>
          <w:sz w:val="24"/>
          <w:szCs w:val="24"/>
          <w:lang w:eastAsia="en-GB"/>
        </w:rPr>
        <w:t>región</w:t>
      </w:r>
      <w:r w:rsidR="00732911">
        <w:rPr>
          <w:rFonts w:ascii="Times New Roman" w:hAnsi="Times New Roman"/>
          <w:sz w:val="24"/>
          <w:szCs w:val="24"/>
          <w:lang w:eastAsia="en-GB"/>
        </w:rPr>
        <w:t>ov,</w:t>
      </w:r>
      <w:r w:rsidR="00732911" w:rsidRPr="00C0678F" w:rsidDel="00732911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pred poskytnutím akejkoľvek podpory </w:t>
      </w:r>
      <w:r w:rsidR="00CD7933">
        <w:rPr>
          <w:rFonts w:ascii="Times New Roman" w:hAnsi="Times New Roman"/>
          <w:sz w:val="24"/>
          <w:szCs w:val="24"/>
          <w:lang w:eastAsia="en-GB"/>
        </w:rPr>
        <w:t>pre</w:t>
      </w:r>
      <w:r w:rsidR="00732911">
        <w:rPr>
          <w:rFonts w:ascii="Times New Roman" w:hAnsi="Times New Roman"/>
          <w:sz w:val="24"/>
          <w:szCs w:val="24"/>
          <w:lang w:eastAsia="en-GB"/>
        </w:rPr>
        <w:t xml:space="preserve"> tieto</w:t>
      </w:r>
      <w:r w:rsidR="00CD7933">
        <w:rPr>
          <w:rFonts w:ascii="Times New Roman" w:hAnsi="Times New Roman"/>
          <w:sz w:val="24"/>
          <w:szCs w:val="24"/>
          <w:lang w:eastAsia="en-GB"/>
        </w:rPr>
        <w:t xml:space="preserve"> projekty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. Táto špecifická podmienka bola zahrnutá aj v OP </w:t>
      </w:r>
      <w:r w:rsidR="00566821">
        <w:rPr>
          <w:rFonts w:ascii="Times New Roman" w:hAnsi="Times New Roman"/>
          <w:sz w:val="24"/>
          <w:szCs w:val="24"/>
          <w:lang w:eastAsia="en-GB"/>
        </w:rPr>
        <w:t>KŽP</w:t>
      </w:r>
      <w:r w:rsidRPr="00C0678F">
        <w:rPr>
          <w:rFonts w:ascii="Times New Roman" w:hAnsi="Times New Roman"/>
          <w:sz w:val="24"/>
          <w:szCs w:val="24"/>
          <w:vertAlign w:val="superscript"/>
          <w:lang w:eastAsia="en-GB"/>
        </w:rPr>
        <w:footnoteReference w:id="6"/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. </w:t>
      </w:r>
      <w:r w:rsidR="004F50E5">
        <w:rPr>
          <w:rFonts w:ascii="Times New Roman" w:hAnsi="Times New Roman" w:cs="Times New Roman"/>
          <w:sz w:val="24"/>
          <w:szCs w:val="24"/>
        </w:rPr>
        <w:t>U</w:t>
      </w:r>
      <w:r w:rsidR="004F50E5" w:rsidRPr="00C0678F">
        <w:rPr>
          <w:rFonts w:ascii="Times New Roman" w:hAnsi="Times New Roman" w:cs="Times New Roman"/>
          <w:sz w:val="24"/>
          <w:szCs w:val="24"/>
        </w:rPr>
        <w:t>vedená</w:t>
      </w:r>
      <w:r w:rsidR="004F50E5">
        <w:rPr>
          <w:rFonts w:ascii="Times New Roman" w:hAnsi="Times New Roman" w:cs="Times New Roman"/>
          <w:sz w:val="24"/>
          <w:szCs w:val="24"/>
        </w:rPr>
        <w:t xml:space="preserve"> požiadavka zo strany</w:t>
      </w:r>
      <w:r w:rsidR="004F50E5" w:rsidRPr="00C0678F">
        <w:rPr>
          <w:rFonts w:ascii="Times New Roman" w:hAnsi="Times New Roman" w:cs="Times New Roman"/>
          <w:sz w:val="24"/>
          <w:szCs w:val="24"/>
        </w:rPr>
        <w:t xml:space="preserve"> </w:t>
      </w:r>
      <w:r w:rsidR="004F50E5">
        <w:rPr>
          <w:rFonts w:ascii="Times New Roman" w:hAnsi="Times New Roman" w:cs="Times New Roman"/>
          <w:sz w:val="24"/>
          <w:szCs w:val="24"/>
        </w:rPr>
        <w:t>EK</w:t>
      </w:r>
      <w:r w:rsidRPr="00C0678F">
        <w:rPr>
          <w:rFonts w:ascii="Times New Roman" w:hAnsi="Times New Roman" w:cs="Times New Roman"/>
          <w:sz w:val="24"/>
          <w:szCs w:val="24"/>
        </w:rPr>
        <w:t xml:space="preserve"> bola súčasťou podmienok oprávnenosti v rámci </w:t>
      </w:r>
      <w:proofErr w:type="spellStart"/>
      <w:r w:rsidRPr="00C0678F">
        <w:rPr>
          <w:rFonts w:ascii="Times New Roman" w:hAnsi="Times New Roman" w:cs="Times New Roman"/>
          <w:sz w:val="24"/>
          <w:szCs w:val="24"/>
        </w:rPr>
        <w:t>podopatrenia</w:t>
      </w:r>
      <w:proofErr w:type="spellEnd"/>
      <w:r w:rsidRPr="00C0678F">
        <w:rPr>
          <w:rFonts w:ascii="Times New Roman" w:hAnsi="Times New Roman" w:cs="Times New Roman"/>
          <w:sz w:val="24"/>
          <w:szCs w:val="24"/>
        </w:rPr>
        <w:t xml:space="preserve"> 6.4 PRV</w:t>
      </w:r>
      <w:r w:rsidRPr="00C0678F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C0678F">
        <w:rPr>
          <w:rFonts w:ascii="Times New Roman" w:hAnsi="Times New Roman" w:cs="Times New Roman"/>
          <w:sz w:val="24"/>
          <w:szCs w:val="24"/>
        </w:rPr>
        <w:t xml:space="preserve">. Text PD SR bol upravený v zmysle pripomienky EK v úzkej spolupráci </w:t>
      </w:r>
      <w:r w:rsidR="006B02E3">
        <w:rPr>
          <w:rFonts w:ascii="Times New Roman" w:hAnsi="Times New Roman" w:cs="Times New Roman"/>
          <w:sz w:val="24"/>
          <w:szCs w:val="24"/>
        </w:rPr>
        <w:t xml:space="preserve">s riadiacimi orgánmi dotknutých </w:t>
      </w:r>
      <w:r w:rsidR="00665FBE">
        <w:rPr>
          <w:rFonts w:ascii="Times New Roman" w:hAnsi="Times New Roman" w:cs="Times New Roman"/>
          <w:sz w:val="24"/>
          <w:szCs w:val="24"/>
        </w:rPr>
        <w:t>OP</w:t>
      </w:r>
      <w:r w:rsidR="004F50E5">
        <w:rPr>
          <w:rFonts w:ascii="Times New Roman" w:hAnsi="Times New Roman" w:cs="Times New Roman"/>
          <w:sz w:val="24"/>
          <w:szCs w:val="24"/>
        </w:rPr>
        <w:t xml:space="preserve"> na obdobie 2014 </w:t>
      </w:r>
      <w:r w:rsidR="004D3234" w:rsidRPr="005D5102">
        <w:rPr>
          <w:rFonts w:ascii="Times New Roman" w:hAnsi="Times New Roman"/>
          <w:sz w:val="24"/>
          <w:szCs w:val="24"/>
          <w:lang w:eastAsia="en-GB"/>
        </w:rPr>
        <w:t>–</w:t>
      </w:r>
      <w:r w:rsidR="004F50E5">
        <w:rPr>
          <w:rFonts w:ascii="Times New Roman" w:hAnsi="Times New Roman" w:cs="Times New Roman"/>
          <w:sz w:val="24"/>
          <w:szCs w:val="24"/>
        </w:rPr>
        <w:t xml:space="preserve"> 2020</w:t>
      </w:r>
      <w:r w:rsidRPr="00C0678F">
        <w:rPr>
          <w:rFonts w:ascii="Times New Roman" w:hAnsi="Times New Roman" w:cs="Times New Roman"/>
          <w:sz w:val="24"/>
          <w:szCs w:val="24"/>
        </w:rPr>
        <w:t>.</w:t>
      </w:r>
      <w:r w:rsidR="006B02E3">
        <w:rPr>
          <w:rFonts w:ascii="Times New Roman" w:hAnsi="Times New Roman" w:cs="Times New Roman"/>
          <w:sz w:val="24"/>
          <w:szCs w:val="24"/>
        </w:rPr>
        <w:t xml:space="preserve"> </w:t>
      </w:r>
      <w:r w:rsidR="00E650B7">
        <w:rPr>
          <w:rFonts w:ascii="Times New Roman" w:hAnsi="Times New Roman"/>
          <w:bCs/>
          <w:sz w:val="24"/>
          <w:szCs w:val="24"/>
          <w:lang w:eastAsia="en-GB"/>
        </w:rPr>
        <w:t>Ide o zmeny v kapitol</w:t>
      </w:r>
      <w:r w:rsidR="00DA3486">
        <w:rPr>
          <w:rFonts w:ascii="Times New Roman" w:hAnsi="Times New Roman"/>
          <w:bCs/>
          <w:sz w:val="24"/>
          <w:szCs w:val="24"/>
          <w:lang w:eastAsia="en-GB"/>
        </w:rPr>
        <w:t>ách</w:t>
      </w:r>
      <w:r w:rsidR="00E650B7">
        <w:rPr>
          <w:rFonts w:ascii="Times New Roman" w:hAnsi="Times New Roman" w:cs="Times New Roman"/>
          <w:sz w:val="24"/>
          <w:szCs w:val="24"/>
        </w:rPr>
        <w:t xml:space="preserve"> 1.1.5.1.7</w:t>
      </w:r>
      <w:r w:rsidR="00DA3486">
        <w:rPr>
          <w:rFonts w:ascii="Times New Roman" w:hAnsi="Times New Roman" w:cs="Times New Roman"/>
          <w:sz w:val="24"/>
          <w:szCs w:val="24"/>
        </w:rPr>
        <w:t xml:space="preserve"> a 1.5.3</w:t>
      </w:r>
      <w:r w:rsidR="00E650B7">
        <w:rPr>
          <w:rFonts w:ascii="Times New Roman" w:hAnsi="Times New Roman" w:cs="Times New Roman"/>
          <w:sz w:val="24"/>
          <w:szCs w:val="24"/>
        </w:rPr>
        <w:t>.</w:t>
      </w:r>
      <w:r w:rsidR="006B0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78F" w:rsidRPr="00C0678F" w:rsidRDefault="00C0678F" w:rsidP="00AA788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992A82" w:rsidRDefault="00C0678F" w:rsidP="00992A82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678F">
        <w:rPr>
          <w:rFonts w:ascii="Times New Roman" w:hAnsi="Times New Roman"/>
          <w:sz w:val="24"/>
          <w:szCs w:val="24"/>
          <w:lang w:eastAsia="en-GB"/>
        </w:rPr>
        <w:t>B.</w:t>
      </w:r>
      <w:r w:rsidRPr="00C0678F">
        <w:rPr>
          <w:rFonts w:ascii="Times New Roman" w:hAnsi="Times New Roman"/>
          <w:sz w:val="24"/>
          <w:szCs w:val="24"/>
          <w:lang w:eastAsia="en-GB"/>
        </w:rPr>
        <w:tab/>
        <w:t>V súvislosti s manažmentom lesných požiarov</w:t>
      </w:r>
      <w:r w:rsidR="00B5732D">
        <w:rPr>
          <w:rFonts w:ascii="Times New Roman" w:hAnsi="Times New Roman"/>
          <w:sz w:val="24"/>
          <w:szCs w:val="24"/>
          <w:lang w:eastAsia="en-GB"/>
        </w:rPr>
        <w:t xml:space="preserve"> sa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text PD SR</w:t>
      </w:r>
      <w:r w:rsidR="006B02E3">
        <w:rPr>
          <w:rFonts w:ascii="Times New Roman" w:hAnsi="Times New Roman"/>
          <w:sz w:val="24"/>
          <w:szCs w:val="24"/>
          <w:lang w:eastAsia="en-GB"/>
        </w:rPr>
        <w:t xml:space="preserve"> zosúladil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B5732D">
        <w:rPr>
          <w:rFonts w:ascii="Times New Roman" w:hAnsi="Times New Roman"/>
          <w:sz w:val="24"/>
          <w:szCs w:val="24"/>
          <w:lang w:eastAsia="en-GB"/>
        </w:rPr>
        <w:t xml:space="preserve">s </w:t>
      </w:r>
      <w:r w:rsidRPr="00C0678F">
        <w:rPr>
          <w:rFonts w:ascii="Times New Roman" w:hAnsi="Times New Roman"/>
          <w:sz w:val="24"/>
          <w:szCs w:val="24"/>
          <w:lang w:eastAsia="en-GB"/>
        </w:rPr>
        <w:t>podmienk</w:t>
      </w:r>
      <w:r w:rsidR="00B5732D">
        <w:rPr>
          <w:rFonts w:ascii="Times New Roman" w:hAnsi="Times New Roman"/>
          <w:sz w:val="24"/>
          <w:szCs w:val="24"/>
          <w:lang w:eastAsia="en-GB"/>
        </w:rPr>
        <w:t>o</w:t>
      </w:r>
      <w:r w:rsidRPr="00C0678F">
        <w:rPr>
          <w:rFonts w:ascii="Times New Roman" w:hAnsi="Times New Roman"/>
          <w:sz w:val="24"/>
          <w:szCs w:val="24"/>
          <w:lang w:eastAsia="en-GB"/>
        </w:rPr>
        <w:t>u stanoven</w:t>
      </w:r>
      <w:r w:rsidR="00B5732D">
        <w:rPr>
          <w:rFonts w:ascii="Times New Roman" w:hAnsi="Times New Roman"/>
          <w:sz w:val="24"/>
          <w:szCs w:val="24"/>
          <w:lang w:eastAsia="en-GB"/>
        </w:rPr>
        <w:t>ou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v PRV</w:t>
      </w:r>
      <w:r w:rsidRPr="00C0678F">
        <w:rPr>
          <w:rFonts w:ascii="Times New Roman" w:hAnsi="Times New Roman"/>
          <w:sz w:val="24"/>
          <w:szCs w:val="24"/>
          <w:vertAlign w:val="superscript"/>
          <w:lang w:eastAsia="en-GB"/>
        </w:rPr>
        <w:footnoteReference w:id="8"/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. </w:t>
      </w:r>
      <w:r w:rsidR="00C818BC" w:rsidRPr="00FB4C3E">
        <w:rPr>
          <w:rFonts w:ascii="Times New Roman" w:hAnsi="Times New Roman"/>
          <w:sz w:val="24"/>
          <w:szCs w:val="24"/>
          <w:lang w:eastAsia="en-GB"/>
        </w:rPr>
        <w:t xml:space="preserve">Protipožiarne </w:t>
      </w:r>
      <w:r w:rsidRPr="00C0678F">
        <w:rPr>
          <w:rFonts w:ascii="Times New Roman" w:hAnsi="Times New Roman"/>
          <w:sz w:val="24"/>
          <w:szCs w:val="24"/>
          <w:lang w:eastAsia="en-GB"/>
        </w:rPr>
        <w:t>lesn</w:t>
      </w:r>
      <w:r w:rsidR="00B5732D">
        <w:rPr>
          <w:rFonts w:ascii="Times New Roman" w:hAnsi="Times New Roman"/>
          <w:sz w:val="24"/>
          <w:szCs w:val="24"/>
          <w:lang w:eastAsia="en-GB"/>
        </w:rPr>
        <w:t>é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c</w:t>
      </w:r>
      <w:r w:rsidR="00B5732D">
        <w:rPr>
          <w:rFonts w:ascii="Times New Roman" w:hAnsi="Times New Roman"/>
          <w:sz w:val="24"/>
          <w:szCs w:val="24"/>
          <w:lang w:eastAsia="en-GB"/>
        </w:rPr>
        <w:t>esty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sa považuj</w:t>
      </w:r>
      <w:r w:rsidR="00B5732D">
        <w:rPr>
          <w:rFonts w:ascii="Times New Roman" w:hAnsi="Times New Roman"/>
          <w:sz w:val="24"/>
          <w:szCs w:val="24"/>
          <w:lang w:eastAsia="en-GB"/>
        </w:rPr>
        <w:t>ú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za</w:t>
      </w:r>
      <w:r w:rsidR="000D327A">
        <w:rPr>
          <w:rFonts w:ascii="Times New Roman" w:hAnsi="Times New Roman"/>
          <w:sz w:val="24"/>
          <w:szCs w:val="24"/>
          <w:lang w:eastAsia="en-GB"/>
        </w:rPr>
        <w:t> </w:t>
      </w:r>
      <w:r w:rsidRPr="00C0678F">
        <w:rPr>
          <w:rFonts w:ascii="Times New Roman" w:hAnsi="Times New Roman"/>
          <w:sz w:val="24"/>
          <w:szCs w:val="24"/>
          <w:lang w:eastAsia="en-GB"/>
        </w:rPr>
        <w:t>oprávnen</w:t>
      </w:r>
      <w:r w:rsidR="00B5732D">
        <w:rPr>
          <w:rFonts w:ascii="Times New Roman" w:hAnsi="Times New Roman"/>
          <w:sz w:val="24"/>
          <w:szCs w:val="24"/>
          <w:lang w:eastAsia="en-GB"/>
        </w:rPr>
        <w:t>é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len v prípade investíci</w:t>
      </w:r>
      <w:r w:rsidR="000D327A">
        <w:rPr>
          <w:rFonts w:ascii="Times New Roman" w:hAnsi="Times New Roman"/>
          <w:sz w:val="24"/>
          <w:szCs w:val="24"/>
          <w:lang w:eastAsia="en-GB"/>
        </w:rPr>
        <w:t>í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B5732D">
        <w:rPr>
          <w:rFonts w:ascii="Times New Roman" w:hAnsi="Times New Roman"/>
          <w:sz w:val="24"/>
          <w:szCs w:val="24"/>
          <w:lang w:eastAsia="en-GB"/>
        </w:rPr>
        <w:t>do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úseko</w:t>
      </w:r>
      <w:r w:rsidR="00B5732D">
        <w:rPr>
          <w:rFonts w:ascii="Times New Roman" w:hAnsi="Times New Roman"/>
          <w:sz w:val="24"/>
          <w:szCs w:val="24"/>
          <w:lang w:eastAsia="en-GB"/>
        </w:rPr>
        <w:t>v</w:t>
      </w:r>
      <w:r w:rsidRPr="00C0678F">
        <w:rPr>
          <w:rFonts w:ascii="Times New Roman" w:hAnsi="Times New Roman"/>
          <w:sz w:val="24"/>
          <w:szCs w:val="24"/>
          <w:lang w:eastAsia="en-GB"/>
        </w:rPr>
        <w:t>, ktoré sú potrebné na napojenie sa na</w:t>
      </w:r>
      <w:r w:rsidR="000D327A">
        <w:rPr>
          <w:rFonts w:ascii="Times New Roman" w:hAnsi="Times New Roman"/>
          <w:sz w:val="24"/>
          <w:szCs w:val="24"/>
          <w:lang w:eastAsia="en-GB"/>
        </w:rPr>
        <w:t> 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existujúc</w:t>
      </w:r>
      <w:r w:rsidR="00B5732D">
        <w:rPr>
          <w:rFonts w:ascii="Times New Roman" w:hAnsi="Times New Roman"/>
          <w:sz w:val="24"/>
          <w:szCs w:val="24"/>
          <w:lang w:eastAsia="en-GB"/>
        </w:rPr>
        <w:t>u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B5732D" w:rsidRPr="00C0678F">
        <w:rPr>
          <w:rFonts w:ascii="Times New Roman" w:hAnsi="Times New Roman"/>
          <w:sz w:val="24"/>
          <w:szCs w:val="24"/>
          <w:lang w:eastAsia="en-GB"/>
        </w:rPr>
        <w:t xml:space="preserve">sieť </w:t>
      </w:r>
      <w:r w:rsidRPr="00C0678F">
        <w:rPr>
          <w:rFonts w:ascii="Times New Roman" w:hAnsi="Times New Roman"/>
          <w:sz w:val="24"/>
          <w:szCs w:val="24"/>
          <w:lang w:eastAsia="en-GB"/>
        </w:rPr>
        <w:t>lesných ciest a</w:t>
      </w:r>
      <w:r w:rsidR="00B5732D">
        <w:rPr>
          <w:rFonts w:ascii="Times New Roman" w:hAnsi="Times New Roman"/>
          <w:sz w:val="24"/>
          <w:szCs w:val="24"/>
          <w:lang w:eastAsia="en-GB"/>
        </w:rPr>
        <w:t xml:space="preserve"> do </w:t>
      </w:r>
      <w:r w:rsidRPr="00C0678F">
        <w:rPr>
          <w:rFonts w:ascii="Times New Roman" w:hAnsi="Times New Roman"/>
          <w:sz w:val="24"/>
          <w:szCs w:val="24"/>
          <w:lang w:eastAsia="en-GB"/>
        </w:rPr>
        <w:t>obnov</w:t>
      </w:r>
      <w:r w:rsidR="00B5732D">
        <w:rPr>
          <w:rFonts w:ascii="Times New Roman" w:hAnsi="Times New Roman"/>
          <w:sz w:val="24"/>
          <w:szCs w:val="24"/>
          <w:lang w:eastAsia="en-GB"/>
        </w:rPr>
        <w:t>y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siet</w:t>
      </w:r>
      <w:r w:rsidR="00B5732D">
        <w:rPr>
          <w:rFonts w:ascii="Times New Roman" w:hAnsi="Times New Roman"/>
          <w:sz w:val="24"/>
          <w:szCs w:val="24"/>
          <w:lang w:eastAsia="en-GB"/>
        </w:rPr>
        <w:t>e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lesných ciest</w:t>
      </w:r>
      <w:r w:rsidR="00B5732D">
        <w:rPr>
          <w:rFonts w:ascii="Times New Roman" w:hAnsi="Times New Roman"/>
          <w:sz w:val="24"/>
          <w:szCs w:val="24"/>
          <w:lang w:eastAsia="en-GB"/>
        </w:rPr>
        <w:t xml:space="preserve"> a sú 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v súlade so zásadami nákladovej efektívnosti a udržateľnosti. </w:t>
      </w:r>
      <w:r w:rsidR="004F50E5">
        <w:rPr>
          <w:rFonts w:ascii="Times New Roman" w:hAnsi="Times New Roman"/>
          <w:sz w:val="24"/>
          <w:szCs w:val="24"/>
          <w:lang w:eastAsia="en-GB"/>
        </w:rPr>
        <w:t>Aktualizovaný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text PD SR bol </w:t>
      </w:r>
      <w:r w:rsidR="006B02E3" w:rsidRPr="00C0678F">
        <w:rPr>
          <w:rFonts w:ascii="Times New Roman" w:hAnsi="Times New Roman" w:cs="Times New Roman"/>
          <w:sz w:val="24"/>
          <w:szCs w:val="24"/>
        </w:rPr>
        <w:t xml:space="preserve">upravený v úzkej spolupráci </w:t>
      </w:r>
      <w:r w:rsidR="006B02E3">
        <w:rPr>
          <w:rFonts w:ascii="Times New Roman" w:hAnsi="Times New Roman" w:cs="Times New Roman"/>
          <w:sz w:val="24"/>
          <w:szCs w:val="24"/>
        </w:rPr>
        <w:t xml:space="preserve">s </w:t>
      </w:r>
      <w:r w:rsidR="00B5732D">
        <w:rPr>
          <w:rFonts w:ascii="Times New Roman" w:hAnsi="Times New Roman" w:cs="Times New Roman"/>
          <w:sz w:val="24"/>
          <w:szCs w:val="24"/>
        </w:rPr>
        <w:t>R</w:t>
      </w:r>
      <w:r w:rsidR="006B02E3">
        <w:rPr>
          <w:rFonts w:ascii="Times New Roman" w:hAnsi="Times New Roman" w:cs="Times New Roman"/>
          <w:sz w:val="24"/>
          <w:szCs w:val="24"/>
        </w:rPr>
        <w:t>iadiacim orgán</w:t>
      </w:r>
      <w:r w:rsidR="002F051E">
        <w:rPr>
          <w:rFonts w:ascii="Times New Roman" w:hAnsi="Times New Roman" w:cs="Times New Roman"/>
          <w:sz w:val="24"/>
          <w:szCs w:val="24"/>
        </w:rPr>
        <w:t>om</w:t>
      </w:r>
      <w:r w:rsidR="006B02E3">
        <w:rPr>
          <w:rFonts w:ascii="Times New Roman" w:hAnsi="Times New Roman" w:cs="Times New Roman"/>
          <w:sz w:val="24"/>
          <w:szCs w:val="24"/>
        </w:rPr>
        <w:t xml:space="preserve"> </w:t>
      </w:r>
      <w:r w:rsidR="00B5732D">
        <w:rPr>
          <w:rFonts w:ascii="Times New Roman" w:hAnsi="Times New Roman" w:cs="Times New Roman"/>
          <w:sz w:val="24"/>
          <w:szCs w:val="24"/>
        </w:rPr>
        <w:t>pre PRV SR</w:t>
      </w:r>
      <w:r w:rsidR="004F50E5">
        <w:rPr>
          <w:rFonts w:ascii="Times New Roman" w:hAnsi="Times New Roman" w:cs="Times New Roman"/>
          <w:sz w:val="24"/>
          <w:szCs w:val="24"/>
        </w:rPr>
        <w:t xml:space="preserve">  2014 </w:t>
      </w:r>
      <w:r w:rsidR="00665FBE">
        <w:rPr>
          <w:rFonts w:ascii="Times New Roman" w:hAnsi="Times New Roman"/>
          <w:sz w:val="24"/>
          <w:szCs w:val="24"/>
          <w:lang w:eastAsia="en-GB"/>
        </w:rPr>
        <w:t>–</w:t>
      </w:r>
      <w:r w:rsidR="004F50E5">
        <w:rPr>
          <w:rFonts w:ascii="Times New Roman" w:hAnsi="Times New Roman" w:cs="Times New Roman"/>
          <w:sz w:val="24"/>
          <w:szCs w:val="24"/>
        </w:rPr>
        <w:t xml:space="preserve"> 2020</w:t>
      </w:r>
      <w:r w:rsidR="006B02E3" w:rsidRPr="00C0678F">
        <w:rPr>
          <w:rFonts w:ascii="Times New Roman" w:hAnsi="Times New Roman" w:cs="Times New Roman"/>
          <w:sz w:val="24"/>
          <w:szCs w:val="24"/>
        </w:rPr>
        <w:t>.</w:t>
      </w:r>
      <w:r w:rsidR="006B02E3">
        <w:rPr>
          <w:rFonts w:ascii="Times New Roman" w:hAnsi="Times New Roman" w:cs="Times New Roman"/>
          <w:sz w:val="24"/>
          <w:szCs w:val="24"/>
        </w:rPr>
        <w:t xml:space="preserve"> </w:t>
      </w:r>
      <w:r w:rsidR="00E650B7">
        <w:rPr>
          <w:rFonts w:ascii="Times New Roman" w:hAnsi="Times New Roman"/>
          <w:bCs/>
          <w:sz w:val="24"/>
          <w:szCs w:val="24"/>
          <w:lang w:eastAsia="en-GB"/>
        </w:rPr>
        <w:t>Ide o zmeny v kapitole</w:t>
      </w:r>
      <w:r w:rsidR="00E650B7">
        <w:rPr>
          <w:rFonts w:ascii="Times New Roman" w:hAnsi="Times New Roman" w:cs="Times New Roman"/>
          <w:sz w:val="24"/>
          <w:szCs w:val="24"/>
        </w:rPr>
        <w:t xml:space="preserve"> 1.1.5.2.1.1.</w:t>
      </w:r>
      <w:r w:rsidR="006B0C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2A82" w:rsidRDefault="00992A82" w:rsidP="00992A82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C0678F" w:rsidRPr="00992A82" w:rsidRDefault="00992A82" w:rsidP="00992A82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C.  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Ďalšie úpravy sa týkali </w:t>
      </w:r>
      <w:r w:rsidR="00F07640" w:rsidRPr="00F07640">
        <w:rPr>
          <w:rFonts w:ascii="Times New Roman" w:hAnsi="Times New Roman"/>
          <w:sz w:val="24"/>
          <w:szCs w:val="24"/>
          <w:lang w:eastAsia="en-GB"/>
        </w:rPr>
        <w:t xml:space="preserve">investícií v oblasti </w:t>
      </w:r>
      <w:proofErr w:type="spellStart"/>
      <w:r w:rsidR="002E296C" w:rsidRPr="002E296C">
        <w:rPr>
          <w:rFonts w:ascii="Times New Roman" w:hAnsi="Times New Roman"/>
          <w:sz w:val="24"/>
          <w:szCs w:val="24"/>
          <w:lang w:eastAsia="en-GB"/>
        </w:rPr>
        <w:t>hydromelioračných</w:t>
      </w:r>
      <w:proofErr w:type="spellEnd"/>
      <w:r w:rsidR="002E296C" w:rsidRPr="002E296C">
        <w:rPr>
          <w:rFonts w:ascii="Times New Roman" w:hAnsi="Times New Roman"/>
          <w:sz w:val="24"/>
          <w:szCs w:val="24"/>
          <w:lang w:eastAsia="en-GB"/>
        </w:rPr>
        <w:t xml:space="preserve"> zariaden</w:t>
      </w:r>
      <w:r w:rsidR="002E296C">
        <w:rPr>
          <w:rFonts w:ascii="Times New Roman" w:hAnsi="Times New Roman"/>
          <w:sz w:val="24"/>
          <w:szCs w:val="24"/>
          <w:lang w:eastAsia="en-GB"/>
        </w:rPr>
        <w:t>í</w:t>
      </w:r>
      <w:r w:rsidR="00FB0031">
        <w:rPr>
          <w:rFonts w:ascii="Times New Roman" w:hAnsi="Times New Roman"/>
          <w:sz w:val="24"/>
          <w:szCs w:val="24"/>
          <w:lang w:eastAsia="en-GB"/>
        </w:rPr>
        <w:t xml:space="preserve">, kde </w:t>
      </w:r>
      <w:r w:rsidR="006B0CB2">
        <w:rPr>
          <w:rFonts w:ascii="Times New Roman" w:hAnsi="Times New Roman"/>
          <w:sz w:val="24"/>
          <w:szCs w:val="24"/>
          <w:lang w:eastAsia="en-GB"/>
        </w:rPr>
        <w:t>by na</w:t>
      </w:r>
      <w:r w:rsidR="0041575A">
        <w:rPr>
          <w:rFonts w:ascii="Times New Roman" w:hAnsi="Times New Roman"/>
          <w:sz w:val="24"/>
          <w:szCs w:val="24"/>
          <w:lang w:eastAsia="en-GB"/>
        </w:rPr>
        <w:t> </w:t>
      </w:r>
      <w:r w:rsidR="00CC3608">
        <w:rPr>
          <w:rFonts w:ascii="Times New Roman" w:hAnsi="Times New Roman"/>
          <w:sz w:val="24"/>
          <w:szCs w:val="24"/>
          <w:lang w:eastAsia="en-GB"/>
        </w:rPr>
        <w:t>základe</w:t>
      </w:r>
      <w:r w:rsidR="00FB0031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2E296C">
        <w:rPr>
          <w:rFonts w:ascii="Times New Roman" w:hAnsi="Times New Roman"/>
          <w:sz w:val="24"/>
          <w:szCs w:val="24"/>
          <w:lang w:eastAsia="en-GB"/>
        </w:rPr>
        <w:t xml:space="preserve">požiadavky </w:t>
      </w:r>
      <w:r w:rsidR="007B011A">
        <w:rPr>
          <w:rFonts w:ascii="Times New Roman" w:hAnsi="Times New Roman"/>
          <w:sz w:val="24"/>
          <w:szCs w:val="24"/>
          <w:lang w:eastAsia="en-GB"/>
        </w:rPr>
        <w:t>EK</w:t>
      </w:r>
      <w:r w:rsidR="00CC3608">
        <w:rPr>
          <w:rFonts w:ascii="Times New Roman" w:hAnsi="Times New Roman"/>
          <w:sz w:val="24"/>
          <w:szCs w:val="24"/>
          <w:lang w:eastAsia="en-GB"/>
        </w:rPr>
        <w:t>,</w:t>
      </w:r>
      <w:r w:rsidR="00FB0031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6B0CB2">
        <w:rPr>
          <w:rFonts w:ascii="Times New Roman" w:hAnsi="Times New Roman"/>
          <w:sz w:val="24"/>
          <w:szCs w:val="24"/>
          <w:lang w:eastAsia="en-GB"/>
        </w:rPr>
        <w:t xml:space="preserve">mala byť </w:t>
      </w:r>
      <w:r w:rsidR="00CC3608">
        <w:rPr>
          <w:rFonts w:ascii="Times New Roman" w:hAnsi="Times New Roman"/>
          <w:sz w:val="24"/>
          <w:szCs w:val="24"/>
          <w:lang w:eastAsia="en-GB"/>
        </w:rPr>
        <w:t>k</w:t>
      </w:r>
      <w:r w:rsidR="00CC3608" w:rsidRPr="002E296C">
        <w:rPr>
          <w:rFonts w:ascii="Times New Roman" w:hAnsi="Times New Roman"/>
          <w:sz w:val="24"/>
          <w:szCs w:val="24"/>
          <w:lang w:eastAsia="en-GB"/>
        </w:rPr>
        <w:t>aždá investícia, ktorá môže spôsobiť riziko dosiahnutia dobrého ekologického stavu vodného útvaru</w:t>
      </w:r>
      <w:r w:rsidR="00CC360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CC3608" w:rsidRPr="002E296C">
        <w:rPr>
          <w:rFonts w:ascii="Times New Roman" w:hAnsi="Times New Roman"/>
          <w:sz w:val="24"/>
          <w:szCs w:val="24"/>
          <w:lang w:eastAsia="en-GB"/>
        </w:rPr>
        <w:t>vyhodnotená</w:t>
      </w:r>
      <w:r w:rsidR="00CC3608">
        <w:rPr>
          <w:rFonts w:ascii="Times New Roman" w:hAnsi="Times New Roman"/>
          <w:sz w:val="24"/>
          <w:szCs w:val="24"/>
          <w:lang w:eastAsia="en-GB"/>
        </w:rPr>
        <w:t>, a to z dôvodu</w:t>
      </w:r>
      <w:r w:rsidR="006B0CB2">
        <w:rPr>
          <w:rFonts w:ascii="Times New Roman" w:hAnsi="Times New Roman"/>
          <w:sz w:val="24"/>
          <w:szCs w:val="24"/>
          <w:lang w:eastAsia="en-GB"/>
        </w:rPr>
        <w:t xml:space="preserve"> realizácie</w:t>
      </w:r>
      <w:r w:rsidR="00CC3608" w:rsidRPr="002E296C">
        <w:rPr>
          <w:rFonts w:ascii="Times New Roman" w:hAnsi="Times New Roman"/>
          <w:sz w:val="24"/>
          <w:szCs w:val="24"/>
          <w:lang w:eastAsia="en-GB"/>
        </w:rPr>
        <w:t xml:space="preserve"> iba najlepšie</w:t>
      </w:r>
      <w:r w:rsidR="00CC3608">
        <w:rPr>
          <w:rFonts w:ascii="Times New Roman" w:hAnsi="Times New Roman"/>
          <w:sz w:val="24"/>
          <w:szCs w:val="24"/>
          <w:lang w:eastAsia="en-GB"/>
        </w:rPr>
        <w:t>ho</w:t>
      </w:r>
      <w:r w:rsidR="00CC3608" w:rsidRPr="002E296C">
        <w:rPr>
          <w:rFonts w:ascii="Times New Roman" w:hAnsi="Times New Roman"/>
          <w:sz w:val="24"/>
          <w:szCs w:val="24"/>
          <w:lang w:eastAsia="en-GB"/>
        </w:rPr>
        <w:t xml:space="preserve"> environmentálne</w:t>
      </w:r>
      <w:r w:rsidR="00CC3608">
        <w:rPr>
          <w:rFonts w:ascii="Times New Roman" w:hAnsi="Times New Roman"/>
          <w:sz w:val="24"/>
          <w:szCs w:val="24"/>
          <w:lang w:eastAsia="en-GB"/>
        </w:rPr>
        <w:t xml:space="preserve">ho riešenia. </w:t>
      </w:r>
      <w:r w:rsidR="002E296C" w:rsidRPr="002E296C">
        <w:rPr>
          <w:rFonts w:ascii="Times New Roman" w:hAnsi="Times New Roman"/>
          <w:sz w:val="24"/>
          <w:szCs w:val="24"/>
          <w:lang w:eastAsia="en-GB"/>
        </w:rPr>
        <w:t xml:space="preserve">Projekty rekonštrukcie odvodňovacích kanálov </w:t>
      </w:r>
      <w:r w:rsidR="00CC3608" w:rsidRPr="002E296C">
        <w:rPr>
          <w:rFonts w:ascii="Times New Roman" w:hAnsi="Times New Roman"/>
          <w:sz w:val="24"/>
          <w:szCs w:val="24"/>
          <w:lang w:eastAsia="en-GB"/>
        </w:rPr>
        <w:t xml:space="preserve">preto </w:t>
      </w:r>
      <w:r w:rsidR="002E296C" w:rsidRPr="002E296C">
        <w:rPr>
          <w:rFonts w:ascii="Times New Roman" w:hAnsi="Times New Roman"/>
          <w:sz w:val="24"/>
          <w:szCs w:val="24"/>
          <w:lang w:eastAsia="en-GB"/>
        </w:rPr>
        <w:t>budú pos</w:t>
      </w:r>
      <w:r w:rsidR="00F16E68">
        <w:rPr>
          <w:rFonts w:ascii="Times New Roman" w:hAnsi="Times New Roman"/>
          <w:sz w:val="24"/>
          <w:szCs w:val="24"/>
          <w:lang w:eastAsia="en-GB"/>
        </w:rPr>
        <w:t>udzované</w:t>
      </w:r>
      <w:r w:rsidR="002E296C" w:rsidRPr="002E296C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691DEB">
        <w:rPr>
          <w:rFonts w:ascii="Times New Roman" w:hAnsi="Times New Roman"/>
          <w:sz w:val="24"/>
          <w:szCs w:val="24"/>
          <w:lang w:eastAsia="en-GB"/>
        </w:rPr>
        <w:t>v nadväznosti na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 rámcovú smernicu </w:t>
      </w:r>
      <w:r w:rsidR="00E17770">
        <w:rPr>
          <w:rFonts w:ascii="Times New Roman" w:hAnsi="Times New Roman"/>
          <w:sz w:val="24"/>
          <w:szCs w:val="24"/>
          <w:lang w:eastAsia="en-GB"/>
        </w:rPr>
        <w:t xml:space="preserve">2000/60/ES 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 xml:space="preserve">Európskeho parlamentu a Rady </w:t>
      </w:r>
      <w:r w:rsidR="00E17770">
        <w:rPr>
          <w:rFonts w:ascii="Times New Roman" w:hAnsi="Times New Roman"/>
          <w:sz w:val="24"/>
          <w:szCs w:val="24"/>
          <w:lang w:eastAsia="en-GB"/>
        </w:rPr>
        <w:t>z 23. októbra 2000</w:t>
      </w:r>
      <w:r w:rsidR="00C0678F" w:rsidRPr="00C0678F">
        <w:rPr>
          <w:rFonts w:ascii="Times New Roman" w:hAnsi="Times New Roman"/>
          <w:sz w:val="24"/>
          <w:szCs w:val="24"/>
          <w:lang w:eastAsia="en-GB"/>
        </w:rPr>
        <w:t>, ktorou sa stanovuje rámec pôsobnosti pre opatrenia Spoločenstva v oblasti vodného hospodárstva (konkrétne potreba hodnotenia podľa čl. 4.7 tejto smernice)</w:t>
      </w:r>
      <w:r w:rsidR="00FB0031">
        <w:rPr>
          <w:rFonts w:ascii="Times New Roman" w:hAnsi="Times New Roman"/>
          <w:sz w:val="24"/>
          <w:szCs w:val="24"/>
          <w:lang w:eastAsia="en-GB"/>
        </w:rPr>
        <w:t xml:space="preserve">. </w:t>
      </w:r>
      <w:r w:rsidR="00CC3608">
        <w:rPr>
          <w:rFonts w:ascii="Times New Roman" w:hAnsi="Times New Roman"/>
          <w:sz w:val="24"/>
          <w:szCs w:val="24"/>
          <w:lang w:eastAsia="en-GB"/>
        </w:rPr>
        <w:t xml:space="preserve">Text bol upravený </w:t>
      </w:r>
      <w:r w:rsidR="00CC3608" w:rsidRPr="00850556">
        <w:rPr>
          <w:rFonts w:ascii="Times New Roman" w:hAnsi="Times New Roman"/>
          <w:sz w:val="24"/>
          <w:szCs w:val="24"/>
          <w:lang w:eastAsia="en-GB"/>
        </w:rPr>
        <w:t xml:space="preserve">v úzkej spolupráci s riadiacimi orgánmi dotknutých </w:t>
      </w:r>
      <w:r w:rsidR="00CC3608">
        <w:rPr>
          <w:rFonts w:ascii="Times New Roman" w:hAnsi="Times New Roman"/>
          <w:sz w:val="24"/>
          <w:szCs w:val="24"/>
          <w:lang w:eastAsia="en-GB"/>
        </w:rPr>
        <w:t xml:space="preserve">OP. </w:t>
      </w:r>
    </w:p>
    <w:p w:rsidR="00C0678F" w:rsidRPr="00C0678F" w:rsidRDefault="00C0678F" w:rsidP="00C067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0678F" w:rsidRPr="00F16D2A" w:rsidRDefault="00C0678F" w:rsidP="00F16D2A">
      <w:pPr>
        <w:pStyle w:val="Odsekzoznamu"/>
        <w:numPr>
          <w:ilvl w:val="0"/>
          <w:numId w:val="24"/>
        </w:numPr>
        <w:spacing w:before="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D2A">
        <w:rPr>
          <w:rFonts w:ascii="Times New Roman" w:hAnsi="Times New Roman" w:cs="Times New Roman"/>
          <w:b/>
          <w:sz w:val="24"/>
          <w:szCs w:val="24"/>
          <w:u w:val="single"/>
        </w:rPr>
        <w:t>Zvýšenie spolufinancovania prostriedkov</w:t>
      </w:r>
      <w:r w:rsidR="00691DEB" w:rsidRPr="00F16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</w:t>
      </w:r>
      <w:r w:rsidRPr="00F16D2A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691DEB" w:rsidRPr="00F16D2A">
        <w:rPr>
          <w:rFonts w:ascii="Times New Roman" w:hAnsi="Times New Roman" w:cs="Times New Roman"/>
          <w:b/>
          <w:sz w:val="24"/>
          <w:szCs w:val="24"/>
          <w:u w:val="single"/>
        </w:rPr>
        <w:t>urópskeho sociálneho fondu pre</w:t>
      </w:r>
      <w:r w:rsidR="000D327A" w:rsidRPr="00F16D2A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F16D2A">
        <w:rPr>
          <w:rFonts w:ascii="Times New Roman" w:hAnsi="Times New Roman" w:cs="Times New Roman"/>
          <w:b/>
          <w:sz w:val="24"/>
          <w:szCs w:val="24"/>
          <w:u w:val="single"/>
        </w:rPr>
        <w:t>Iniciatívu na</w:t>
      </w:r>
      <w:r w:rsidR="000D327A" w:rsidRPr="00F16D2A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F16D2A">
        <w:rPr>
          <w:rFonts w:ascii="Times New Roman" w:hAnsi="Times New Roman" w:cs="Times New Roman"/>
          <w:b/>
          <w:sz w:val="24"/>
          <w:szCs w:val="24"/>
          <w:u w:val="single"/>
        </w:rPr>
        <w:t>podporu zamestnanosti mladých ľudí</w:t>
      </w:r>
      <w:r w:rsidRPr="002E2B16">
        <w:rPr>
          <w:rFonts w:ascii="Times New Roman" w:eastAsiaTheme="minorHAnsi" w:hAnsi="Times New Roman"/>
          <w:b/>
          <w:sz w:val="24"/>
          <w:szCs w:val="24"/>
          <w:vertAlign w:val="superscript"/>
          <w:lang w:eastAsia="en-GB"/>
        </w:rPr>
        <w:footnoteReference w:id="9"/>
      </w:r>
      <w:r w:rsidRPr="002E2B16">
        <w:rPr>
          <w:rFonts w:ascii="Times New Roman" w:eastAsiaTheme="minorHAnsi" w:hAnsi="Times New Roman"/>
          <w:b/>
          <w:sz w:val="24"/>
          <w:szCs w:val="24"/>
          <w:vertAlign w:val="superscript"/>
          <w:lang w:eastAsia="en-GB"/>
        </w:rPr>
        <w:t xml:space="preserve"> </w:t>
      </w:r>
    </w:p>
    <w:p w:rsidR="00C0678F" w:rsidRPr="00C0678F" w:rsidRDefault="00C0678F" w:rsidP="00C0678F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91DEB" w:rsidRPr="00C0678F" w:rsidRDefault="00C0678F" w:rsidP="00691DEB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C0678F">
        <w:rPr>
          <w:rFonts w:ascii="Times New Roman" w:hAnsi="Times New Roman"/>
          <w:sz w:val="24"/>
          <w:szCs w:val="24"/>
          <w:lang w:eastAsia="en-GB"/>
        </w:rPr>
        <w:t>V </w:t>
      </w:r>
      <w:r w:rsidR="00CC3608">
        <w:rPr>
          <w:rFonts w:ascii="Times New Roman" w:hAnsi="Times New Roman"/>
          <w:sz w:val="24"/>
          <w:szCs w:val="24"/>
          <w:lang w:eastAsia="en-GB"/>
        </w:rPr>
        <w:t xml:space="preserve">platnej verzii </w:t>
      </w:r>
      <w:r w:rsidRPr="00C0678F">
        <w:rPr>
          <w:rFonts w:ascii="Times New Roman" w:hAnsi="Times New Roman"/>
          <w:sz w:val="24"/>
          <w:szCs w:val="24"/>
          <w:lang w:eastAsia="en-GB"/>
        </w:rPr>
        <w:t>O</w:t>
      </w:r>
      <w:r w:rsidR="00F16E68">
        <w:rPr>
          <w:rFonts w:ascii="Times New Roman" w:hAnsi="Times New Roman"/>
          <w:sz w:val="24"/>
          <w:szCs w:val="24"/>
          <w:lang w:eastAsia="en-GB"/>
        </w:rPr>
        <w:t>peračn</w:t>
      </w:r>
      <w:r w:rsidR="00CC3608">
        <w:rPr>
          <w:rFonts w:ascii="Times New Roman" w:hAnsi="Times New Roman"/>
          <w:sz w:val="24"/>
          <w:szCs w:val="24"/>
          <w:lang w:eastAsia="en-GB"/>
        </w:rPr>
        <w:t>ého</w:t>
      </w:r>
      <w:r w:rsidR="00F16E68">
        <w:rPr>
          <w:rFonts w:ascii="Times New Roman" w:hAnsi="Times New Roman"/>
          <w:sz w:val="24"/>
          <w:szCs w:val="24"/>
          <w:lang w:eastAsia="en-GB"/>
        </w:rPr>
        <w:t xml:space="preserve"> program</w:t>
      </w:r>
      <w:r w:rsidR="00CC3608">
        <w:rPr>
          <w:rFonts w:ascii="Times New Roman" w:hAnsi="Times New Roman"/>
          <w:sz w:val="24"/>
          <w:szCs w:val="24"/>
          <w:lang w:eastAsia="en-GB"/>
        </w:rPr>
        <w:t>u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Ľudské zdroje </w:t>
      </w:r>
      <w:r w:rsidR="00691DEB">
        <w:rPr>
          <w:rFonts w:ascii="Times New Roman" w:hAnsi="Times New Roman"/>
          <w:sz w:val="24"/>
          <w:szCs w:val="24"/>
          <w:lang w:eastAsia="en-GB"/>
        </w:rPr>
        <w:t xml:space="preserve">2014 – 2020, ktorá bola schválená EK, </w:t>
      </w:r>
      <w:r w:rsidR="00CC3608">
        <w:rPr>
          <w:rFonts w:ascii="Times New Roman" w:hAnsi="Times New Roman"/>
          <w:sz w:val="24"/>
          <w:szCs w:val="24"/>
          <w:lang w:eastAsia="en-GB"/>
        </w:rPr>
        <w:t xml:space="preserve">došlo 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k navýšeniu </w:t>
      </w:r>
      <w:r w:rsidR="00691DEB">
        <w:rPr>
          <w:rFonts w:ascii="Times New Roman" w:hAnsi="Times New Roman"/>
          <w:sz w:val="24"/>
          <w:szCs w:val="24"/>
          <w:lang w:eastAsia="en-GB"/>
        </w:rPr>
        <w:t>zdrojov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z E</w:t>
      </w:r>
      <w:r w:rsidR="000D327A">
        <w:rPr>
          <w:rFonts w:ascii="Times New Roman" w:hAnsi="Times New Roman"/>
          <w:sz w:val="24"/>
          <w:szCs w:val="24"/>
          <w:lang w:eastAsia="en-GB"/>
        </w:rPr>
        <w:t>urópskeho sociálneho fondu</w:t>
      </w:r>
      <w:r w:rsidR="00251B00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C0678F">
        <w:rPr>
          <w:rFonts w:ascii="Times New Roman" w:hAnsi="Times New Roman"/>
          <w:sz w:val="24"/>
          <w:szCs w:val="24"/>
          <w:lang w:eastAsia="en-GB"/>
        </w:rPr>
        <w:t>v rámci prioritnej osi 2</w:t>
      </w:r>
      <w:r w:rsidR="00CC3608">
        <w:rPr>
          <w:rFonts w:ascii="Times New Roman" w:hAnsi="Times New Roman"/>
          <w:sz w:val="24"/>
          <w:szCs w:val="24"/>
          <w:lang w:eastAsia="en-GB"/>
        </w:rPr>
        <w:t>, týkajúc</w:t>
      </w:r>
      <w:r w:rsidR="00A14F8F">
        <w:rPr>
          <w:rFonts w:ascii="Times New Roman" w:hAnsi="Times New Roman"/>
          <w:sz w:val="24"/>
          <w:szCs w:val="24"/>
          <w:lang w:eastAsia="en-GB"/>
        </w:rPr>
        <w:t>ej</w:t>
      </w:r>
      <w:r w:rsidR="00CC3608">
        <w:rPr>
          <w:rFonts w:ascii="Times New Roman" w:hAnsi="Times New Roman"/>
          <w:sz w:val="24"/>
          <w:szCs w:val="24"/>
          <w:lang w:eastAsia="en-GB"/>
        </w:rPr>
        <w:t xml:space="preserve"> sa</w:t>
      </w:r>
      <w:r w:rsidRPr="00C0678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2A6917" w:rsidRPr="002A6917">
        <w:rPr>
          <w:rFonts w:ascii="Times New Roman" w:hAnsi="Times New Roman"/>
          <w:sz w:val="24"/>
          <w:szCs w:val="24"/>
          <w:lang w:eastAsia="en-GB"/>
        </w:rPr>
        <w:t>Iniciatív</w:t>
      </w:r>
      <w:r w:rsidR="00CC3608">
        <w:rPr>
          <w:rFonts w:ascii="Times New Roman" w:hAnsi="Times New Roman"/>
          <w:sz w:val="24"/>
          <w:szCs w:val="24"/>
          <w:lang w:eastAsia="en-GB"/>
        </w:rPr>
        <w:t>y</w:t>
      </w:r>
      <w:r w:rsidR="002A6917" w:rsidRPr="002A6917">
        <w:rPr>
          <w:rFonts w:ascii="Times New Roman" w:hAnsi="Times New Roman"/>
          <w:sz w:val="24"/>
          <w:szCs w:val="24"/>
          <w:lang w:eastAsia="en-GB"/>
        </w:rPr>
        <w:t xml:space="preserve"> na podporu zamestnanosti mladých ľudí</w:t>
      </w:r>
      <w:r w:rsidR="00691DEB">
        <w:rPr>
          <w:rFonts w:ascii="Times New Roman" w:hAnsi="Times New Roman"/>
          <w:sz w:val="24"/>
          <w:szCs w:val="24"/>
          <w:lang w:eastAsia="en-GB"/>
        </w:rPr>
        <w:t xml:space="preserve">. </w:t>
      </w:r>
      <w:r w:rsidR="00FA31BC">
        <w:rPr>
          <w:rFonts w:ascii="Times New Roman" w:hAnsi="Times New Roman"/>
          <w:sz w:val="24"/>
          <w:szCs w:val="24"/>
          <w:lang w:eastAsia="en-GB"/>
        </w:rPr>
        <w:t xml:space="preserve">Z týchto dôvodov bolo </w:t>
      </w:r>
      <w:r w:rsidR="002F051E">
        <w:rPr>
          <w:rFonts w:ascii="Times New Roman" w:hAnsi="Times New Roman"/>
          <w:sz w:val="24"/>
          <w:szCs w:val="24"/>
          <w:lang w:eastAsia="en-GB"/>
        </w:rPr>
        <w:t xml:space="preserve">aj </w:t>
      </w:r>
      <w:r w:rsidR="00FA31BC">
        <w:rPr>
          <w:rFonts w:ascii="Times New Roman" w:hAnsi="Times New Roman"/>
          <w:sz w:val="24"/>
          <w:szCs w:val="24"/>
          <w:lang w:eastAsia="en-GB"/>
        </w:rPr>
        <w:t xml:space="preserve">znenie </w:t>
      </w:r>
      <w:r w:rsidR="00FA31BC">
        <w:rPr>
          <w:rFonts w:ascii="Times New Roman" w:hAnsi="Times New Roman" w:cs="Times New Roman"/>
          <w:sz w:val="24"/>
          <w:szCs w:val="24"/>
        </w:rPr>
        <w:t>t</w:t>
      </w:r>
      <w:r w:rsidR="00691DEB" w:rsidRPr="00C0678F">
        <w:rPr>
          <w:rFonts w:ascii="Times New Roman" w:hAnsi="Times New Roman" w:cs="Times New Roman"/>
          <w:sz w:val="24"/>
          <w:szCs w:val="24"/>
        </w:rPr>
        <w:t>ext</w:t>
      </w:r>
      <w:r w:rsidR="00FA31BC">
        <w:rPr>
          <w:rFonts w:ascii="Times New Roman" w:hAnsi="Times New Roman" w:cs="Times New Roman"/>
          <w:sz w:val="24"/>
          <w:szCs w:val="24"/>
        </w:rPr>
        <w:t xml:space="preserve">u </w:t>
      </w:r>
      <w:r w:rsidR="00CC3608">
        <w:rPr>
          <w:rFonts w:ascii="Times New Roman" w:hAnsi="Times New Roman" w:cs="Times New Roman"/>
          <w:sz w:val="24"/>
          <w:szCs w:val="24"/>
        </w:rPr>
        <w:br/>
      </w:r>
      <w:r w:rsidR="00FA31BC">
        <w:rPr>
          <w:rFonts w:ascii="Times New Roman" w:hAnsi="Times New Roman" w:cs="Times New Roman"/>
          <w:sz w:val="24"/>
          <w:szCs w:val="24"/>
        </w:rPr>
        <w:lastRenderedPageBreak/>
        <w:t>PD SR upravené</w:t>
      </w:r>
      <w:r w:rsidR="00CC3608">
        <w:rPr>
          <w:rFonts w:ascii="Times New Roman" w:hAnsi="Times New Roman" w:cs="Times New Roman"/>
          <w:sz w:val="24"/>
          <w:szCs w:val="24"/>
        </w:rPr>
        <w:t>, a to</w:t>
      </w:r>
      <w:r w:rsidR="00691DEB" w:rsidRPr="00C0678F">
        <w:rPr>
          <w:rFonts w:ascii="Times New Roman" w:hAnsi="Times New Roman" w:cs="Times New Roman"/>
          <w:sz w:val="24"/>
          <w:szCs w:val="24"/>
        </w:rPr>
        <w:t xml:space="preserve"> v úzkej spolupráci </w:t>
      </w:r>
      <w:r w:rsidR="00FA31BC">
        <w:rPr>
          <w:rFonts w:ascii="Times New Roman" w:hAnsi="Times New Roman" w:cs="Times New Roman"/>
          <w:sz w:val="24"/>
          <w:szCs w:val="24"/>
        </w:rPr>
        <w:t>s</w:t>
      </w:r>
      <w:r w:rsidR="002A6917">
        <w:rPr>
          <w:rFonts w:ascii="Times New Roman" w:hAnsi="Times New Roman" w:cs="Times New Roman"/>
          <w:sz w:val="24"/>
          <w:szCs w:val="24"/>
        </w:rPr>
        <w:t> </w:t>
      </w:r>
      <w:r w:rsidR="00FA31BC">
        <w:rPr>
          <w:rFonts w:ascii="Times New Roman" w:hAnsi="Times New Roman" w:cs="Times New Roman"/>
          <w:sz w:val="24"/>
          <w:szCs w:val="24"/>
        </w:rPr>
        <w:t>riadiacim orgánom tohto programu</w:t>
      </w:r>
      <w:r w:rsidR="00691DEB" w:rsidRPr="00C0678F">
        <w:rPr>
          <w:rFonts w:ascii="Times New Roman" w:hAnsi="Times New Roman" w:cs="Times New Roman"/>
          <w:sz w:val="24"/>
          <w:szCs w:val="24"/>
        </w:rPr>
        <w:t>.</w:t>
      </w:r>
      <w:r w:rsidR="00691DEB">
        <w:rPr>
          <w:rFonts w:ascii="Times New Roman" w:hAnsi="Times New Roman" w:cs="Times New Roman"/>
          <w:sz w:val="24"/>
          <w:szCs w:val="24"/>
        </w:rPr>
        <w:t xml:space="preserve"> </w:t>
      </w:r>
      <w:r w:rsidR="00735D0E">
        <w:rPr>
          <w:rFonts w:ascii="Times New Roman" w:hAnsi="Times New Roman"/>
          <w:bCs/>
          <w:sz w:val="24"/>
          <w:szCs w:val="24"/>
          <w:lang w:eastAsia="en-GB"/>
        </w:rPr>
        <w:t>Ide o zmeny v tabuľke 3</w:t>
      </w:r>
      <w:r w:rsidR="00A14F8F">
        <w:rPr>
          <w:rFonts w:ascii="Times New Roman" w:hAnsi="Times New Roman"/>
          <w:bCs/>
          <w:sz w:val="24"/>
          <w:szCs w:val="24"/>
          <w:lang w:eastAsia="en-GB"/>
        </w:rPr>
        <w:t>,</w:t>
      </w:r>
      <w:r w:rsidR="00735D0E">
        <w:rPr>
          <w:rFonts w:ascii="Times New Roman" w:hAnsi="Times New Roman"/>
          <w:bCs/>
          <w:sz w:val="24"/>
          <w:szCs w:val="24"/>
          <w:lang w:eastAsia="en-GB"/>
        </w:rPr>
        <w:t xml:space="preserve"> v kapitole</w:t>
      </w:r>
      <w:r w:rsidR="00735D0E">
        <w:rPr>
          <w:rFonts w:ascii="Times New Roman" w:hAnsi="Times New Roman" w:cs="Times New Roman"/>
          <w:sz w:val="24"/>
          <w:szCs w:val="24"/>
        </w:rPr>
        <w:t xml:space="preserve"> 1.4 PD SR. Zároveň </w:t>
      </w:r>
      <w:r w:rsidR="00CC3608">
        <w:rPr>
          <w:rFonts w:ascii="Times New Roman" w:hAnsi="Times New Roman" w:cs="Times New Roman"/>
          <w:sz w:val="24"/>
          <w:szCs w:val="24"/>
        </w:rPr>
        <w:t xml:space="preserve">bol </w:t>
      </w:r>
      <w:r w:rsidR="00735D0E">
        <w:rPr>
          <w:rFonts w:ascii="Times New Roman" w:hAnsi="Times New Roman" w:cs="Times New Roman"/>
          <w:sz w:val="24"/>
          <w:szCs w:val="24"/>
        </w:rPr>
        <w:t xml:space="preserve">podiel </w:t>
      </w:r>
      <w:r w:rsidR="00251B00" w:rsidRPr="00C0678F">
        <w:rPr>
          <w:rFonts w:ascii="Times New Roman" w:hAnsi="Times New Roman"/>
          <w:sz w:val="24"/>
          <w:szCs w:val="24"/>
          <w:lang w:eastAsia="en-GB"/>
        </w:rPr>
        <w:t>E</w:t>
      </w:r>
      <w:r w:rsidR="00251B00">
        <w:rPr>
          <w:rFonts w:ascii="Times New Roman" w:hAnsi="Times New Roman"/>
          <w:sz w:val="24"/>
          <w:szCs w:val="24"/>
          <w:lang w:eastAsia="en-GB"/>
        </w:rPr>
        <w:t>urópskeho sociálneho fondu</w:t>
      </w:r>
      <w:r w:rsidR="00735D0E">
        <w:rPr>
          <w:rFonts w:ascii="Times New Roman" w:hAnsi="Times New Roman" w:cs="Times New Roman"/>
          <w:sz w:val="24"/>
          <w:szCs w:val="24"/>
        </w:rPr>
        <w:t xml:space="preserve"> zo</w:t>
      </w:r>
      <w:r w:rsidR="0041575A">
        <w:rPr>
          <w:rFonts w:ascii="Times New Roman" w:hAnsi="Times New Roman" w:cs="Times New Roman"/>
          <w:sz w:val="24"/>
          <w:szCs w:val="24"/>
        </w:rPr>
        <w:t> </w:t>
      </w:r>
      <w:r w:rsidR="00735D0E">
        <w:rPr>
          <w:rFonts w:ascii="Times New Roman" w:hAnsi="Times New Roman" w:cs="Times New Roman"/>
          <w:sz w:val="24"/>
          <w:szCs w:val="24"/>
        </w:rPr>
        <w:t xml:space="preserve">zdrojov štrukturálnych fondov </w:t>
      </w:r>
      <w:r w:rsidR="00A14F8F">
        <w:rPr>
          <w:rFonts w:ascii="Times New Roman" w:hAnsi="Times New Roman" w:cs="Times New Roman"/>
          <w:sz w:val="24"/>
          <w:szCs w:val="24"/>
        </w:rPr>
        <w:t xml:space="preserve">EÚ </w:t>
      </w:r>
      <w:r w:rsidR="00735D0E">
        <w:rPr>
          <w:rFonts w:ascii="Times New Roman" w:hAnsi="Times New Roman" w:cs="Times New Roman"/>
          <w:sz w:val="24"/>
          <w:szCs w:val="24"/>
        </w:rPr>
        <w:t xml:space="preserve">upravený </w:t>
      </w:r>
      <w:r w:rsidR="00CC3608">
        <w:rPr>
          <w:rFonts w:ascii="Times New Roman" w:hAnsi="Times New Roman" w:cs="Times New Roman"/>
          <w:sz w:val="24"/>
          <w:szCs w:val="24"/>
        </w:rPr>
        <w:t xml:space="preserve">aj </w:t>
      </w:r>
      <w:r w:rsidR="00735D0E">
        <w:rPr>
          <w:rFonts w:ascii="Times New Roman" w:hAnsi="Times New Roman" w:cs="Times New Roman"/>
          <w:sz w:val="24"/>
          <w:szCs w:val="24"/>
        </w:rPr>
        <w:t xml:space="preserve">v tabuľke 5 v kapitole 1.4 PD SR. </w:t>
      </w:r>
      <w:r w:rsidR="00CC3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B16" w:rsidRDefault="00691DEB" w:rsidP="00C0678F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:rsidR="007900A4" w:rsidRPr="00EE04BF" w:rsidRDefault="002E2B16" w:rsidP="00FD7B41">
      <w:pPr>
        <w:pStyle w:val="Odsekzoznamu"/>
        <w:numPr>
          <w:ilvl w:val="0"/>
          <w:numId w:val="24"/>
        </w:numPr>
        <w:spacing w:before="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4BF">
        <w:rPr>
          <w:rFonts w:ascii="Times New Roman" w:hAnsi="Times New Roman" w:cs="Times New Roman"/>
          <w:b/>
          <w:sz w:val="24"/>
          <w:szCs w:val="24"/>
          <w:u w:val="single"/>
        </w:rPr>
        <w:t>Úprava alokácií na ciele súvisiace so zmenou klímy</w:t>
      </w:r>
    </w:p>
    <w:p w:rsidR="007900A4" w:rsidRDefault="007900A4" w:rsidP="00FD7B41">
      <w:pPr>
        <w:spacing w:after="0"/>
        <w:jc w:val="both"/>
        <w:rPr>
          <w:rFonts w:ascii="Times New Roman" w:hAnsi="Times New Roman"/>
          <w:bCs/>
          <w:sz w:val="24"/>
          <w:szCs w:val="24"/>
          <w:lang w:eastAsia="en-GB"/>
        </w:rPr>
      </w:pPr>
    </w:p>
    <w:p w:rsidR="002E2B16" w:rsidRDefault="002E2B16" w:rsidP="00FD7B41">
      <w:pPr>
        <w:spacing w:after="0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V schválenej PD SR neboli započítané niektoré alokácie na ciele súvisiace so zmenou klímy z </w:t>
      </w:r>
      <w:r w:rsidR="001118CB">
        <w:rPr>
          <w:rFonts w:ascii="Times New Roman" w:hAnsi="Times New Roman"/>
          <w:bCs/>
          <w:sz w:val="24"/>
          <w:szCs w:val="24"/>
          <w:lang w:eastAsia="en-GB"/>
        </w:rPr>
        <w:t>OP</w:t>
      </w:r>
      <w:r>
        <w:rPr>
          <w:rFonts w:ascii="Times New Roman" w:hAnsi="Times New Roman"/>
          <w:bCs/>
          <w:sz w:val="24"/>
          <w:szCs w:val="24"/>
          <w:lang w:eastAsia="en-GB"/>
        </w:rPr>
        <w:t>, ktoré v čase schvaľovania PD SR neboli známe. Z tohto dôvodu bolo potrebné zosúladiť údaje v PD SR s údajmi v</w:t>
      </w:r>
      <w:r w:rsidR="00A14F8F">
        <w:rPr>
          <w:rFonts w:ascii="Times New Roman" w:hAnsi="Times New Roman"/>
          <w:bCs/>
          <w:sz w:val="24"/>
          <w:szCs w:val="24"/>
          <w:lang w:eastAsia="en-GB"/>
        </w:rPr>
        <w:t> </w:t>
      </w:r>
      <w:r>
        <w:rPr>
          <w:rFonts w:ascii="Times New Roman" w:hAnsi="Times New Roman"/>
          <w:bCs/>
          <w:sz w:val="24"/>
          <w:szCs w:val="24"/>
          <w:lang w:eastAsia="en-GB"/>
        </w:rPr>
        <w:t>OP</w:t>
      </w:r>
      <w:r w:rsidR="00A14F8F">
        <w:rPr>
          <w:rFonts w:ascii="Times New Roman" w:hAnsi="Times New Roman"/>
          <w:bCs/>
          <w:sz w:val="24"/>
          <w:szCs w:val="24"/>
          <w:lang w:eastAsia="en-GB"/>
        </w:rPr>
        <w:t>,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aj pokiaľ ide o alokáciu na ciele súvisiace so zmenou klímy</w:t>
      </w:r>
      <w:r w:rsidR="00757117">
        <w:rPr>
          <w:rFonts w:ascii="Times New Roman" w:hAnsi="Times New Roman"/>
          <w:bCs/>
          <w:sz w:val="24"/>
          <w:szCs w:val="24"/>
          <w:lang w:eastAsia="en-GB"/>
        </w:rPr>
        <w:t xml:space="preserve">. </w:t>
      </w:r>
      <w:r w:rsidR="009C58C5">
        <w:rPr>
          <w:rFonts w:ascii="Times New Roman" w:hAnsi="Times New Roman"/>
          <w:bCs/>
          <w:sz w:val="24"/>
          <w:szCs w:val="24"/>
          <w:lang w:eastAsia="en-GB"/>
        </w:rPr>
        <w:t>Ide o zmeny v</w:t>
      </w:r>
      <w:r w:rsidR="00297394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GB"/>
        </w:rPr>
        <w:t>tabuľk</w:t>
      </w:r>
      <w:r w:rsidR="009C58C5">
        <w:rPr>
          <w:rFonts w:ascii="Times New Roman" w:hAnsi="Times New Roman"/>
          <w:bCs/>
          <w:sz w:val="24"/>
          <w:szCs w:val="24"/>
          <w:lang w:eastAsia="en-GB"/>
        </w:rPr>
        <w:t>e</w:t>
      </w:r>
      <w:r w:rsidR="00305C2B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GB"/>
        </w:rPr>
        <w:t>č. 1</w:t>
      </w:r>
      <w:r w:rsidR="00A14F8F">
        <w:rPr>
          <w:rFonts w:ascii="Times New Roman" w:hAnsi="Times New Roman"/>
          <w:bCs/>
          <w:sz w:val="24"/>
          <w:szCs w:val="24"/>
          <w:lang w:eastAsia="en-GB"/>
        </w:rPr>
        <w:t>,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v</w:t>
      </w:r>
      <w:r w:rsidR="00C24C8E">
        <w:rPr>
          <w:rFonts w:ascii="Times New Roman" w:hAnsi="Times New Roman"/>
          <w:bCs/>
          <w:sz w:val="24"/>
          <w:szCs w:val="24"/>
          <w:lang w:eastAsia="en-GB"/>
        </w:rPr>
        <w:t xml:space="preserve"> kapitole 1.4 </w:t>
      </w:r>
      <w:r>
        <w:rPr>
          <w:rFonts w:ascii="Times New Roman" w:hAnsi="Times New Roman"/>
          <w:bCs/>
          <w:sz w:val="24"/>
          <w:szCs w:val="24"/>
          <w:lang w:eastAsia="en-GB"/>
        </w:rPr>
        <w:t>PD SR</w:t>
      </w:r>
      <w:r w:rsidR="009C58C5">
        <w:rPr>
          <w:rFonts w:ascii="Times New Roman" w:hAnsi="Times New Roman"/>
          <w:bCs/>
          <w:sz w:val="24"/>
          <w:szCs w:val="24"/>
          <w:lang w:eastAsia="en-GB"/>
        </w:rPr>
        <w:t>.</w:t>
      </w:r>
      <w:r w:rsidR="00992A82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</w:p>
    <w:p w:rsidR="001B6F94" w:rsidRDefault="001B6F94" w:rsidP="001B6F94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1B6F94" w:rsidRPr="00EE04BF" w:rsidRDefault="001B6F94" w:rsidP="001B6F94">
      <w:pPr>
        <w:pStyle w:val="Odsekzoznamu"/>
        <w:numPr>
          <w:ilvl w:val="0"/>
          <w:numId w:val="24"/>
        </w:numPr>
        <w:spacing w:before="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Vypustenie ex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ante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kondicionality</w:t>
      </w:r>
      <w:proofErr w:type="spellEnd"/>
    </w:p>
    <w:p w:rsidR="001B6F94" w:rsidRDefault="001B6F94" w:rsidP="001B6F94">
      <w:pPr>
        <w:spacing w:after="0"/>
        <w:jc w:val="both"/>
        <w:rPr>
          <w:rFonts w:ascii="Times New Roman" w:hAnsi="Times New Roman"/>
          <w:bCs/>
          <w:sz w:val="24"/>
          <w:szCs w:val="24"/>
          <w:lang w:eastAsia="en-GB"/>
        </w:rPr>
      </w:pPr>
    </w:p>
    <w:p w:rsidR="001B6F94" w:rsidRPr="001B6F94" w:rsidRDefault="00757117" w:rsidP="00FD7B41">
      <w:pPr>
        <w:spacing w:after="0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Z dôvodu neuplatnenia t</w:t>
      </w:r>
      <w:r w:rsidR="001B6F94" w:rsidRPr="00A95317">
        <w:rPr>
          <w:rFonts w:ascii="Times New Roman" w:hAnsi="Times New Roman"/>
          <w:bCs/>
          <w:sz w:val="24"/>
          <w:szCs w:val="24"/>
          <w:lang w:eastAsia="en-GB"/>
        </w:rPr>
        <w:t>ematick</w:t>
      </w:r>
      <w:r>
        <w:rPr>
          <w:rFonts w:ascii="Times New Roman" w:hAnsi="Times New Roman"/>
          <w:bCs/>
          <w:sz w:val="24"/>
          <w:szCs w:val="24"/>
          <w:lang w:eastAsia="en-GB"/>
        </w:rPr>
        <w:t>ej</w:t>
      </w:r>
      <w:r w:rsidR="001B6F94" w:rsidRPr="00A95317">
        <w:rPr>
          <w:rFonts w:ascii="Times New Roman" w:hAnsi="Times New Roman"/>
          <w:bCs/>
          <w:sz w:val="24"/>
          <w:szCs w:val="24"/>
          <w:lang w:eastAsia="en-GB"/>
        </w:rPr>
        <w:t xml:space="preserve"> ex </w:t>
      </w:r>
      <w:proofErr w:type="spellStart"/>
      <w:r w:rsidR="001B6F94" w:rsidRPr="00A95317">
        <w:rPr>
          <w:rFonts w:ascii="Times New Roman" w:hAnsi="Times New Roman"/>
          <w:bCs/>
          <w:sz w:val="24"/>
          <w:szCs w:val="24"/>
          <w:lang w:eastAsia="en-GB"/>
        </w:rPr>
        <w:t>ante</w:t>
      </w:r>
      <w:proofErr w:type="spellEnd"/>
      <w:r w:rsidR="001B6F94" w:rsidRPr="00A95317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1B6F94" w:rsidRPr="00A95317">
        <w:rPr>
          <w:rFonts w:ascii="Times New Roman" w:hAnsi="Times New Roman"/>
          <w:bCs/>
          <w:sz w:val="24"/>
          <w:szCs w:val="24"/>
          <w:lang w:eastAsia="en-GB"/>
        </w:rPr>
        <w:t>kondicionalit</w:t>
      </w:r>
      <w:r>
        <w:rPr>
          <w:rFonts w:ascii="Times New Roman" w:hAnsi="Times New Roman"/>
          <w:bCs/>
          <w:sz w:val="24"/>
          <w:szCs w:val="24"/>
          <w:lang w:eastAsia="en-GB"/>
        </w:rPr>
        <w:t>y</w:t>
      </w:r>
      <w:proofErr w:type="spellEnd"/>
      <w:r w:rsidR="001B6F94" w:rsidRPr="00A95317">
        <w:rPr>
          <w:rFonts w:ascii="Times New Roman" w:hAnsi="Times New Roman"/>
          <w:bCs/>
          <w:sz w:val="24"/>
          <w:szCs w:val="24"/>
          <w:lang w:eastAsia="en-GB"/>
        </w:rPr>
        <w:t xml:space="preserve"> 8.5 a jej prislúchajúc</w:t>
      </w:r>
      <w:r>
        <w:rPr>
          <w:rFonts w:ascii="Times New Roman" w:hAnsi="Times New Roman"/>
          <w:bCs/>
          <w:sz w:val="24"/>
          <w:szCs w:val="24"/>
          <w:lang w:eastAsia="en-GB"/>
        </w:rPr>
        <w:t>eho</w:t>
      </w:r>
      <w:r w:rsidR="001B6F94" w:rsidRPr="00A95317">
        <w:rPr>
          <w:rFonts w:ascii="Times New Roman" w:hAnsi="Times New Roman"/>
          <w:bCs/>
          <w:sz w:val="24"/>
          <w:szCs w:val="24"/>
          <w:lang w:eastAsia="en-GB"/>
        </w:rPr>
        <w:t xml:space="preserve"> akčn</w:t>
      </w:r>
      <w:r>
        <w:rPr>
          <w:rFonts w:ascii="Times New Roman" w:hAnsi="Times New Roman"/>
          <w:bCs/>
          <w:sz w:val="24"/>
          <w:szCs w:val="24"/>
          <w:lang w:eastAsia="en-GB"/>
        </w:rPr>
        <w:t>ého</w:t>
      </w:r>
      <w:r w:rsidR="001B6F94" w:rsidRPr="00A95317">
        <w:rPr>
          <w:rFonts w:ascii="Times New Roman" w:hAnsi="Times New Roman"/>
          <w:bCs/>
          <w:sz w:val="24"/>
          <w:szCs w:val="24"/>
          <w:lang w:eastAsia="en-GB"/>
        </w:rPr>
        <w:t xml:space="preserve"> plán</w:t>
      </w:r>
      <w:r>
        <w:rPr>
          <w:rFonts w:ascii="Times New Roman" w:hAnsi="Times New Roman"/>
          <w:bCs/>
          <w:sz w:val="24"/>
          <w:szCs w:val="24"/>
          <w:lang w:eastAsia="en-GB"/>
        </w:rPr>
        <w:t>u</w:t>
      </w:r>
      <w:r w:rsidR="001B6F94" w:rsidRPr="00A95317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GB"/>
        </w:rPr>
        <w:t>v podmienkach SR</w:t>
      </w:r>
      <w:r w:rsidRPr="00A95317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="001B6F94" w:rsidRPr="00A95317">
        <w:rPr>
          <w:rFonts w:ascii="Times New Roman" w:hAnsi="Times New Roman"/>
          <w:bCs/>
          <w:sz w:val="24"/>
          <w:szCs w:val="24"/>
          <w:lang w:eastAsia="en-GB"/>
        </w:rPr>
        <w:t>sa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uvedený text z vyhodnotenia plnenia ex </w:t>
      </w:r>
      <w:proofErr w:type="spellStart"/>
      <w:r>
        <w:rPr>
          <w:rFonts w:ascii="Times New Roman" w:hAnsi="Times New Roman"/>
          <w:bCs/>
          <w:sz w:val="24"/>
          <w:szCs w:val="24"/>
          <w:lang w:eastAsia="en-GB"/>
        </w:rPr>
        <w:t>ante</w:t>
      </w:r>
      <w:proofErr w:type="spellEnd"/>
      <w:r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eastAsia="en-GB"/>
        </w:rPr>
        <w:t>kondicionalít</w:t>
      </w:r>
      <w:proofErr w:type="spellEnd"/>
      <w:r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="00A14F8F">
        <w:rPr>
          <w:rFonts w:ascii="Times New Roman" w:hAnsi="Times New Roman"/>
          <w:bCs/>
          <w:sz w:val="24"/>
          <w:szCs w:val="24"/>
          <w:lang w:eastAsia="en-GB"/>
        </w:rPr>
        <w:br/>
      </w:r>
      <w:r>
        <w:rPr>
          <w:rFonts w:ascii="Times New Roman" w:hAnsi="Times New Roman"/>
          <w:bCs/>
          <w:sz w:val="24"/>
          <w:szCs w:val="24"/>
          <w:lang w:eastAsia="en-GB"/>
        </w:rPr>
        <w:t>v</w:t>
      </w:r>
      <w:r w:rsidR="0041575A">
        <w:rPr>
          <w:rFonts w:ascii="Times New Roman" w:hAnsi="Times New Roman"/>
          <w:bCs/>
          <w:sz w:val="24"/>
          <w:szCs w:val="24"/>
          <w:lang w:eastAsia="en-GB"/>
        </w:rPr>
        <w:t> </w:t>
      </w:r>
      <w:r w:rsidR="001B6F94" w:rsidRPr="00A95317">
        <w:rPr>
          <w:rFonts w:ascii="Times New Roman" w:hAnsi="Times New Roman"/>
          <w:bCs/>
          <w:sz w:val="24"/>
          <w:szCs w:val="24"/>
          <w:lang w:eastAsia="en-GB"/>
        </w:rPr>
        <w:t>PD SR vypúšť</w:t>
      </w:r>
      <w:r>
        <w:rPr>
          <w:rFonts w:ascii="Times New Roman" w:hAnsi="Times New Roman"/>
          <w:bCs/>
          <w:sz w:val="24"/>
          <w:szCs w:val="24"/>
          <w:lang w:eastAsia="en-GB"/>
        </w:rPr>
        <w:t>a</w:t>
      </w:r>
      <w:r w:rsidR="00A95317">
        <w:rPr>
          <w:rFonts w:ascii="Times New Roman" w:hAnsi="Times New Roman"/>
          <w:bCs/>
          <w:sz w:val="24"/>
          <w:szCs w:val="24"/>
          <w:lang w:eastAsia="en-GB"/>
        </w:rPr>
        <w:t>.</w:t>
      </w:r>
      <w:r w:rsidR="001E7433">
        <w:rPr>
          <w:rFonts w:ascii="Times New Roman" w:hAnsi="Times New Roman"/>
          <w:bCs/>
          <w:sz w:val="24"/>
          <w:szCs w:val="24"/>
          <w:lang w:eastAsia="en-GB"/>
        </w:rPr>
        <w:t xml:space="preserve"> Ide o zmenu v kapitole 2.3 PD SR.</w:t>
      </w:r>
    </w:p>
    <w:p w:rsidR="00AC69FD" w:rsidRDefault="00AC69FD" w:rsidP="00FD7B4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</w:pPr>
    </w:p>
    <w:p w:rsidR="00FD7B41" w:rsidRPr="00F16D2A" w:rsidRDefault="00FD7B41" w:rsidP="00FD7B4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</w:pPr>
      <w:r w:rsidRPr="00F16D2A"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t>Formálno-technické úpravy</w:t>
      </w:r>
    </w:p>
    <w:p w:rsidR="007900A4" w:rsidRDefault="007900A4" w:rsidP="00FD7B41">
      <w:pPr>
        <w:spacing w:after="0"/>
        <w:jc w:val="both"/>
        <w:rPr>
          <w:rFonts w:ascii="Times New Roman" w:hAnsi="Times New Roman"/>
          <w:bCs/>
          <w:sz w:val="24"/>
          <w:szCs w:val="24"/>
          <w:lang w:eastAsia="en-GB"/>
        </w:rPr>
      </w:pPr>
    </w:p>
    <w:p w:rsidR="00FD7B41" w:rsidRPr="00FD7B41" w:rsidRDefault="00FD7B41" w:rsidP="00FD7B41">
      <w:pPr>
        <w:spacing w:after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Súčasťou revízie PD SR sú zároveň aj z</w:t>
      </w:r>
      <w:r w:rsidRPr="00FD7B41">
        <w:rPr>
          <w:rFonts w:ascii="Times New Roman" w:hAnsi="Times New Roman"/>
          <w:bCs/>
          <w:sz w:val="24"/>
          <w:szCs w:val="24"/>
          <w:lang w:eastAsia="en-GB"/>
        </w:rPr>
        <w:t>meny</w:t>
      </w:r>
      <w:r w:rsidR="00DE6060">
        <w:rPr>
          <w:rFonts w:ascii="Times New Roman" w:hAnsi="Times New Roman"/>
          <w:bCs/>
          <w:sz w:val="24"/>
          <w:szCs w:val="24"/>
          <w:lang w:eastAsia="en-GB"/>
        </w:rPr>
        <w:t>, ktoré vyplývajú</w:t>
      </w:r>
      <w:r w:rsidRPr="00FD7B41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="00DE6060">
        <w:rPr>
          <w:rFonts w:ascii="Times New Roman" w:hAnsi="Times New Roman"/>
          <w:bCs/>
          <w:sz w:val="24"/>
          <w:szCs w:val="24"/>
          <w:lang w:eastAsia="en-GB"/>
        </w:rPr>
        <w:t>z</w:t>
      </w:r>
      <w:r w:rsidRPr="00FD7B41">
        <w:rPr>
          <w:rFonts w:ascii="Times New Roman" w:hAnsi="Times New Roman"/>
          <w:bCs/>
          <w:sz w:val="24"/>
          <w:szCs w:val="24"/>
          <w:lang w:eastAsia="en-GB"/>
        </w:rPr>
        <w:t> novel</w:t>
      </w:r>
      <w:r w:rsidR="00DE6060">
        <w:rPr>
          <w:rFonts w:ascii="Times New Roman" w:hAnsi="Times New Roman"/>
          <w:bCs/>
          <w:sz w:val="24"/>
          <w:szCs w:val="24"/>
          <w:lang w:eastAsia="en-GB"/>
        </w:rPr>
        <w:t>y</w:t>
      </w:r>
      <w:r w:rsidRPr="00FD7B41">
        <w:rPr>
          <w:rFonts w:ascii="Times New Roman" w:hAnsi="Times New Roman"/>
          <w:bCs/>
          <w:sz w:val="24"/>
          <w:szCs w:val="24"/>
          <w:lang w:eastAsia="en-GB"/>
        </w:rPr>
        <w:t xml:space="preserve"> zákona č. 575/2001 Z. z. o organizácii činnosti vlády </w:t>
      </w:r>
      <w:r w:rsidR="00FA31BC">
        <w:rPr>
          <w:rFonts w:ascii="Times New Roman" w:hAnsi="Times New Roman"/>
          <w:bCs/>
          <w:sz w:val="24"/>
          <w:szCs w:val="24"/>
          <w:lang w:eastAsia="en-GB"/>
        </w:rPr>
        <w:t xml:space="preserve">SR </w:t>
      </w:r>
      <w:r w:rsidRPr="00FD7B41">
        <w:rPr>
          <w:rFonts w:ascii="Times New Roman" w:hAnsi="Times New Roman"/>
          <w:bCs/>
          <w:sz w:val="24"/>
          <w:szCs w:val="24"/>
          <w:lang w:eastAsia="en-GB"/>
        </w:rPr>
        <w:t>a organizácii ústrednej štátnej správy v znení neskorších predpisov</w:t>
      </w:r>
      <w:r w:rsidR="00FA31BC">
        <w:rPr>
          <w:rFonts w:ascii="Times New Roman" w:hAnsi="Times New Roman"/>
          <w:bCs/>
          <w:sz w:val="24"/>
          <w:szCs w:val="24"/>
          <w:lang w:eastAsia="en-GB"/>
        </w:rPr>
        <w:t xml:space="preserve"> v oblasti prechodu niektorých kompetencií na </w:t>
      </w:r>
      <w:r>
        <w:rPr>
          <w:rFonts w:ascii="Times New Roman" w:hAnsi="Times New Roman"/>
          <w:bCs/>
          <w:sz w:val="24"/>
          <w:szCs w:val="24"/>
          <w:lang w:eastAsia="en-GB"/>
        </w:rPr>
        <w:t>Úrad podpredsedu vlády SR pre</w:t>
      </w:r>
      <w:r w:rsidR="002A6917">
        <w:rPr>
          <w:rFonts w:ascii="Times New Roman" w:hAnsi="Times New Roman"/>
          <w:bCs/>
          <w:sz w:val="24"/>
          <w:szCs w:val="24"/>
          <w:lang w:eastAsia="en-GB"/>
        </w:rPr>
        <w:t> 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investície a informatizáciu </w:t>
      </w:r>
      <w:r w:rsidR="00220A12">
        <w:rPr>
          <w:rFonts w:ascii="Times New Roman" w:hAnsi="Times New Roman" w:cs="Times New Roman"/>
          <w:bCs/>
          <w:sz w:val="24"/>
          <w:szCs w:val="24"/>
        </w:rPr>
        <w:t xml:space="preserve">(ďalej len „ÚPPVII“) 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s účinnosťou od 1. </w:t>
      </w:r>
      <w:r w:rsidR="00375D0D">
        <w:rPr>
          <w:rFonts w:ascii="Times New Roman" w:hAnsi="Times New Roman"/>
          <w:bCs/>
          <w:sz w:val="24"/>
          <w:szCs w:val="24"/>
          <w:lang w:eastAsia="en-GB"/>
        </w:rPr>
        <w:t>júna</w:t>
      </w:r>
      <w:r w:rsidR="00E650B7">
        <w:rPr>
          <w:rFonts w:ascii="Times New Roman" w:hAnsi="Times New Roman"/>
          <w:bCs/>
          <w:sz w:val="24"/>
          <w:szCs w:val="24"/>
          <w:lang w:eastAsia="en-GB"/>
        </w:rPr>
        <w:t xml:space="preserve"> 2016. Ide o zmeny v kapitolách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1.5.1, 1.5.3, 2.1 a v Zozname skratiek.</w:t>
      </w:r>
      <w:r w:rsidRPr="00FD7B41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</w:p>
    <w:p w:rsidR="00FD7B41" w:rsidRDefault="00FD7B41" w:rsidP="00C0678F">
      <w:pPr>
        <w:spacing w:after="0"/>
        <w:jc w:val="both"/>
        <w:rPr>
          <w:rFonts w:ascii="Times New Roman" w:hAnsi="Times New Roman"/>
          <w:b/>
          <w:sz w:val="24"/>
          <w:szCs w:val="24"/>
          <w:lang w:eastAsia="en-GB"/>
        </w:rPr>
      </w:pPr>
    </w:p>
    <w:p w:rsidR="00087E17" w:rsidRDefault="00087E17" w:rsidP="00C0678F">
      <w:pPr>
        <w:spacing w:after="0"/>
        <w:jc w:val="both"/>
        <w:rPr>
          <w:rFonts w:ascii="Times New Roman" w:hAnsi="Times New Roman"/>
          <w:b/>
          <w:sz w:val="24"/>
          <w:szCs w:val="24"/>
          <w:lang w:eastAsia="en-GB"/>
        </w:rPr>
      </w:pPr>
    </w:p>
    <w:p w:rsidR="00F16D2A" w:rsidRDefault="00F16D2A">
      <w:pPr>
        <w:rPr>
          <w:rFonts w:ascii="Times New Roman" w:eastAsiaTheme="minorEastAsia" w:hAnsi="Times New Roman"/>
          <w:b/>
          <w:sz w:val="26"/>
          <w:szCs w:val="26"/>
          <w:u w:val="single"/>
          <w:lang w:eastAsia="en-GB"/>
        </w:rPr>
      </w:pPr>
      <w:r>
        <w:rPr>
          <w:rFonts w:ascii="Times New Roman" w:hAnsi="Times New Roman"/>
          <w:b/>
          <w:sz w:val="26"/>
          <w:szCs w:val="26"/>
          <w:u w:val="single"/>
          <w:lang w:eastAsia="en-GB"/>
        </w:rPr>
        <w:br w:type="page"/>
      </w:r>
    </w:p>
    <w:p w:rsidR="00400FAD" w:rsidRPr="00F16D2A" w:rsidRDefault="00792520" w:rsidP="00F16D2A">
      <w:pPr>
        <w:pStyle w:val="Odsekzoznamu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  <w:u w:val="single"/>
          <w:lang w:eastAsia="en-GB"/>
        </w:rPr>
      </w:pPr>
      <w:r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lastRenderedPageBreak/>
        <w:t>Revízia</w:t>
      </w:r>
      <w:r w:rsidR="00F73161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 xml:space="preserve"> </w:t>
      </w:r>
      <w:r w:rsidR="00F36DFE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>PD SR</w:t>
      </w:r>
      <w:r w:rsidR="00F73161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 xml:space="preserve"> z dôvodu vykonania technických úprav</w:t>
      </w:r>
      <w:r w:rsidR="00FA31BC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 xml:space="preserve"> finančnej</w:t>
      </w:r>
      <w:r w:rsidR="00F73161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 xml:space="preserve"> </w:t>
      </w:r>
      <w:r w:rsidR="003C4F4B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 xml:space="preserve">obálky </w:t>
      </w:r>
      <w:r w:rsidR="00F73161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>SR</w:t>
      </w:r>
      <w:r w:rsidR="00F36DFE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 xml:space="preserve"> </w:t>
      </w:r>
      <w:r w:rsidR="00F73161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>na</w:t>
      </w:r>
      <w:r w:rsidR="00F36DFE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> </w:t>
      </w:r>
      <w:r w:rsidR="00F73161" w:rsidRPr="00F16D2A">
        <w:rPr>
          <w:rFonts w:ascii="Times New Roman" w:hAnsi="Times New Roman"/>
          <w:b/>
          <w:sz w:val="26"/>
          <w:szCs w:val="26"/>
          <w:u w:val="single"/>
          <w:lang w:eastAsia="en-GB"/>
        </w:rPr>
        <w:t xml:space="preserve">politiku súdržnosti na roky 2017 – 2020 </w:t>
      </w:r>
    </w:p>
    <w:p w:rsidR="00087E17" w:rsidRDefault="00087E17" w:rsidP="00DD6195">
      <w:pPr>
        <w:pStyle w:val="Default"/>
        <w:jc w:val="both"/>
        <w:rPr>
          <w:b/>
          <w:u w:val="single"/>
        </w:rPr>
      </w:pPr>
    </w:p>
    <w:p w:rsidR="006902F8" w:rsidRPr="00F73161" w:rsidRDefault="006902F8" w:rsidP="00DD6195">
      <w:pPr>
        <w:pStyle w:val="Default"/>
        <w:jc w:val="both"/>
        <w:rPr>
          <w:b/>
          <w:u w:val="single"/>
        </w:rPr>
      </w:pPr>
      <w:r w:rsidRPr="00F73161">
        <w:rPr>
          <w:b/>
          <w:u w:val="single"/>
        </w:rPr>
        <w:t>Základné informácie</w:t>
      </w:r>
    </w:p>
    <w:p w:rsidR="00FA4369" w:rsidRPr="00004CB9" w:rsidRDefault="00FA4369" w:rsidP="00FA4369">
      <w:pPr>
        <w:pStyle w:val="Default"/>
        <w:jc w:val="both"/>
        <w:rPr>
          <w:bCs/>
        </w:rPr>
      </w:pPr>
    </w:p>
    <w:p w:rsidR="004D121D" w:rsidRPr="00004CB9" w:rsidRDefault="00DD6195" w:rsidP="00F83CE5">
      <w:pPr>
        <w:pStyle w:val="CM1"/>
        <w:spacing w:line="276" w:lineRule="auto"/>
        <w:jc w:val="both"/>
        <w:rPr>
          <w:rFonts w:ascii="Times New Roman" w:hAnsi="Times New Roman" w:cs="Times New Roman"/>
        </w:rPr>
      </w:pPr>
      <w:r w:rsidRPr="00DD6195">
        <w:t>Nariadenie Európskeho parlamentu a Rady (EÚ) č. 1303/2013</w:t>
      </w:r>
      <w:r>
        <w:rPr>
          <w:b/>
        </w:rPr>
        <w:t xml:space="preserve"> </w:t>
      </w:r>
      <w:r>
        <w:rPr>
          <w:rFonts w:ascii="Times New Roman" w:hAnsi="Times New Roman" w:cs="Times New Roman"/>
        </w:rPr>
        <w:t>(ďalej len „v</w:t>
      </w:r>
      <w:r w:rsidR="00A02426" w:rsidRPr="00004CB9">
        <w:rPr>
          <w:rFonts w:ascii="Times New Roman" w:hAnsi="Times New Roman" w:cs="Times New Roman"/>
        </w:rPr>
        <w:t>šeobecné nariadenie</w:t>
      </w:r>
      <w:r>
        <w:rPr>
          <w:rFonts w:ascii="Times New Roman" w:hAnsi="Times New Roman" w:cs="Times New Roman"/>
        </w:rPr>
        <w:t>“)</w:t>
      </w:r>
      <w:r w:rsidR="00184CA6" w:rsidRPr="00004CB9">
        <w:rPr>
          <w:rFonts w:ascii="Times New Roman" w:hAnsi="Times New Roman" w:cs="Times New Roman"/>
        </w:rPr>
        <w:t xml:space="preserve"> stanovuje v článku 92 ods. 3, že</w:t>
      </w:r>
      <w:r w:rsidR="00184CA6" w:rsidRPr="00004CB9">
        <w:rPr>
          <w:rFonts w:ascii="Times New Roman" w:hAnsi="Times New Roman" w:cs="Times New Roman"/>
          <w:b/>
        </w:rPr>
        <w:t xml:space="preserve"> </w:t>
      </w:r>
      <w:r w:rsidR="00184CA6" w:rsidRPr="00297394">
        <w:rPr>
          <w:rFonts w:ascii="Times New Roman" w:hAnsi="Times New Roman" w:cs="Times New Roman"/>
        </w:rPr>
        <w:t xml:space="preserve">EK v roku 2016 predloží technickú úpravu </w:t>
      </w:r>
      <w:r w:rsidR="008636BA" w:rsidRPr="00297394">
        <w:rPr>
          <w:rFonts w:ascii="Times New Roman" w:hAnsi="Times New Roman" w:cs="Times New Roman"/>
        </w:rPr>
        <w:t xml:space="preserve">viacročného finančného rámca </w:t>
      </w:r>
      <w:r w:rsidR="00184CA6" w:rsidRPr="00297394">
        <w:rPr>
          <w:rFonts w:ascii="Times New Roman" w:hAnsi="Times New Roman" w:cs="Times New Roman"/>
        </w:rPr>
        <w:t>na rok</w:t>
      </w:r>
      <w:r w:rsidR="00C95656" w:rsidRPr="00297394">
        <w:rPr>
          <w:rFonts w:ascii="Times New Roman" w:hAnsi="Times New Roman" w:cs="Times New Roman"/>
        </w:rPr>
        <w:t>y</w:t>
      </w:r>
      <w:r w:rsidR="00184CA6" w:rsidRPr="00297394">
        <w:rPr>
          <w:rFonts w:ascii="Times New Roman" w:hAnsi="Times New Roman" w:cs="Times New Roman"/>
        </w:rPr>
        <w:t xml:space="preserve"> 2017</w:t>
      </w:r>
      <w:r w:rsidR="00C95656" w:rsidRPr="00297394">
        <w:rPr>
          <w:rFonts w:ascii="Times New Roman" w:hAnsi="Times New Roman" w:cs="Times New Roman"/>
        </w:rPr>
        <w:t xml:space="preserve"> – 2020 v rámci </w:t>
      </w:r>
      <w:r w:rsidR="001A04F5" w:rsidRPr="00297394">
        <w:rPr>
          <w:rFonts w:ascii="Times New Roman" w:hAnsi="Times New Roman" w:cs="Times New Roman"/>
        </w:rPr>
        <w:t>cieľa Investovanie</w:t>
      </w:r>
      <w:r w:rsidR="00C95656" w:rsidRPr="00297394">
        <w:rPr>
          <w:rFonts w:ascii="Times New Roman" w:hAnsi="Times New Roman" w:cs="Times New Roman"/>
        </w:rPr>
        <w:t xml:space="preserve"> do rastu a zamestnanosti (prepočet tzv. „kohéznej obálky“).</w:t>
      </w:r>
      <w:r w:rsidR="00A02426" w:rsidRPr="00004CB9">
        <w:rPr>
          <w:rFonts w:ascii="Times New Roman" w:hAnsi="Times New Roman" w:cs="Times New Roman"/>
          <w:color w:val="000000"/>
        </w:rPr>
        <w:t xml:space="preserve"> </w:t>
      </w:r>
      <w:r w:rsidR="008636BA" w:rsidRPr="00004CB9">
        <w:rPr>
          <w:rFonts w:ascii="Times New Roman" w:hAnsi="Times New Roman" w:cs="Times New Roman"/>
          <w:color w:val="000000"/>
        </w:rPr>
        <w:t>Všeobecné n</w:t>
      </w:r>
      <w:r w:rsidR="00E0669A" w:rsidRPr="00004CB9">
        <w:rPr>
          <w:rFonts w:ascii="Times New Roman" w:hAnsi="Times New Roman" w:cs="Times New Roman"/>
        </w:rPr>
        <w:t xml:space="preserve">ariadenie taktiež uvádza, že </w:t>
      </w:r>
      <w:r w:rsidR="00E0669A" w:rsidRPr="00297394">
        <w:rPr>
          <w:rFonts w:ascii="Times New Roman" w:hAnsi="Times New Roman" w:cs="Times New Roman"/>
        </w:rPr>
        <w:t>celkové množstvo úprav (či už kladných alebo záporných) nemôže presahovať 4 mld. EUR</w:t>
      </w:r>
      <w:r w:rsidR="00E0669A" w:rsidRPr="006B0CB2">
        <w:rPr>
          <w:rFonts w:ascii="Times New Roman" w:hAnsi="Times New Roman" w:cs="Times New Roman"/>
        </w:rPr>
        <w:t>.</w:t>
      </w:r>
      <w:r w:rsidR="00E0669A" w:rsidRPr="00004CB9">
        <w:rPr>
          <w:rFonts w:ascii="Times New Roman" w:hAnsi="Times New Roman" w:cs="Times New Roman"/>
        </w:rPr>
        <w:t xml:space="preserve"> </w:t>
      </w:r>
    </w:p>
    <w:p w:rsidR="004D121D" w:rsidRPr="00004CB9" w:rsidRDefault="004D121D" w:rsidP="00F83CE5">
      <w:pPr>
        <w:pStyle w:val="CM1"/>
        <w:spacing w:line="276" w:lineRule="auto"/>
        <w:jc w:val="both"/>
        <w:rPr>
          <w:rFonts w:ascii="Times New Roman" w:hAnsi="Times New Roman" w:cs="Times New Roman"/>
        </w:rPr>
      </w:pPr>
    </w:p>
    <w:p w:rsidR="00F7473A" w:rsidRDefault="00A02426" w:rsidP="00F7473A">
      <w:pPr>
        <w:pStyle w:val="CM1"/>
        <w:spacing w:line="276" w:lineRule="auto"/>
        <w:jc w:val="both"/>
        <w:rPr>
          <w:rFonts w:ascii="Times New Roman" w:hAnsi="Times New Roman" w:cs="Times New Roman"/>
        </w:rPr>
      </w:pPr>
      <w:r w:rsidRPr="00004CB9">
        <w:rPr>
          <w:rFonts w:ascii="Times New Roman" w:hAnsi="Times New Roman" w:cs="Times New Roman"/>
        </w:rPr>
        <w:t xml:space="preserve">EK na základe technickej úpravy </w:t>
      </w:r>
      <w:r w:rsidR="00F94E2C" w:rsidRPr="00004CB9">
        <w:rPr>
          <w:rFonts w:ascii="Times New Roman" w:hAnsi="Times New Roman" w:cs="Times New Roman"/>
        </w:rPr>
        <w:t>prijala</w:t>
      </w:r>
      <w:r w:rsidRPr="00004CB9">
        <w:rPr>
          <w:rFonts w:ascii="Times New Roman" w:hAnsi="Times New Roman" w:cs="Times New Roman"/>
        </w:rPr>
        <w:t xml:space="preserve"> rozhodnutie prostredníctvom vykonávacích aktov stanovujúcich revidované ročné rozdelenie celkových pro</w:t>
      </w:r>
      <w:r w:rsidR="00E16513" w:rsidRPr="00004CB9">
        <w:rPr>
          <w:rFonts w:ascii="Times New Roman" w:hAnsi="Times New Roman" w:cs="Times New Roman"/>
        </w:rPr>
        <w:t xml:space="preserve">striedkov pre každý </w:t>
      </w:r>
      <w:r w:rsidR="001A04F5" w:rsidRPr="00004CB9">
        <w:rPr>
          <w:rFonts w:ascii="Times New Roman" w:hAnsi="Times New Roman" w:cs="Times New Roman"/>
        </w:rPr>
        <w:t>členský štát EÚ</w:t>
      </w:r>
      <w:r w:rsidR="00F73161">
        <w:rPr>
          <w:rFonts w:ascii="Times New Roman" w:hAnsi="Times New Roman" w:cs="Times New Roman"/>
        </w:rPr>
        <w:t xml:space="preserve"> (</w:t>
      </w:r>
      <w:r w:rsidR="00B96AAC" w:rsidRPr="00004CB9">
        <w:rPr>
          <w:rFonts w:ascii="Times New Roman" w:hAnsi="Times New Roman" w:cs="Times New Roman"/>
          <w:bCs/>
          <w:i/>
        </w:rPr>
        <w:t>v</w:t>
      </w:r>
      <w:r w:rsidR="001F6B64" w:rsidRPr="00004CB9">
        <w:rPr>
          <w:rFonts w:ascii="Times New Roman" w:hAnsi="Times New Roman" w:cs="Times New Roman"/>
          <w:bCs/>
          <w:i/>
        </w:rPr>
        <w:t>ykonávacie</w:t>
      </w:r>
      <w:r w:rsidR="00B96AAC" w:rsidRPr="00004CB9">
        <w:rPr>
          <w:rFonts w:ascii="Times New Roman" w:hAnsi="Times New Roman" w:cs="Times New Roman"/>
          <w:bCs/>
          <w:i/>
        </w:rPr>
        <w:t xml:space="preserve"> </w:t>
      </w:r>
      <w:r w:rsidR="001F6B64" w:rsidRPr="00004CB9">
        <w:rPr>
          <w:rFonts w:ascii="Times New Roman" w:hAnsi="Times New Roman" w:cs="Times New Roman"/>
          <w:bCs/>
          <w:i/>
        </w:rPr>
        <w:t>rozhodnutie</w:t>
      </w:r>
      <w:r w:rsidR="00B96AAC" w:rsidRPr="00004CB9">
        <w:rPr>
          <w:rFonts w:ascii="Times New Roman" w:hAnsi="Times New Roman" w:cs="Times New Roman"/>
          <w:bCs/>
          <w:i/>
        </w:rPr>
        <w:t xml:space="preserve"> Komisie </w:t>
      </w:r>
      <w:r w:rsidR="001F6B64" w:rsidRPr="00004CB9">
        <w:rPr>
          <w:rFonts w:ascii="Times New Roman" w:hAnsi="Times New Roman" w:cs="Times New Roman"/>
          <w:bCs/>
          <w:i/>
        </w:rPr>
        <w:t>(EÚ)</w:t>
      </w:r>
      <w:r w:rsidR="00B96AAC" w:rsidRPr="00004CB9">
        <w:rPr>
          <w:rFonts w:ascii="Times New Roman" w:hAnsi="Times New Roman" w:cs="Times New Roman"/>
          <w:bCs/>
          <w:i/>
        </w:rPr>
        <w:t xml:space="preserve"> </w:t>
      </w:r>
      <w:r w:rsidR="001F6B64" w:rsidRPr="00004CB9">
        <w:rPr>
          <w:rFonts w:ascii="Times New Roman" w:hAnsi="Times New Roman" w:cs="Times New Roman"/>
          <w:bCs/>
          <w:i/>
        </w:rPr>
        <w:t>2016/1941</w:t>
      </w:r>
      <w:r w:rsidR="00F73161">
        <w:rPr>
          <w:rFonts w:ascii="Times New Roman" w:hAnsi="Times New Roman" w:cs="Times New Roman"/>
        </w:rPr>
        <w:t>).</w:t>
      </w:r>
    </w:p>
    <w:p w:rsidR="00F7473A" w:rsidRDefault="00F7473A" w:rsidP="00F7473A">
      <w:pPr>
        <w:pStyle w:val="CM1"/>
        <w:spacing w:line="276" w:lineRule="auto"/>
        <w:jc w:val="both"/>
        <w:rPr>
          <w:rFonts w:ascii="Times New Roman" w:hAnsi="Times New Roman" w:cs="Times New Roman"/>
        </w:rPr>
      </w:pPr>
    </w:p>
    <w:p w:rsidR="00F7473A" w:rsidRPr="00F7473A" w:rsidRDefault="00F7473A" w:rsidP="00F7473A">
      <w:pPr>
        <w:pStyle w:val="CM1"/>
        <w:spacing w:line="276" w:lineRule="auto"/>
        <w:jc w:val="both"/>
        <w:rPr>
          <w:rFonts w:ascii="Times New Roman" w:hAnsi="Times New Roman" w:cs="Times New Roman"/>
        </w:rPr>
      </w:pPr>
      <w:r w:rsidRPr="00004CB9">
        <w:rPr>
          <w:rFonts w:ascii="Times New Roman" w:hAnsi="Times New Roman" w:cs="Times New Roman"/>
          <w:bCs/>
        </w:rPr>
        <w:t>V rámci technickej úpravy obálok politiky súdržnosti na roky 2017 – 2020,</w:t>
      </w:r>
      <w:r w:rsidRPr="00004CB9">
        <w:rPr>
          <w:rFonts w:ascii="Times New Roman" w:hAnsi="Times New Roman" w:cs="Times New Roman"/>
          <w:b/>
          <w:bCs/>
        </w:rPr>
        <w:t xml:space="preserve"> </w:t>
      </w:r>
      <w:r w:rsidRPr="00004CB9">
        <w:rPr>
          <w:rFonts w:ascii="Times New Roman" w:hAnsi="Times New Roman" w:cs="Times New Roman"/>
        </w:rPr>
        <w:t xml:space="preserve">aktualizovala EK jednotlivé prepočty na základe najnovších dát a v prípade rozdielu väčšieho ako 5 % upravila alokácie na roky 2017 – 2020. Ako je uvedené, </w:t>
      </w:r>
      <w:r w:rsidRPr="00004CB9">
        <w:rPr>
          <w:rFonts w:ascii="Times New Roman" w:hAnsi="Times New Roman" w:cs="Times New Roman"/>
          <w:bCs/>
        </w:rPr>
        <w:t>výsledkom</w:t>
      </w:r>
      <w:r w:rsidRPr="00004CB9">
        <w:rPr>
          <w:rFonts w:ascii="Times New Roman" w:hAnsi="Times New Roman" w:cs="Times New Roman"/>
        </w:rPr>
        <w:t xml:space="preserve"> tejto úpravy </w:t>
      </w:r>
      <w:r w:rsidRPr="00004CB9">
        <w:rPr>
          <w:rFonts w:ascii="Times New Roman" w:hAnsi="Times New Roman" w:cs="Times New Roman"/>
          <w:bCs/>
        </w:rPr>
        <w:t xml:space="preserve">je nárast záväzkov </w:t>
      </w:r>
      <w:r w:rsidR="006B0CB2">
        <w:rPr>
          <w:rFonts w:ascii="Times New Roman" w:hAnsi="Times New Roman" w:cs="Times New Roman"/>
          <w:bCs/>
        </w:rPr>
        <w:t xml:space="preserve">pre 11 členských štátov EÚ </w:t>
      </w:r>
      <w:r w:rsidRPr="00004CB9">
        <w:rPr>
          <w:rFonts w:ascii="Times New Roman" w:hAnsi="Times New Roman" w:cs="Times New Roman"/>
          <w:bCs/>
        </w:rPr>
        <w:t xml:space="preserve">vo výške 4 mld. EUR </w:t>
      </w:r>
      <w:r>
        <w:rPr>
          <w:rFonts w:ascii="Times New Roman" w:hAnsi="Times New Roman" w:cs="Times New Roman"/>
          <w:bCs/>
        </w:rPr>
        <w:t xml:space="preserve"> a</w:t>
      </w:r>
      <w:r w:rsidRPr="00004CB9">
        <w:rPr>
          <w:rFonts w:ascii="Times New Roman" w:hAnsi="Times New Roman" w:cs="Times New Roman"/>
          <w:bCs/>
        </w:rPr>
        <w:t xml:space="preserve"> pokles </w:t>
      </w:r>
      <w:r w:rsidR="006B0CB2">
        <w:rPr>
          <w:rFonts w:ascii="Times New Roman" w:hAnsi="Times New Roman" w:cs="Times New Roman"/>
          <w:bCs/>
        </w:rPr>
        <w:t xml:space="preserve">záväzkov </w:t>
      </w:r>
      <w:r w:rsidRPr="00004CB9">
        <w:rPr>
          <w:rFonts w:ascii="Times New Roman" w:hAnsi="Times New Roman" w:cs="Times New Roman"/>
          <w:bCs/>
        </w:rPr>
        <w:t>pre</w:t>
      </w:r>
      <w:r>
        <w:rPr>
          <w:rFonts w:ascii="Times New Roman" w:hAnsi="Times New Roman" w:cs="Times New Roman"/>
          <w:bCs/>
        </w:rPr>
        <w:t> </w:t>
      </w:r>
      <w:r w:rsidRPr="00004CB9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 </w:t>
      </w:r>
      <w:r w:rsidRPr="00004CB9">
        <w:rPr>
          <w:rFonts w:ascii="Times New Roman" w:hAnsi="Times New Roman" w:cs="Times New Roman"/>
          <w:bCs/>
        </w:rPr>
        <w:t xml:space="preserve">členských štátov </w:t>
      </w:r>
      <w:r w:rsidR="006B0CB2">
        <w:rPr>
          <w:rFonts w:ascii="Times New Roman" w:hAnsi="Times New Roman" w:cs="Times New Roman"/>
          <w:bCs/>
        </w:rPr>
        <w:t xml:space="preserve">EÚ, </w:t>
      </w:r>
      <w:r w:rsidRPr="00004CB9">
        <w:rPr>
          <w:rFonts w:ascii="Times New Roman" w:hAnsi="Times New Roman" w:cs="Times New Roman"/>
          <w:bCs/>
        </w:rPr>
        <w:t xml:space="preserve">vrátane </w:t>
      </w:r>
      <w:r w:rsidRPr="00004CB9">
        <w:rPr>
          <w:rFonts w:ascii="Times New Roman" w:hAnsi="Times New Roman" w:cs="Times New Roman"/>
          <w:b/>
          <w:bCs/>
        </w:rPr>
        <w:t>S</w:t>
      </w:r>
      <w:r w:rsidR="006B0CB2">
        <w:rPr>
          <w:rFonts w:ascii="Times New Roman" w:hAnsi="Times New Roman" w:cs="Times New Roman"/>
          <w:b/>
          <w:bCs/>
        </w:rPr>
        <w:t>R</w:t>
      </w:r>
      <w:r w:rsidRPr="00004CB9">
        <w:rPr>
          <w:rFonts w:ascii="Times New Roman" w:hAnsi="Times New Roman" w:cs="Times New Roman"/>
          <w:b/>
          <w:bCs/>
        </w:rPr>
        <w:t xml:space="preserve">: - 68,8 mil. EUR </w:t>
      </w:r>
      <w:r w:rsidRPr="00004CB9">
        <w:rPr>
          <w:rFonts w:ascii="Times New Roman" w:hAnsi="Times New Roman" w:cs="Times New Roman"/>
          <w:bCs/>
        </w:rPr>
        <w:t xml:space="preserve">(viď tab. </w:t>
      </w:r>
      <w:r>
        <w:rPr>
          <w:rFonts w:ascii="Times New Roman" w:hAnsi="Times New Roman" w:cs="Times New Roman"/>
          <w:bCs/>
        </w:rPr>
        <w:t xml:space="preserve">1 a </w:t>
      </w:r>
      <w:r w:rsidRPr="00004CB9">
        <w:rPr>
          <w:rFonts w:ascii="Times New Roman" w:hAnsi="Times New Roman" w:cs="Times New Roman"/>
          <w:bCs/>
        </w:rPr>
        <w:t>2).</w:t>
      </w:r>
    </w:p>
    <w:p w:rsidR="00E57595" w:rsidRPr="00004CB9" w:rsidRDefault="00E57595" w:rsidP="001A04F5">
      <w:pPr>
        <w:pStyle w:val="Default"/>
        <w:jc w:val="both"/>
      </w:pPr>
    </w:p>
    <w:p w:rsidR="00DE7489" w:rsidRPr="00004CB9" w:rsidRDefault="00EF0B6E" w:rsidP="001A04F5">
      <w:pPr>
        <w:pStyle w:val="Default"/>
        <w:jc w:val="both"/>
        <w:rPr>
          <w:i/>
        </w:rPr>
      </w:pPr>
      <w:r w:rsidRPr="00004CB9">
        <w:rPr>
          <w:i/>
        </w:rPr>
        <w:t>Tab. 1</w:t>
      </w:r>
      <w:r w:rsidR="00DE7489" w:rsidRPr="00004CB9">
        <w:rPr>
          <w:i/>
        </w:rPr>
        <w:t xml:space="preserve">: </w:t>
      </w:r>
      <w:r w:rsidR="00F7395F" w:rsidRPr="00004CB9">
        <w:rPr>
          <w:i/>
        </w:rPr>
        <w:t>Navrhovaná ú</w:t>
      </w:r>
      <w:r w:rsidR="00DE7489" w:rsidRPr="00004CB9">
        <w:rPr>
          <w:i/>
        </w:rPr>
        <w:t xml:space="preserve">prava alokácií pre cieľ Investovanie do rastu a zamestnanosti na roky 2017 – 2020  </w:t>
      </w:r>
    </w:p>
    <w:p w:rsidR="00DE7489" w:rsidRPr="00004CB9" w:rsidRDefault="00DE7489" w:rsidP="00184CA6">
      <w:pPr>
        <w:pStyle w:val="Default"/>
        <w:jc w:val="both"/>
        <w:rPr>
          <w:i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91"/>
        <w:gridCol w:w="1420"/>
        <w:gridCol w:w="1407"/>
        <w:gridCol w:w="3989"/>
      </w:tblGrid>
      <w:tr w:rsidR="007310B3" w:rsidRPr="007310B3" w:rsidTr="00297394">
        <w:trPr>
          <w:trHeight w:val="465"/>
        </w:trPr>
        <w:tc>
          <w:tcPr>
            <w:tcW w:w="960" w:type="dxa"/>
            <w:shd w:val="clear" w:color="auto" w:fill="auto"/>
            <w:hideMark/>
          </w:tcPr>
          <w:p w:rsidR="007310B3" w:rsidRPr="00B86101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B86101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Členský štát</w:t>
            </w:r>
          </w:p>
        </w:tc>
        <w:tc>
          <w:tcPr>
            <w:tcW w:w="1491" w:type="dxa"/>
            <w:shd w:val="clear" w:color="auto" w:fill="auto"/>
            <w:hideMark/>
          </w:tcPr>
          <w:p w:rsidR="007310B3" w:rsidRPr="00B86101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B86101">
              <w:rPr>
                <w:rFonts w:ascii="Times New Roman" w:eastAsia="Times New Roman" w:hAnsi="Times New Roman" w:cs="Times New Roman"/>
                <w:bCs/>
                <w:lang w:eastAsia="sk-SK"/>
              </w:rPr>
              <w:t>Kumulatívna odchýlka v %</w:t>
            </w:r>
          </w:p>
        </w:tc>
        <w:tc>
          <w:tcPr>
            <w:tcW w:w="1420" w:type="dxa"/>
            <w:shd w:val="clear" w:color="auto" w:fill="auto"/>
            <w:hideMark/>
          </w:tcPr>
          <w:p w:rsidR="007310B3" w:rsidRPr="00B86101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B86101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Konečné úpravy </w:t>
            </w:r>
            <w:r w:rsidRPr="00B86101">
              <w:rPr>
                <w:rFonts w:ascii="Times New Roman" w:eastAsia="Times New Roman" w:hAnsi="Times New Roman" w:cs="Times New Roman"/>
                <w:bCs/>
                <w:lang w:eastAsia="sk-SK"/>
              </w:rPr>
              <w:br/>
              <w:t>(ceny r. 2011)</w:t>
            </w:r>
          </w:p>
        </w:tc>
        <w:tc>
          <w:tcPr>
            <w:tcW w:w="1407" w:type="dxa"/>
            <w:shd w:val="clear" w:color="auto" w:fill="auto"/>
            <w:hideMark/>
          </w:tcPr>
          <w:p w:rsidR="007310B3" w:rsidRPr="00B86101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B86101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Konečné úpravy </w:t>
            </w:r>
            <w:r w:rsidRPr="00B86101">
              <w:rPr>
                <w:rFonts w:ascii="Times New Roman" w:eastAsia="Times New Roman" w:hAnsi="Times New Roman" w:cs="Times New Roman"/>
                <w:bCs/>
                <w:lang w:eastAsia="sk-SK"/>
              </w:rPr>
              <w:br/>
              <w:t>(bežné ceny)</w:t>
            </w:r>
          </w:p>
        </w:tc>
        <w:tc>
          <w:tcPr>
            <w:tcW w:w="3989" w:type="dxa"/>
            <w:shd w:val="clear" w:color="auto" w:fill="auto"/>
            <w:hideMark/>
          </w:tcPr>
          <w:p w:rsidR="007310B3" w:rsidRPr="00B86101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B86101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Úprava celkovej počiatočnej podpory cieľa Investovanie do rastu a zamestnanosti poskytnutej na programovanie v % 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BE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8,05%</w:t>
            </w:r>
          </w:p>
        </w:tc>
        <w:tc>
          <w:tcPr>
            <w:tcW w:w="1420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602B"/>
                <w:lang w:eastAsia="sk-SK"/>
              </w:rPr>
              <w:t>9,4</w:t>
            </w:r>
          </w:p>
        </w:tc>
        <w:tc>
          <w:tcPr>
            <w:tcW w:w="1407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  <w:t>11,0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0,55%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CZ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-7,39%</w:t>
            </w:r>
          </w:p>
        </w:tc>
        <w:tc>
          <w:tcPr>
            <w:tcW w:w="1420" w:type="dxa"/>
            <w:shd w:val="clear" w:color="000000" w:fill="FF9F9F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-99,1</w:t>
            </w:r>
          </w:p>
        </w:tc>
        <w:tc>
          <w:tcPr>
            <w:tcW w:w="1407" w:type="dxa"/>
            <w:shd w:val="clear" w:color="000000" w:fill="FF9F9F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-115,0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-0,53%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DK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27,12%</w:t>
            </w:r>
          </w:p>
        </w:tc>
        <w:tc>
          <w:tcPr>
            <w:tcW w:w="1420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602B"/>
                <w:lang w:eastAsia="sk-SK"/>
              </w:rPr>
              <w:t>5,5</w:t>
            </w:r>
          </w:p>
        </w:tc>
        <w:tc>
          <w:tcPr>
            <w:tcW w:w="1407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  <w:t>6,4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1,96%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EE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-12,85%</w:t>
            </w:r>
          </w:p>
        </w:tc>
        <w:tc>
          <w:tcPr>
            <w:tcW w:w="1420" w:type="dxa"/>
            <w:shd w:val="clear" w:color="000000" w:fill="FF9F9F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-30,5</w:t>
            </w:r>
          </w:p>
        </w:tc>
        <w:tc>
          <w:tcPr>
            <w:tcW w:w="1407" w:type="dxa"/>
            <w:shd w:val="clear" w:color="000000" w:fill="FF9F9F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-35,4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-1,00%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IE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5,92%</w:t>
            </w:r>
          </w:p>
        </w:tc>
        <w:tc>
          <w:tcPr>
            <w:tcW w:w="1420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602B"/>
                <w:lang w:eastAsia="sk-SK"/>
              </w:rPr>
              <w:t>3,1</w:t>
            </w:r>
          </w:p>
        </w:tc>
        <w:tc>
          <w:tcPr>
            <w:tcW w:w="1407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  <w:t>3,6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0,38%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94,07%</w:t>
            </w:r>
          </w:p>
        </w:tc>
        <w:tc>
          <w:tcPr>
            <w:tcW w:w="1420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602B"/>
                <w:lang w:eastAsia="sk-SK"/>
              </w:rPr>
              <w:t>836,6</w:t>
            </w:r>
          </w:p>
        </w:tc>
        <w:tc>
          <w:tcPr>
            <w:tcW w:w="1407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  <w:t>970,8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6,42%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ES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117,07%</w:t>
            </w:r>
          </w:p>
        </w:tc>
        <w:tc>
          <w:tcPr>
            <w:tcW w:w="1420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602B"/>
                <w:lang w:eastAsia="sk-SK"/>
              </w:rPr>
              <w:t>1 837,1</w:t>
            </w:r>
          </w:p>
        </w:tc>
        <w:tc>
          <w:tcPr>
            <w:tcW w:w="1407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  <w:t>2 131,8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7,90%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HR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-7,52%</w:t>
            </w:r>
          </w:p>
        </w:tc>
        <w:tc>
          <w:tcPr>
            <w:tcW w:w="1420" w:type="dxa"/>
            <w:shd w:val="clear" w:color="000000" w:fill="FF9F9F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-42,9</w:t>
            </w:r>
          </w:p>
        </w:tc>
        <w:tc>
          <w:tcPr>
            <w:tcW w:w="1407" w:type="dxa"/>
            <w:shd w:val="clear" w:color="000000" w:fill="FF9F9F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-49,8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-0,59%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IT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76,40%</w:t>
            </w:r>
          </w:p>
        </w:tc>
        <w:tc>
          <w:tcPr>
            <w:tcW w:w="1420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602B"/>
                <w:lang w:eastAsia="sk-SK"/>
              </w:rPr>
              <w:t>1 417,8</w:t>
            </w:r>
          </w:p>
        </w:tc>
        <w:tc>
          <w:tcPr>
            <w:tcW w:w="1407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  <w:t>1 645,2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5,29%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CY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76,75%</w:t>
            </w:r>
          </w:p>
        </w:tc>
        <w:tc>
          <w:tcPr>
            <w:tcW w:w="1420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602B"/>
                <w:lang w:eastAsia="sk-SK"/>
              </w:rPr>
              <w:t>31,5</w:t>
            </w:r>
          </w:p>
        </w:tc>
        <w:tc>
          <w:tcPr>
            <w:tcW w:w="1407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  <w:t>36,6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5,29%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NL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8,14%</w:t>
            </w:r>
          </w:p>
        </w:tc>
        <w:tc>
          <w:tcPr>
            <w:tcW w:w="1420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602B"/>
                <w:lang w:eastAsia="sk-SK"/>
              </w:rPr>
              <w:t>5,1</w:t>
            </w:r>
          </w:p>
        </w:tc>
        <w:tc>
          <w:tcPr>
            <w:tcW w:w="1407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  <w:t>5,9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0,58%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SI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25,30%</w:t>
            </w:r>
          </w:p>
        </w:tc>
        <w:tc>
          <w:tcPr>
            <w:tcW w:w="1420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602B"/>
                <w:lang w:eastAsia="sk-SK"/>
              </w:rPr>
              <w:t>48,3</w:t>
            </w:r>
          </w:p>
        </w:tc>
        <w:tc>
          <w:tcPr>
            <w:tcW w:w="1407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  <w:t>56,0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1,87%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</w:t>
            </w:r>
            <w:r w:rsidR="006B0CB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-6,43%</w:t>
            </w:r>
          </w:p>
        </w:tc>
        <w:tc>
          <w:tcPr>
            <w:tcW w:w="1420" w:type="dxa"/>
            <w:shd w:val="clear" w:color="000000" w:fill="FF9F9F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-59,3</w:t>
            </w:r>
          </w:p>
        </w:tc>
        <w:tc>
          <w:tcPr>
            <w:tcW w:w="1407" w:type="dxa"/>
            <w:shd w:val="clear" w:color="000000" w:fill="FF9F9F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-68,8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-0,50%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FI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6,09%</w:t>
            </w:r>
          </w:p>
        </w:tc>
        <w:tc>
          <w:tcPr>
            <w:tcW w:w="1420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602B"/>
                <w:lang w:eastAsia="sk-SK"/>
              </w:rPr>
              <w:t>5,0</w:t>
            </w:r>
          </w:p>
        </w:tc>
        <w:tc>
          <w:tcPr>
            <w:tcW w:w="1407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  <w:t>5,8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0,44%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SE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-16,59%</w:t>
            </w:r>
          </w:p>
        </w:tc>
        <w:tc>
          <w:tcPr>
            <w:tcW w:w="1420" w:type="dxa"/>
            <w:shd w:val="clear" w:color="000000" w:fill="FF9F9F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-17,7</w:t>
            </w:r>
          </w:p>
        </w:tc>
        <w:tc>
          <w:tcPr>
            <w:tcW w:w="1407" w:type="dxa"/>
            <w:shd w:val="clear" w:color="000000" w:fill="FF9F9F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-20,5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-1,19%</w:t>
            </w:r>
          </w:p>
        </w:tc>
      </w:tr>
      <w:tr w:rsidR="007310B3" w:rsidRPr="007310B3" w:rsidTr="00297394">
        <w:trPr>
          <w:trHeight w:val="15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UK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7,53%</w:t>
            </w:r>
          </w:p>
        </w:tc>
        <w:tc>
          <w:tcPr>
            <w:tcW w:w="1420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602B"/>
                <w:lang w:eastAsia="sk-SK"/>
              </w:rPr>
              <w:t>50,0</w:t>
            </w:r>
          </w:p>
        </w:tc>
        <w:tc>
          <w:tcPr>
            <w:tcW w:w="1407" w:type="dxa"/>
            <w:shd w:val="clear" w:color="000000" w:fill="99FF99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602B"/>
                <w:lang w:eastAsia="sk-SK"/>
              </w:rPr>
              <w:t>58,0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0,54%</w:t>
            </w:r>
          </w:p>
        </w:tc>
      </w:tr>
      <w:tr w:rsidR="007310B3" w:rsidRPr="007310B3" w:rsidTr="00297394">
        <w:trPr>
          <w:trHeight w:val="47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Celkom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4 000,0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4 641,6</w:t>
            </w:r>
          </w:p>
        </w:tc>
        <w:tc>
          <w:tcPr>
            <w:tcW w:w="3989" w:type="dxa"/>
            <w:shd w:val="clear" w:color="auto" w:fill="auto"/>
            <w:noWrap/>
            <w:vAlign w:val="center"/>
            <w:hideMark/>
          </w:tcPr>
          <w:p w:rsidR="007310B3" w:rsidRPr="00304DF8" w:rsidRDefault="007310B3" w:rsidP="007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04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1,38%</w:t>
            </w:r>
          </w:p>
        </w:tc>
      </w:tr>
    </w:tbl>
    <w:p w:rsidR="00A846BB" w:rsidRDefault="00A846BB" w:rsidP="00331DC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46BB" w:rsidRDefault="00A846BB" w:rsidP="00331DC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0CB2" w:rsidRDefault="006B0CB2" w:rsidP="00331DC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DCF" w:rsidRPr="00004CB9" w:rsidRDefault="00331DCF" w:rsidP="00331DC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CB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Tab. 2: Porovnanie pridelenia tzv. kohéznej obálky pre </w:t>
      </w:r>
      <w:r w:rsidR="00665FBE">
        <w:rPr>
          <w:rFonts w:ascii="Times New Roman" w:hAnsi="Times New Roman" w:cs="Times New Roman"/>
          <w:i/>
          <w:sz w:val="24"/>
          <w:szCs w:val="24"/>
        </w:rPr>
        <w:t>SR</w:t>
      </w:r>
      <w:r w:rsidRPr="00004CB9">
        <w:rPr>
          <w:rFonts w:ascii="Times New Roman" w:hAnsi="Times New Roman" w:cs="Times New Roman"/>
          <w:i/>
          <w:sz w:val="24"/>
          <w:szCs w:val="24"/>
        </w:rPr>
        <w:t xml:space="preserve"> na roky 2017 – 2020 pred a po</w:t>
      </w:r>
      <w:r w:rsidR="00665FBE">
        <w:rPr>
          <w:rFonts w:ascii="Times New Roman" w:hAnsi="Times New Roman" w:cs="Times New Roman"/>
          <w:i/>
          <w:sz w:val="24"/>
          <w:szCs w:val="24"/>
        </w:rPr>
        <w:t> </w:t>
      </w:r>
      <w:r w:rsidRPr="00004CB9">
        <w:rPr>
          <w:rFonts w:ascii="Times New Roman" w:hAnsi="Times New Roman" w:cs="Times New Roman"/>
          <w:i/>
          <w:sz w:val="24"/>
          <w:szCs w:val="24"/>
        </w:rPr>
        <w:t>úprave*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31DCF" w:rsidRPr="00004CB9" w:rsidTr="003E618C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331DCF" w:rsidRPr="00004CB9" w:rsidRDefault="00331DCF" w:rsidP="00AB6BAC">
            <w:pPr>
              <w:pStyle w:val="Default"/>
              <w:rPr>
                <w:color w:val="auto"/>
              </w:rPr>
            </w:pPr>
            <w:r w:rsidRPr="00004CB9">
              <w:rPr>
                <w:color w:val="auto"/>
              </w:rPr>
              <w:t xml:space="preserve">Pôvodné pridelené prostriedky na roky </w:t>
            </w:r>
            <w:r w:rsidRPr="00004CB9">
              <w:rPr>
                <w:color w:val="auto"/>
              </w:rPr>
              <w:br/>
              <w:t>2017 – 2020 pre SR</w:t>
            </w:r>
          </w:p>
        </w:tc>
        <w:tc>
          <w:tcPr>
            <w:tcW w:w="4606" w:type="dxa"/>
            <w:vAlign w:val="center"/>
          </w:tcPr>
          <w:p w:rsidR="00331DCF" w:rsidRPr="00004CB9" w:rsidRDefault="00331DCF" w:rsidP="00AB6BAC">
            <w:pPr>
              <w:pStyle w:val="Default"/>
              <w:rPr>
                <w:color w:val="auto"/>
              </w:rPr>
            </w:pPr>
            <w:r w:rsidRPr="00004CB9">
              <w:rPr>
                <w:color w:val="auto"/>
              </w:rPr>
              <w:t>7</w:t>
            </w:r>
            <w:r w:rsidR="002F4379">
              <w:rPr>
                <w:color w:val="auto"/>
              </w:rPr>
              <w:t xml:space="preserve"> </w:t>
            </w:r>
            <w:r w:rsidRPr="00004CB9">
              <w:rPr>
                <w:color w:val="auto"/>
              </w:rPr>
              <w:t>629,3 mil. EUR</w:t>
            </w:r>
          </w:p>
        </w:tc>
      </w:tr>
      <w:tr w:rsidR="00331DCF" w:rsidRPr="00004CB9" w:rsidTr="003E618C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331DCF" w:rsidRPr="00004CB9" w:rsidRDefault="00331DCF" w:rsidP="00AB6BAC">
            <w:pPr>
              <w:pStyle w:val="Default"/>
              <w:rPr>
                <w:color w:val="auto"/>
              </w:rPr>
            </w:pPr>
            <w:r w:rsidRPr="00004CB9">
              <w:rPr>
                <w:color w:val="auto"/>
              </w:rPr>
              <w:t>Úprava</w:t>
            </w:r>
          </w:p>
        </w:tc>
        <w:tc>
          <w:tcPr>
            <w:tcW w:w="4606" w:type="dxa"/>
            <w:vAlign w:val="center"/>
          </w:tcPr>
          <w:p w:rsidR="00331DCF" w:rsidRPr="00004CB9" w:rsidRDefault="00331DCF" w:rsidP="00AB6BAC">
            <w:pPr>
              <w:pStyle w:val="Default"/>
              <w:rPr>
                <w:color w:val="auto"/>
              </w:rPr>
            </w:pPr>
            <w:r w:rsidRPr="00004CB9">
              <w:rPr>
                <w:color w:val="auto"/>
              </w:rPr>
              <w:t>- 68,835 mil. EUR v bežných cenách</w:t>
            </w:r>
          </w:p>
        </w:tc>
      </w:tr>
      <w:tr w:rsidR="00331DCF" w:rsidRPr="00004CB9" w:rsidTr="003E618C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331DCF" w:rsidRPr="00004CB9" w:rsidRDefault="00331DCF" w:rsidP="00AB6BAC">
            <w:pPr>
              <w:pStyle w:val="Default"/>
              <w:rPr>
                <w:color w:val="auto"/>
              </w:rPr>
            </w:pPr>
            <w:r w:rsidRPr="00004CB9">
              <w:rPr>
                <w:color w:val="auto"/>
              </w:rPr>
              <w:t>Nová úprava pridelených prostriedkov na roky 2017 – 2020 pre SR</w:t>
            </w:r>
          </w:p>
        </w:tc>
        <w:tc>
          <w:tcPr>
            <w:tcW w:w="4606" w:type="dxa"/>
            <w:vAlign w:val="center"/>
          </w:tcPr>
          <w:p w:rsidR="00331DCF" w:rsidRPr="00004CB9" w:rsidRDefault="00331DCF" w:rsidP="00AB6BAC">
            <w:pPr>
              <w:pStyle w:val="Default"/>
              <w:rPr>
                <w:color w:val="auto"/>
              </w:rPr>
            </w:pPr>
            <w:r w:rsidRPr="00004CB9">
              <w:rPr>
                <w:color w:val="auto"/>
              </w:rPr>
              <w:t>7</w:t>
            </w:r>
            <w:r w:rsidR="002F4379">
              <w:rPr>
                <w:color w:val="auto"/>
              </w:rPr>
              <w:t xml:space="preserve"> </w:t>
            </w:r>
            <w:r w:rsidRPr="00004CB9">
              <w:rPr>
                <w:color w:val="auto"/>
              </w:rPr>
              <w:t>560,5 mil. EUR</w:t>
            </w:r>
          </w:p>
        </w:tc>
      </w:tr>
    </w:tbl>
    <w:p w:rsidR="00331DCF" w:rsidRPr="00F16D2A" w:rsidRDefault="00331DCF" w:rsidP="00F16D2A">
      <w:pPr>
        <w:pStyle w:val="Default"/>
        <w:spacing w:before="120"/>
        <w:jc w:val="both"/>
        <w:rPr>
          <w:i/>
          <w:color w:val="auto"/>
          <w:sz w:val="20"/>
          <w:szCs w:val="20"/>
        </w:rPr>
      </w:pPr>
      <w:r w:rsidRPr="00F16D2A">
        <w:rPr>
          <w:i/>
          <w:color w:val="auto"/>
          <w:sz w:val="20"/>
          <w:szCs w:val="20"/>
        </w:rPr>
        <w:t>*Podľa oznámenia Komisie</w:t>
      </w:r>
      <w:r w:rsidR="00A846BB" w:rsidRPr="00F16D2A">
        <w:rPr>
          <w:i/>
          <w:color w:val="auto"/>
          <w:sz w:val="20"/>
          <w:szCs w:val="20"/>
        </w:rPr>
        <w:t xml:space="preserve"> </w:t>
      </w:r>
      <w:r w:rsidRPr="00F16D2A">
        <w:rPr>
          <w:i/>
          <w:color w:val="auto"/>
          <w:sz w:val="20"/>
          <w:szCs w:val="20"/>
        </w:rPr>
        <w:t>Rade a Európskemu parlamentu - Technické úpravy finančného rámca na rok 2017 v súlade s vývojom hrubého národného dôchodku (HND) a úpravy balíkov finančných prostriedkov na politiku súdržnosti (</w:t>
      </w:r>
      <w:r w:rsidR="002F4379" w:rsidRPr="00F16D2A">
        <w:rPr>
          <w:i/>
          <w:color w:val="auto"/>
          <w:sz w:val="20"/>
          <w:szCs w:val="20"/>
        </w:rPr>
        <w:t>č</w:t>
      </w:r>
      <w:r w:rsidRPr="00F16D2A">
        <w:rPr>
          <w:i/>
          <w:color w:val="auto"/>
          <w:sz w:val="20"/>
          <w:szCs w:val="20"/>
        </w:rPr>
        <w:t xml:space="preserve">lánok 6 a 7 nariadenia Rady č. 1311/2013, ktorým sa ustanovuje viacročný finančný rámec na roky 2014 – 2020) z 30. 6. 2016 [COM(2016) 311 </w:t>
      </w:r>
      <w:proofErr w:type="spellStart"/>
      <w:r w:rsidRPr="00F16D2A">
        <w:rPr>
          <w:i/>
          <w:color w:val="auto"/>
          <w:sz w:val="20"/>
          <w:szCs w:val="20"/>
        </w:rPr>
        <w:t>final</w:t>
      </w:r>
      <w:proofErr w:type="spellEnd"/>
      <w:r w:rsidRPr="00F16D2A">
        <w:rPr>
          <w:i/>
          <w:color w:val="auto"/>
          <w:sz w:val="20"/>
          <w:szCs w:val="20"/>
        </w:rPr>
        <w:t>]</w:t>
      </w:r>
    </w:p>
    <w:p w:rsidR="002F4379" w:rsidRDefault="002F4379" w:rsidP="00DD619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38D" w:rsidRPr="00DD6195" w:rsidRDefault="00F73161" w:rsidP="00F16D2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6195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F94E2C" w:rsidRPr="00DD6195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ykonanie </w:t>
      </w:r>
      <w:r w:rsidR="00F94E2C" w:rsidRPr="00DD61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technických úprav </w:t>
      </w:r>
      <w:r w:rsidR="005D5102">
        <w:rPr>
          <w:rFonts w:ascii="Times New Roman" w:hAnsi="Times New Roman" w:cs="Times New Roman"/>
          <w:b/>
          <w:bCs/>
          <w:sz w:val="24"/>
          <w:szCs w:val="24"/>
          <w:u w:val="single"/>
        </w:rPr>
        <w:t>obálky</w:t>
      </w:r>
      <w:r w:rsidR="00CB5F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31308" w:rsidRPr="00DD6195">
        <w:rPr>
          <w:rFonts w:ascii="Times New Roman" w:hAnsi="Times New Roman" w:cs="Times New Roman"/>
          <w:b/>
          <w:bCs/>
          <w:sz w:val="24"/>
          <w:szCs w:val="24"/>
          <w:u w:val="single"/>
        </w:rPr>
        <w:t>SR</w:t>
      </w:r>
      <w:r w:rsidR="00F94E2C" w:rsidRPr="00DD61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politiku súdržnosti na roky 2017 – 2020</w:t>
      </w:r>
      <w:r w:rsidR="00CD6F85" w:rsidRPr="00DD61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 podmienkach </w:t>
      </w:r>
      <w:r w:rsidR="00665FBE">
        <w:rPr>
          <w:rFonts w:ascii="Times New Roman" w:hAnsi="Times New Roman" w:cs="Times New Roman"/>
          <w:b/>
          <w:bCs/>
          <w:sz w:val="24"/>
          <w:szCs w:val="24"/>
          <w:u w:val="single"/>
        </w:rPr>
        <w:t>SR</w:t>
      </w:r>
    </w:p>
    <w:p w:rsidR="006869DE" w:rsidRDefault="006869DE" w:rsidP="00F83CE5">
      <w:pPr>
        <w:pStyle w:val="Default"/>
        <w:spacing w:line="276" w:lineRule="auto"/>
        <w:jc w:val="both"/>
        <w:rPr>
          <w:bCs/>
        </w:rPr>
      </w:pPr>
    </w:p>
    <w:p w:rsidR="001F6B64" w:rsidRPr="00004CB9" w:rsidRDefault="001F6B64" w:rsidP="00F83CE5">
      <w:pPr>
        <w:pStyle w:val="Default"/>
        <w:spacing w:line="276" w:lineRule="auto"/>
        <w:jc w:val="both"/>
        <w:rPr>
          <w:color w:val="auto"/>
        </w:rPr>
      </w:pPr>
      <w:r w:rsidRPr="00004CB9">
        <w:rPr>
          <w:bCs/>
        </w:rPr>
        <w:t xml:space="preserve">Na základe listu zo dňa 23. </w:t>
      </w:r>
      <w:r w:rsidR="00DE6060">
        <w:rPr>
          <w:bCs/>
        </w:rPr>
        <w:t>augusta</w:t>
      </w:r>
      <w:r w:rsidRPr="00004CB9">
        <w:rPr>
          <w:bCs/>
        </w:rPr>
        <w:t xml:space="preserve"> 2016</w:t>
      </w:r>
      <w:r w:rsidR="00A72267" w:rsidRPr="00004CB9">
        <w:rPr>
          <w:bCs/>
        </w:rPr>
        <w:t>,</w:t>
      </w:r>
      <w:r w:rsidRPr="00004CB9">
        <w:rPr>
          <w:bCs/>
        </w:rPr>
        <w:t xml:space="preserve"> </w:t>
      </w:r>
      <w:r w:rsidR="00A72267" w:rsidRPr="00004CB9">
        <w:rPr>
          <w:bCs/>
        </w:rPr>
        <w:t xml:space="preserve">EK </w:t>
      </w:r>
      <w:r w:rsidRPr="00004CB9">
        <w:rPr>
          <w:bCs/>
        </w:rPr>
        <w:t>informovala</w:t>
      </w:r>
      <w:r w:rsidR="00A72267" w:rsidRPr="00004CB9">
        <w:rPr>
          <w:bCs/>
        </w:rPr>
        <w:t xml:space="preserve"> SR </w:t>
      </w:r>
      <w:r w:rsidRPr="00004CB9">
        <w:rPr>
          <w:bCs/>
        </w:rPr>
        <w:t>o znížení celkovej alokácie finančných prostriedkov</w:t>
      </w:r>
      <w:r w:rsidRPr="00004CB9">
        <w:t xml:space="preserve"> </w:t>
      </w:r>
      <w:r w:rsidRPr="00004CB9">
        <w:rPr>
          <w:bCs/>
        </w:rPr>
        <w:t xml:space="preserve">na politiku súdržnosti pre SR. V predmetnom liste </w:t>
      </w:r>
      <w:r w:rsidR="004C2143" w:rsidRPr="00004CB9">
        <w:rPr>
          <w:bCs/>
        </w:rPr>
        <w:t xml:space="preserve">EK </w:t>
      </w:r>
      <w:r w:rsidRPr="00004CB9">
        <w:rPr>
          <w:bCs/>
        </w:rPr>
        <w:t>uvádza návrh, aby sa zníženie alokácie z tzv.</w:t>
      </w:r>
      <w:r w:rsidRPr="00004CB9">
        <w:t xml:space="preserve"> „</w:t>
      </w:r>
      <w:r w:rsidRPr="00004CB9">
        <w:rPr>
          <w:color w:val="auto"/>
        </w:rPr>
        <w:t>kohéznej obálky“</w:t>
      </w:r>
      <w:r w:rsidRPr="00004CB9">
        <w:t xml:space="preserve"> vykonalo z</w:t>
      </w:r>
      <w:r w:rsidR="00A72267" w:rsidRPr="00004CB9">
        <w:t xml:space="preserve"> toho </w:t>
      </w:r>
      <w:r w:rsidRPr="00004CB9">
        <w:t xml:space="preserve">programu/programov SR, prostredníctvom ktorých sa </w:t>
      </w:r>
      <w:r w:rsidRPr="003C4F4B">
        <w:t>financuje</w:t>
      </w:r>
      <w:r w:rsidRPr="003C4F4B">
        <w:rPr>
          <w:color w:val="auto"/>
        </w:rPr>
        <w:t xml:space="preserve"> kategória menej rozvinutých regiónov</w:t>
      </w:r>
      <w:r w:rsidR="00F83CE5" w:rsidRPr="003C4F4B">
        <w:rPr>
          <w:color w:val="auto"/>
        </w:rPr>
        <w:t xml:space="preserve"> (</w:t>
      </w:r>
      <w:r w:rsidR="004C2143">
        <w:rPr>
          <w:color w:val="auto"/>
        </w:rPr>
        <w:t>ďalej len „</w:t>
      </w:r>
      <w:r w:rsidR="00F83CE5" w:rsidRPr="003C4F4B">
        <w:rPr>
          <w:color w:val="auto"/>
        </w:rPr>
        <w:t>MRR</w:t>
      </w:r>
      <w:r w:rsidR="004C2143">
        <w:rPr>
          <w:color w:val="auto"/>
        </w:rPr>
        <w:t>“</w:t>
      </w:r>
      <w:r w:rsidR="00F83CE5" w:rsidRPr="003C4F4B">
        <w:rPr>
          <w:color w:val="auto"/>
        </w:rPr>
        <w:t>)</w:t>
      </w:r>
      <w:r w:rsidRPr="003C4F4B">
        <w:rPr>
          <w:color w:val="auto"/>
        </w:rPr>
        <w:t xml:space="preserve">, a to v rámci cieľa </w:t>
      </w:r>
      <w:r w:rsidRPr="003C4F4B">
        <w:t>Investovanie do rastu a zamestnanosti.</w:t>
      </w:r>
      <w:r w:rsidR="00E26ED7" w:rsidRPr="00004CB9">
        <w:t xml:space="preserve"> Výber programov, ktorých sa bude zníženie dotýkať</w:t>
      </w:r>
      <w:r w:rsidR="009D409B">
        <w:t>,</w:t>
      </w:r>
      <w:r w:rsidR="00E26ED7" w:rsidRPr="00004CB9">
        <w:t xml:space="preserve"> je na rozhodnutí členského štátu za podmienok dodržania ustanovení všeobecného nariadenia a nariadení </w:t>
      </w:r>
      <w:r w:rsidR="00C76D22" w:rsidRPr="00004CB9">
        <w:t xml:space="preserve">EÚ </w:t>
      </w:r>
      <w:r w:rsidR="00E26ED7" w:rsidRPr="00004CB9">
        <w:t>pre príslušné fondy</w:t>
      </w:r>
      <w:r w:rsidR="00C76D22" w:rsidRPr="00004CB9">
        <w:t xml:space="preserve"> EÚ</w:t>
      </w:r>
      <w:r w:rsidR="00E26ED7" w:rsidRPr="00004CB9">
        <w:t>.</w:t>
      </w:r>
    </w:p>
    <w:p w:rsidR="00FA4369" w:rsidRPr="00004CB9" w:rsidRDefault="00FA4369" w:rsidP="00FA4369">
      <w:pPr>
        <w:pStyle w:val="Default"/>
        <w:jc w:val="both"/>
        <w:rPr>
          <w:color w:val="auto"/>
        </w:rPr>
      </w:pPr>
    </w:p>
    <w:p w:rsidR="0003285D" w:rsidRDefault="00EB329B" w:rsidP="00E26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podmienkach SR sa navrhuje vykonať zníženie alokácie v rámci </w:t>
      </w:r>
      <w:r w:rsidRPr="00EB329B">
        <w:rPr>
          <w:rFonts w:ascii="Times New Roman" w:hAnsi="Times New Roman" w:cs="Times New Roman"/>
          <w:sz w:val="24"/>
          <w:szCs w:val="24"/>
        </w:rPr>
        <w:t>EFRR</w:t>
      </w:r>
      <w:r w:rsidR="0003285D">
        <w:rPr>
          <w:rFonts w:ascii="Times New Roman" w:hAnsi="Times New Roman" w:cs="Times New Roman"/>
          <w:sz w:val="24"/>
          <w:szCs w:val="24"/>
        </w:rPr>
        <w:t xml:space="preserve"> pre kategóriu </w:t>
      </w:r>
      <w:r w:rsidR="00F83CE5">
        <w:rPr>
          <w:rFonts w:ascii="Times New Roman" w:hAnsi="Times New Roman" w:cs="Times New Roman"/>
          <w:sz w:val="24"/>
          <w:szCs w:val="24"/>
        </w:rPr>
        <w:t>MRR</w:t>
      </w:r>
      <w:r w:rsidR="0003285D">
        <w:rPr>
          <w:rFonts w:ascii="Times New Roman" w:hAnsi="Times New Roman" w:cs="Times New Roman"/>
          <w:sz w:val="24"/>
          <w:szCs w:val="24"/>
        </w:rPr>
        <w:t xml:space="preserve">. Zníženie alokácie sa dotkne troch </w:t>
      </w:r>
      <w:r w:rsidR="00665FBE">
        <w:rPr>
          <w:rFonts w:ascii="Times New Roman" w:hAnsi="Times New Roman" w:cs="Times New Roman"/>
          <w:sz w:val="24"/>
          <w:szCs w:val="24"/>
        </w:rPr>
        <w:t xml:space="preserve">OP </w:t>
      </w:r>
      <w:r w:rsidR="0003285D">
        <w:rPr>
          <w:rFonts w:ascii="Times New Roman" w:hAnsi="Times New Roman" w:cs="Times New Roman"/>
          <w:sz w:val="24"/>
          <w:szCs w:val="24"/>
        </w:rPr>
        <w:t xml:space="preserve">a v rámci nich 7 TC. Veľkosť zníženia alokácie sa odvíja </w:t>
      </w:r>
      <w:r w:rsidR="002930C9">
        <w:rPr>
          <w:rFonts w:ascii="Times New Roman" w:hAnsi="Times New Roman" w:cs="Times New Roman"/>
          <w:sz w:val="24"/>
          <w:szCs w:val="24"/>
        </w:rPr>
        <w:t xml:space="preserve">od podielu jednotlivých prioritných osí </w:t>
      </w:r>
      <w:r w:rsidR="006B0CB2">
        <w:rPr>
          <w:rFonts w:ascii="Times New Roman" w:hAnsi="Times New Roman" w:cs="Times New Roman"/>
          <w:sz w:val="24"/>
          <w:szCs w:val="24"/>
        </w:rPr>
        <w:t>(</w:t>
      </w:r>
      <w:r w:rsidR="002930C9" w:rsidRPr="00EF726A">
        <w:rPr>
          <w:rFonts w:ascii="Times New Roman" w:hAnsi="Times New Roman" w:cs="Times New Roman"/>
          <w:sz w:val="24"/>
          <w:szCs w:val="24"/>
        </w:rPr>
        <w:t xml:space="preserve">viď </w:t>
      </w:r>
      <w:r w:rsidR="002930C9" w:rsidRPr="00297394">
        <w:rPr>
          <w:rFonts w:ascii="Times New Roman" w:hAnsi="Times New Roman" w:cs="Times New Roman"/>
          <w:sz w:val="24"/>
          <w:szCs w:val="24"/>
        </w:rPr>
        <w:t>časť zdôvodnenie</w:t>
      </w:r>
      <w:r w:rsidRPr="00297394">
        <w:rPr>
          <w:rFonts w:ascii="Times New Roman" w:hAnsi="Times New Roman" w:cs="Times New Roman"/>
          <w:sz w:val="24"/>
          <w:szCs w:val="24"/>
        </w:rPr>
        <w:t xml:space="preserve"> </w:t>
      </w:r>
      <w:r w:rsidR="002930C9" w:rsidRPr="00297394">
        <w:rPr>
          <w:rFonts w:ascii="Times New Roman" w:hAnsi="Times New Roman" w:cs="Times New Roman"/>
          <w:sz w:val="24"/>
          <w:szCs w:val="24"/>
        </w:rPr>
        <w:t xml:space="preserve">výberu </w:t>
      </w:r>
      <w:r w:rsidR="00665FBE" w:rsidRPr="00297394">
        <w:rPr>
          <w:rFonts w:ascii="Times New Roman" w:hAnsi="Times New Roman" w:cs="Times New Roman"/>
          <w:sz w:val="24"/>
          <w:szCs w:val="24"/>
        </w:rPr>
        <w:t>OP</w:t>
      </w:r>
      <w:r w:rsidR="002930C9" w:rsidRPr="00297394">
        <w:rPr>
          <w:rFonts w:ascii="Times New Roman" w:hAnsi="Times New Roman" w:cs="Times New Roman"/>
          <w:sz w:val="24"/>
          <w:szCs w:val="24"/>
        </w:rPr>
        <w:t xml:space="preserve"> a</w:t>
      </w:r>
      <w:r w:rsidR="006B0CB2">
        <w:rPr>
          <w:rFonts w:ascii="Times New Roman" w:hAnsi="Times New Roman" w:cs="Times New Roman"/>
          <w:sz w:val="24"/>
          <w:szCs w:val="24"/>
        </w:rPr>
        <w:t xml:space="preserve"> ich </w:t>
      </w:r>
      <w:r w:rsidR="002930C9" w:rsidRPr="00297394">
        <w:rPr>
          <w:rFonts w:ascii="Times New Roman" w:hAnsi="Times New Roman" w:cs="Times New Roman"/>
          <w:sz w:val="24"/>
          <w:szCs w:val="24"/>
        </w:rPr>
        <w:t>prioritných osí</w:t>
      </w:r>
      <w:r w:rsidR="006B0CB2">
        <w:rPr>
          <w:rFonts w:ascii="Times New Roman" w:hAnsi="Times New Roman" w:cs="Times New Roman"/>
          <w:sz w:val="24"/>
          <w:szCs w:val="24"/>
        </w:rPr>
        <w:t>)</w:t>
      </w:r>
      <w:r w:rsidR="00EF726A" w:rsidRPr="00297394">
        <w:rPr>
          <w:rFonts w:ascii="Times New Roman" w:hAnsi="Times New Roman" w:cs="Times New Roman"/>
          <w:sz w:val="24"/>
          <w:szCs w:val="24"/>
        </w:rPr>
        <w:t>.</w:t>
      </w:r>
    </w:p>
    <w:p w:rsidR="0003285D" w:rsidRDefault="002930C9" w:rsidP="00E26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Zníženie alokácie sa dotkne nasledovných OP:</w:t>
      </w:r>
    </w:p>
    <w:p w:rsidR="002930C9" w:rsidRPr="002930C9" w:rsidRDefault="002930C9" w:rsidP="002930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0C9">
        <w:rPr>
          <w:rFonts w:ascii="Times New Roman" w:hAnsi="Times New Roman" w:cs="Times New Roman"/>
          <w:i/>
          <w:sz w:val="24"/>
          <w:szCs w:val="24"/>
        </w:rPr>
        <w:t xml:space="preserve">Tab. 3: </w:t>
      </w:r>
      <w:r w:rsidR="00665FBE">
        <w:rPr>
          <w:rFonts w:ascii="Times New Roman" w:hAnsi="Times New Roman" w:cs="Times New Roman"/>
          <w:i/>
          <w:sz w:val="24"/>
          <w:szCs w:val="24"/>
        </w:rPr>
        <w:t>OP</w:t>
      </w:r>
      <w:r>
        <w:rPr>
          <w:rFonts w:ascii="Times New Roman" w:hAnsi="Times New Roman" w:cs="Times New Roman"/>
          <w:i/>
          <w:sz w:val="24"/>
          <w:szCs w:val="24"/>
        </w:rPr>
        <w:t>/prioritné osi</w:t>
      </w:r>
      <w:r w:rsidRPr="002930C9">
        <w:rPr>
          <w:rFonts w:ascii="Times New Roman" w:hAnsi="Times New Roman" w:cs="Times New Roman"/>
          <w:i/>
          <w:sz w:val="24"/>
          <w:szCs w:val="24"/>
        </w:rPr>
        <w:t xml:space="preserve"> navrhované na zníženie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35"/>
        <w:gridCol w:w="1479"/>
        <w:gridCol w:w="1858"/>
        <w:gridCol w:w="1858"/>
        <w:gridCol w:w="1858"/>
      </w:tblGrid>
      <w:tr w:rsidR="002930C9" w:rsidRPr="002930C9" w:rsidTr="001118CB">
        <w:tc>
          <w:tcPr>
            <w:tcW w:w="1203" w:type="pct"/>
            <w:shd w:val="clear" w:color="auto" w:fill="D9D9D9" w:themeFill="background1" w:themeFillShade="D9"/>
            <w:vAlign w:val="center"/>
          </w:tcPr>
          <w:p w:rsidR="002930C9" w:rsidRPr="002930C9" w:rsidRDefault="002930C9" w:rsidP="00F8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b/>
                <w:sz w:val="24"/>
                <w:szCs w:val="24"/>
              </w:rPr>
              <w:t>Operačný program (OP)</w:t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:rsidR="002930C9" w:rsidRPr="002930C9" w:rsidRDefault="002930C9" w:rsidP="00F8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b/>
                <w:sz w:val="24"/>
                <w:szCs w:val="24"/>
              </w:rPr>
              <w:t>Fond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2930C9" w:rsidRPr="002930C9" w:rsidRDefault="002930C9" w:rsidP="00F8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b/>
                <w:sz w:val="24"/>
                <w:szCs w:val="24"/>
              </w:rPr>
              <w:t>Prioritná os (PO)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2930C9" w:rsidRPr="002930C9" w:rsidRDefault="002930C9" w:rsidP="00F8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b/>
                <w:sz w:val="24"/>
                <w:szCs w:val="24"/>
              </w:rPr>
              <w:t>Tematický cieľ (TC)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6D37A1" w:rsidRDefault="002930C9" w:rsidP="00F8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b/>
                <w:sz w:val="24"/>
                <w:szCs w:val="24"/>
              </w:rPr>
              <w:t>Navrhované zníženie alokácie</w:t>
            </w:r>
            <w:r w:rsidR="00566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30C9" w:rsidRPr="002930C9" w:rsidRDefault="00566821" w:rsidP="00F8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 EUR)</w:t>
            </w:r>
          </w:p>
        </w:tc>
      </w:tr>
      <w:tr w:rsidR="002930C9" w:rsidRPr="002930C9" w:rsidTr="001118CB">
        <w:tc>
          <w:tcPr>
            <w:tcW w:w="1203" w:type="pct"/>
          </w:tcPr>
          <w:p w:rsidR="002930C9" w:rsidRPr="002930C9" w:rsidRDefault="002930C9" w:rsidP="002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Výskum a inovácie („</w:t>
            </w:r>
            <w:proofErr w:type="spellStart"/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</w:p>
        </w:tc>
        <w:tc>
          <w:tcPr>
            <w:tcW w:w="796" w:type="pct"/>
            <w:vAlign w:val="center"/>
          </w:tcPr>
          <w:p w:rsidR="002930C9" w:rsidRPr="002930C9" w:rsidRDefault="002930C9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EFRR</w:t>
            </w:r>
          </w:p>
        </w:tc>
        <w:tc>
          <w:tcPr>
            <w:tcW w:w="1000" w:type="pct"/>
            <w:vAlign w:val="center"/>
          </w:tcPr>
          <w:p w:rsidR="002930C9" w:rsidRPr="002930C9" w:rsidRDefault="002930C9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1</w:t>
            </w:r>
          </w:p>
        </w:tc>
        <w:tc>
          <w:tcPr>
            <w:tcW w:w="1000" w:type="pct"/>
            <w:vAlign w:val="center"/>
          </w:tcPr>
          <w:p w:rsidR="002930C9" w:rsidRPr="002930C9" w:rsidRDefault="002930C9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TC1</w:t>
            </w:r>
          </w:p>
        </w:tc>
        <w:tc>
          <w:tcPr>
            <w:tcW w:w="1000" w:type="pct"/>
            <w:vAlign w:val="center"/>
          </w:tcPr>
          <w:p w:rsidR="002930C9" w:rsidRPr="002930C9" w:rsidRDefault="002930C9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35 744 055</w:t>
            </w:r>
          </w:p>
        </w:tc>
      </w:tr>
      <w:tr w:rsidR="002930C9" w:rsidRPr="002930C9" w:rsidTr="001118CB">
        <w:tc>
          <w:tcPr>
            <w:tcW w:w="1203" w:type="pct"/>
          </w:tcPr>
          <w:p w:rsidR="002930C9" w:rsidRPr="002930C9" w:rsidRDefault="002930C9" w:rsidP="002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Integrovaná infraštruktúra („II“)</w:t>
            </w:r>
          </w:p>
        </w:tc>
        <w:tc>
          <w:tcPr>
            <w:tcW w:w="796" w:type="pct"/>
            <w:vAlign w:val="center"/>
          </w:tcPr>
          <w:p w:rsidR="002930C9" w:rsidRPr="002930C9" w:rsidRDefault="002930C9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EFRR</w:t>
            </w:r>
          </w:p>
        </w:tc>
        <w:tc>
          <w:tcPr>
            <w:tcW w:w="1000" w:type="pct"/>
            <w:vAlign w:val="center"/>
          </w:tcPr>
          <w:p w:rsidR="002930C9" w:rsidRPr="002930C9" w:rsidRDefault="002930C9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PO 7</w:t>
            </w:r>
          </w:p>
        </w:tc>
        <w:tc>
          <w:tcPr>
            <w:tcW w:w="1000" w:type="pct"/>
            <w:vAlign w:val="center"/>
          </w:tcPr>
          <w:p w:rsidR="002930C9" w:rsidRPr="002930C9" w:rsidRDefault="002930C9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TC2</w:t>
            </w:r>
          </w:p>
        </w:tc>
        <w:tc>
          <w:tcPr>
            <w:tcW w:w="1000" w:type="pct"/>
            <w:vAlign w:val="center"/>
          </w:tcPr>
          <w:p w:rsidR="002930C9" w:rsidRPr="002930C9" w:rsidRDefault="002930C9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17 434 810</w:t>
            </w:r>
          </w:p>
        </w:tc>
      </w:tr>
      <w:tr w:rsidR="008C7AC6" w:rsidRPr="002930C9" w:rsidTr="001118CB">
        <w:tc>
          <w:tcPr>
            <w:tcW w:w="1203" w:type="pct"/>
            <w:vMerge w:val="restart"/>
            <w:vAlign w:val="center"/>
          </w:tcPr>
          <w:p w:rsidR="008C7AC6" w:rsidRPr="002930C9" w:rsidRDefault="008C7AC6" w:rsidP="008C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Integrovaný regionálny operačný program („IROP“)</w:t>
            </w:r>
          </w:p>
        </w:tc>
        <w:tc>
          <w:tcPr>
            <w:tcW w:w="796" w:type="pct"/>
            <w:vMerge w:val="restart"/>
            <w:vAlign w:val="center"/>
          </w:tcPr>
          <w:p w:rsidR="008C7AC6" w:rsidRPr="002930C9" w:rsidRDefault="008C7AC6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EFRR</w:t>
            </w:r>
          </w:p>
        </w:tc>
        <w:tc>
          <w:tcPr>
            <w:tcW w:w="1000" w:type="pct"/>
            <w:vAlign w:val="center"/>
          </w:tcPr>
          <w:p w:rsidR="008C7AC6" w:rsidRPr="002930C9" w:rsidRDefault="008C7AC6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pct"/>
            <w:vAlign w:val="center"/>
          </w:tcPr>
          <w:p w:rsidR="008C7AC6" w:rsidRPr="002930C9" w:rsidRDefault="00EF17F4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="008C7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pct"/>
            <w:vAlign w:val="center"/>
          </w:tcPr>
          <w:p w:rsidR="008C7AC6" w:rsidRPr="002930C9" w:rsidRDefault="008C7AC6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7AC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AC6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  <w:tr w:rsidR="008C7AC6" w:rsidRPr="002930C9" w:rsidTr="001118CB">
        <w:tc>
          <w:tcPr>
            <w:tcW w:w="1203" w:type="pct"/>
            <w:vMerge/>
          </w:tcPr>
          <w:p w:rsidR="008C7AC6" w:rsidRPr="002930C9" w:rsidRDefault="008C7AC6" w:rsidP="002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:rsidR="008C7AC6" w:rsidRPr="002930C9" w:rsidRDefault="008C7AC6" w:rsidP="00F8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Merge w:val="restart"/>
            <w:vAlign w:val="center"/>
          </w:tcPr>
          <w:p w:rsidR="008C7AC6" w:rsidRPr="002930C9" w:rsidRDefault="008C7AC6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2</w:t>
            </w:r>
          </w:p>
        </w:tc>
        <w:tc>
          <w:tcPr>
            <w:tcW w:w="1000" w:type="pct"/>
            <w:vAlign w:val="center"/>
          </w:tcPr>
          <w:p w:rsidR="008C7AC6" w:rsidRDefault="00EF17F4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="008C7A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" w:type="pct"/>
            <w:vAlign w:val="center"/>
          </w:tcPr>
          <w:p w:rsidR="008C7AC6" w:rsidRPr="002930C9" w:rsidRDefault="008C7AC6" w:rsidP="008C7A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C6">
              <w:rPr>
                <w:rFonts w:ascii="Times New Roman" w:hAnsi="Times New Roman" w:cs="Times New Roman"/>
                <w:sz w:val="24"/>
                <w:szCs w:val="24"/>
              </w:rPr>
              <w:t>5 018 932</w:t>
            </w:r>
          </w:p>
        </w:tc>
      </w:tr>
      <w:tr w:rsidR="008C7AC6" w:rsidRPr="002930C9" w:rsidTr="001118CB">
        <w:tc>
          <w:tcPr>
            <w:tcW w:w="1203" w:type="pct"/>
            <w:vMerge/>
          </w:tcPr>
          <w:p w:rsidR="008C7AC6" w:rsidRPr="002930C9" w:rsidRDefault="008C7AC6" w:rsidP="002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:rsidR="008C7AC6" w:rsidRPr="002930C9" w:rsidRDefault="008C7AC6" w:rsidP="00F8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8C7AC6" w:rsidRPr="002930C9" w:rsidRDefault="008C7AC6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8C7AC6" w:rsidRDefault="00EF17F4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="008C7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pct"/>
            <w:vAlign w:val="center"/>
          </w:tcPr>
          <w:p w:rsidR="008C7AC6" w:rsidRPr="002930C9" w:rsidRDefault="008C7AC6" w:rsidP="008C7A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C6">
              <w:rPr>
                <w:rFonts w:ascii="Times New Roman" w:hAnsi="Times New Roman" w:cs="Times New Roman"/>
                <w:sz w:val="24"/>
                <w:szCs w:val="24"/>
              </w:rPr>
              <w:t>2 523 300</w:t>
            </w:r>
          </w:p>
        </w:tc>
      </w:tr>
      <w:tr w:rsidR="008C7AC6" w:rsidRPr="002930C9" w:rsidTr="001118CB">
        <w:tc>
          <w:tcPr>
            <w:tcW w:w="1203" w:type="pct"/>
            <w:vMerge/>
          </w:tcPr>
          <w:p w:rsidR="008C7AC6" w:rsidRPr="002930C9" w:rsidRDefault="008C7AC6" w:rsidP="002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:rsidR="008C7AC6" w:rsidRPr="002930C9" w:rsidRDefault="008C7AC6" w:rsidP="00F8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8C7AC6" w:rsidRPr="002930C9" w:rsidRDefault="008C7AC6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</w:t>
            </w:r>
          </w:p>
        </w:tc>
        <w:tc>
          <w:tcPr>
            <w:tcW w:w="1000" w:type="pct"/>
            <w:vAlign w:val="center"/>
          </w:tcPr>
          <w:p w:rsidR="008C7AC6" w:rsidRDefault="00EF17F4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="008C7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pct"/>
            <w:vAlign w:val="center"/>
          </w:tcPr>
          <w:p w:rsidR="008C7AC6" w:rsidRPr="002930C9" w:rsidRDefault="008C7AC6" w:rsidP="008C7A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C6">
              <w:rPr>
                <w:rFonts w:ascii="Times New Roman" w:hAnsi="Times New Roman" w:cs="Times New Roman"/>
                <w:sz w:val="24"/>
                <w:szCs w:val="24"/>
              </w:rPr>
              <w:t>1 990 076</w:t>
            </w:r>
          </w:p>
        </w:tc>
      </w:tr>
      <w:tr w:rsidR="008C7AC6" w:rsidRPr="002930C9" w:rsidTr="001118CB">
        <w:tc>
          <w:tcPr>
            <w:tcW w:w="1203" w:type="pct"/>
            <w:vMerge/>
          </w:tcPr>
          <w:p w:rsidR="008C7AC6" w:rsidRPr="002930C9" w:rsidRDefault="008C7AC6" w:rsidP="002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:rsidR="008C7AC6" w:rsidRPr="002930C9" w:rsidRDefault="008C7AC6" w:rsidP="00F8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8C7AC6" w:rsidRPr="002930C9" w:rsidRDefault="008C7AC6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4</w:t>
            </w:r>
          </w:p>
        </w:tc>
        <w:tc>
          <w:tcPr>
            <w:tcW w:w="1000" w:type="pct"/>
            <w:vAlign w:val="center"/>
          </w:tcPr>
          <w:p w:rsidR="008C7AC6" w:rsidRDefault="00EF17F4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="008C7A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pct"/>
            <w:vAlign w:val="center"/>
          </w:tcPr>
          <w:p w:rsidR="008C7AC6" w:rsidRPr="002930C9" w:rsidRDefault="008C7AC6" w:rsidP="008C7A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C6">
              <w:rPr>
                <w:rFonts w:ascii="Times New Roman" w:hAnsi="Times New Roman" w:cs="Times New Roman"/>
                <w:sz w:val="24"/>
                <w:szCs w:val="24"/>
              </w:rPr>
              <w:t>920 985</w:t>
            </w:r>
          </w:p>
        </w:tc>
      </w:tr>
      <w:tr w:rsidR="008C7AC6" w:rsidRPr="002930C9" w:rsidTr="001118CB">
        <w:tc>
          <w:tcPr>
            <w:tcW w:w="1203" w:type="pct"/>
            <w:vMerge/>
          </w:tcPr>
          <w:p w:rsidR="008C7AC6" w:rsidRPr="002930C9" w:rsidRDefault="008C7AC6" w:rsidP="002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:rsidR="008C7AC6" w:rsidRPr="002930C9" w:rsidRDefault="008C7AC6" w:rsidP="00F8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8C7AC6" w:rsidRPr="002930C9" w:rsidRDefault="008C7AC6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5</w:t>
            </w:r>
          </w:p>
        </w:tc>
        <w:tc>
          <w:tcPr>
            <w:tcW w:w="1000" w:type="pct"/>
            <w:vAlign w:val="center"/>
          </w:tcPr>
          <w:p w:rsidR="008C7AC6" w:rsidRDefault="00EF17F4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="008C7A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" w:type="pct"/>
            <w:vAlign w:val="center"/>
          </w:tcPr>
          <w:p w:rsidR="008C7AC6" w:rsidRPr="002930C9" w:rsidRDefault="008C7AC6" w:rsidP="008C7A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C6">
              <w:rPr>
                <w:rFonts w:ascii="Times New Roman" w:hAnsi="Times New Roman" w:cs="Times New Roman"/>
                <w:sz w:val="24"/>
                <w:szCs w:val="24"/>
              </w:rPr>
              <w:t>1 032 259</w:t>
            </w:r>
          </w:p>
        </w:tc>
      </w:tr>
      <w:tr w:rsidR="008C7AC6" w:rsidRPr="002930C9" w:rsidTr="001118CB">
        <w:tc>
          <w:tcPr>
            <w:tcW w:w="1203" w:type="pct"/>
            <w:vMerge/>
          </w:tcPr>
          <w:p w:rsidR="008C7AC6" w:rsidRPr="002930C9" w:rsidRDefault="008C7AC6" w:rsidP="002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:rsidR="008C7AC6" w:rsidRPr="002930C9" w:rsidRDefault="008C7AC6" w:rsidP="00F8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C7AC6" w:rsidRPr="002930C9" w:rsidRDefault="008C7AC6" w:rsidP="00F8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8C7AC6" w:rsidRDefault="008C7AC6" w:rsidP="008C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IROP spolu</w:t>
            </w:r>
          </w:p>
        </w:tc>
        <w:tc>
          <w:tcPr>
            <w:tcW w:w="1000" w:type="pct"/>
            <w:vAlign w:val="center"/>
          </w:tcPr>
          <w:p w:rsidR="008C7AC6" w:rsidRPr="002930C9" w:rsidRDefault="008C7AC6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sz w:val="24"/>
                <w:szCs w:val="24"/>
              </w:rPr>
              <w:t>15 656 295</w:t>
            </w:r>
          </w:p>
        </w:tc>
      </w:tr>
      <w:tr w:rsidR="00FE6974" w:rsidRPr="002930C9" w:rsidTr="001118CB">
        <w:tc>
          <w:tcPr>
            <w:tcW w:w="1203" w:type="pct"/>
          </w:tcPr>
          <w:p w:rsidR="00FE6974" w:rsidRPr="002930C9" w:rsidRDefault="00FE6974" w:rsidP="00293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796" w:type="pct"/>
          </w:tcPr>
          <w:p w:rsidR="00FE6974" w:rsidRPr="002930C9" w:rsidRDefault="00FE6974" w:rsidP="002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FE6974" w:rsidRPr="002930C9" w:rsidRDefault="00FE6974" w:rsidP="002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FE6974" w:rsidRPr="002930C9" w:rsidRDefault="00FE6974" w:rsidP="0029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FE6974" w:rsidRPr="002930C9" w:rsidRDefault="00FE6974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68 835 160</w:t>
            </w:r>
          </w:p>
        </w:tc>
      </w:tr>
    </w:tbl>
    <w:p w:rsidR="0066086C" w:rsidRDefault="0066086C" w:rsidP="00293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0C9" w:rsidRPr="002930C9" w:rsidRDefault="002930C9" w:rsidP="002930C9">
      <w:pPr>
        <w:jc w:val="both"/>
        <w:rPr>
          <w:rFonts w:ascii="Times New Roman" w:hAnsi="Times New Roman" w:cs="Times New Roman"/>
          <w:sz w:val="24"/>
          <w:szCs w:val="24"/>
        </w:rPr>
      </w:pPr>
      <w:r w:rsidRPr="002930C9">
        <w:rPr>
          <w:rFonts w:ascii="Times New Roman" w:hAnsi="Times New Roman" w:cs="Times New Roman"/>
          <w:sz w:val="24"/>
          <w:szCs w:val="24"/>
        </w:rPr>
        <w:lastRenderedPageBreak/>
        <w:t xml:space="preserve">Všeobecné nariadenie </w:t>
      </w:r>
      <w:r w:rsidR="00DE6060">
        <w:rPr>
          <w:rFonts w:ascii="Times New Roman" w:hAnsi="Times New Roman" w:cs="Times New Roman"/>
          <w:sz w:val="24"/>
          <w:szCs w:val="24"/>
        </w:rPr>
        <w:t>u</w:t>
      </w:r>
      <w:r w:rsidRPr="002930C9">
        <w:rPr>
          <w:rFonts w:ascii="Times New Roman" w:hAnsi="Times New Roman" w:cs="Times New Roman"/>
          <w:sz w:val="24"/>
          <w:szCs w:val="24"/>
        </w:rPr>
        <w:t>stanovuje v článku 92 ods. 3, že v súlade s článkom 7</w:t>
      </w:r>
      <w:r w:rsidR="003257D6">
        <w:rPr>
          <w:rFonts w:ascii="Times New Roman" w:hAnsi="Times New Roman" w:cs="Times New Roman"/>
          <w:sz w:val="24"/>
          <w:szCs w:val="24"/>
        </w:rPr>
        <w:t>,</w:t>
      </w:r>
      <w:r w:rsidRPr="002930C9">
        <w:rPr>
          <w:rFonts w:ascii="Times New Roman" w:hAnsi="Times New Roman" w:cs="Times New Roman"/>
          <w:sz w:val="24"/>
          <w:szCs w:val="24"/>
        </w:rPr>
        <w:t xml:space="preserve"> ods. 4</w:t>
      </w:r>
      <w:r w:rsidR="003257D6">
        <w:rPr>
          <w:rFonts w:ascii="Times New Roman" w:hAnsi="Times New Roman" w:cs="Times New Roman"/>
          <w:sz w:val="24"/>
          <w:szCs w:val="24"/>
        </w:rPr>
        <w:t>,</w:t>
      </w:r>
      <w:r w:rsidRPr="002930C9">
        <w:rPr>
          <w:rFonts w:ascii="Times New Roman" w:hAnsi="Times New Roman" w:cs="Times New Roman"/>
          <w:sz w:val="24"/>
          <w:szCs w:val="24"/>
        </w:rPr>
        <w:t xml:space="preserve"> nariadenia č. 1311/2013 sa technické úpravy rozložia rovnomerne počas rokov 2017 </w:t>
      </w:r>
      <w:r w:rsidR="006D37A1" w:rsidRPr="002930C9">
        <w:rPr>
          <w:rFonts w:ascii="Times New Roman" w:hAnsi="Times New Roman" w:cs="Times New Roman"/>
          <w:sz w:val="24"/>
          <w:szCs w:val="24"/>
        </w:rPr>
        <w:t>–</w:t>
      </w:r>
      <w:r w:rsidRPr="002930C9">
        <w:rPr>
          <w:rFonts w:ascii="Times New Roman" w:hAnsi="Times New Roman" w:cs="Times New Roman"/>
          <w:sz w:val="24"/>
          <w:szCs w:val="24"/>
        </w:rPr>
        <w:t xml:space="preserve"> 2020. EK uviedla v prílohe listu z 23.</w:t>
      </w:r>
      <w:r w:rsidR="00DE6060">
        <w:rPr>
          <w:rFonts w:ascii="Times New Roman" w:hAnsi="Times New Roman" w:cs="Times New Roman"/>
          <w:sz w:val="24"/>
          <w:szCs w:val="24"/>
        </w:rPr>
        <w:t xml:space="preserve"> augusta </w:t>
      </w:r>
      <w:r w:rsidRPr="002930C9">
        <w:rPr>
          <w:rFonts w:ascii="Times New Roman" w:hAnsi="Times New Roman" w:cs="Times New Roman"/>
          <w:sz w:val="24"/>
          <w:szCs w:val="24"/>
        </w:rPr>
        <w:t>2016 sumy ročných úprav záväzkov na jednotlivé roky 2017 – 2020</w:t>
      </w:r>
      <w:r w:rsidR="0066086C">
        <w:rPr>
          <w:rFonts w:ascii="Times New Roman" w:hAnsi="Times New Roman" w:cs="Times New Roman"/>
          <w:sz w:val="24"/>
          <w:szCs w:val="24"/>
        </w:rPr>
        <w:t>.</w:t>
      </w:r>
      <w:r w:rsidRPr="002930C9">
        <w:rPr>
          <w:rFonts w:ascii="Times New Roman" w:hAnsi="Times New Roman" w:cs="Times New Roman"/>
          <w:sz w:val="24"/>
          <w:szCs w:val="24"/>
        </w:rPr>
        <w:t xml:space="preserve"> SR </w:t>
      </w:r>
      <w:r w:rsidR="0066086C">
        <w:rPr>
          <w:rFonts w:ascii="Times New Roman" w:hAnsi="Times New Roman" w:cs="Times New Roman"/>
          <w:sz w:val="24"/>
          <w:szCs w:val="24"/>
        </w:rPr>
        <w:t xml:space="preserve">následne </w:t>
      </w:r>
      <w:r w:rsidRPr="002930C9">
        <w:rPr>
          <w:rFonts w:ascii="Times New Roman" w:hAnsi="Times New Roman" w:cs="Times New Roman"/>
          <w:sz w:val="24"/>
          <w:szCs w:val="24"/>
        </w:rPr>
        <w:t>navrhla ročné zníženia</w:t>
      </w:r>
      <w:r w:rsidR="006B0CB2">
        <w:rPr>
          <w:rFonts w:ascii="Times New Roman" w:hAnsi="Times New Roman" w:cs="Times New Roman"/>
          <w:sz w:val="24"/>
          <w:szCs w:val="24"/>
        </w:rPr>
        <w:t xml:space="preserve"> záväzkov</w:t>
      </w:r>
      <w:r w:rsidRPr="002930C9">
        <w:rPr>
          <w:rFonts w:ascii="Times New Roman" w:hAnsi="Times New Roman" w:cs="Times New Roman"/>
          <w:sz w:val="24"/>
          <w:szCs w:val="24"/>
        </w:rPr>
        <w:t xml:space="preserve"> v rámci jednotlivých dotknutých OP pri akceptovaní stanovených celkových ročných alokácií</w:t>
      </w:r>
      <w:r w:rsidR="00F83CE5">
        <w:rPr>
          <w:rFonts w:ascii="Times New Roman" w:hAnsi="Times New Roman" w:cs="Times New Roman"/>
          <w:sz w:val="24"/>
          <w:szCs w:val="24"/>
        </w:rPr>
        <w:t xml:space="preserve"> a to tak, že celkové zníženie alokácie v rámci každého OP sa rozložilo rovnomerne na</w:t>
      </w:r>
      <w:r w:rsidR="006D37A1">
        <w:rPr>
          <w:rFonts w:ascii="Times New Roman" w:hAnsi="Times New Roman" w:cs="Times New Roman"/>
          <w:sz w:val="24"/>
          <w:szCs w:val="24"/>
        </w:rPr>
        <w:t> </w:t>
      </w:r>
      <w:r w:rsidR="00F83CE5">
        <w:rPr>
          <w:rFonts w:ascii="Times New Roman" w:hAnsi="Times New Roman" w:cs="Times New Roman"/>
          <w:sz w:val="24"/>
          <w:szCs w:val="24"/>
        </w:rPr>
        <w:t>roky 2017</w:t>
      </w:r>
      <w:r w:rsidR="006D37A1">
        <w:rPr>
          <w:rFonts w:ascii="Times New Roman" w:hAnsi="Times New Roman" w:cs="Times New Roman"/>
          <w:sz w:val="24"/>
          <w:szCs w:val="24"/>
        </w:rPr>
        <w:t xml:space="preserve"> </w:t>
      </w:r>
      <w:r w:rsidR="006D37A1" w:rsidRPr="002930C9">
        <w:rPr>
          <w:rFonts w:ascii="Times New Roman" w:hAnsi="Times New Roman" w:cs="Times New Roman"/>
          <w:sz w:val="24"/>
          <w:szCs w:val="24"/>
        </w:rPr>
        <w:t>–</w:t>
      </w:r>
      <w:r w:rsidR="006D37A1">
        <w:rPr>
          <w:rFonts w:ascii="Times New Roman" w:hAnsi="Times New Roman" w:cs="Times New Roman"/>
          <w:sz w:val="24"/>
          <w:szCs w:val="24"/>
        </w:rPr>
        <w:t xml:space="preserve"> </w:t>
      </w:r>
      <w:r w:rsidR="00F83CE5">
        <w:rPr>
          <w:rFonts w:ascii="Times New Roman" w:hAnsi="Times New Roman" w:cs="Times New Roman"/>
          <w:sz w:val="24"/>
          <w:szCs w:val="24"/>
        </w:rPr>
        <w:t xml:space="preserve">2020 </w:t>
      </w:r>
      <w:r w:rsidR="00F83CE5" w:rsidRPr="002930C9">
        <w:rPr>
          <w:rFonts w:ascii="Times New Roman" w:hAnsi="Times New Roman" w:cs="Times New Roman"/>
          <w:sz w:val="24"/>
          <w:szCs w:val="24"/>
        </w:rPr>
        <w:t xml:space="preserve">(viď </w:t>
      </w:r>
      <w:r w:rsidR="003257D6">
        <w:rPr>
          <w:rFonts w:ascii="Times New Roman" w:hAnsi="Times New Roman" w:cs="Times New Roman"/>
          <w:sz w:val="24"/>
          <w:szCs w:val="24"/>
        </w:rPr>
        <w:br/>
      </w:r>
      <w:r w:rsidR="00F83CE5" w:rsidRPr="002930C9">
        <w:rPr>
          <w:rFonts w:ascii="Times New Roman" w:hAnsi="Times New Roman" w:cs="Times New Roman"/>
          <w:sz w:val="24"/>
          <w:szCs w:val="24"/>
        </w:rPr>
        <w:t>tab. 4)</w:t>
      </w:r>
      <w:r w:rsidR="00F83CE5">
        <w:rPr>
          <w:rFonts w:ascii="Times New Roman" w:hAnsi="Times New Roman" w:cs="Times New Roman"/>
          <w:sz w:val="24"/>
          <w:szCs w:val="24"/>
        </w:rPr>
        <w:t>.</w:t>
      </w:r>
    </w:p>
    <w:p w:rsidR="002930C9" w:rsidRPr="002930C9" w:rsidRDefault="002930C9" w:rsidP="002930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0C9">
        <w:rPr>
          <w:rFonts w:ascii="Times New Roman" w:hAnsi="Times New Roman" w:cs="Times New Roman"/>
          <w:i/>
          <w:sz w:val="24"/>
          <w:szCs w:val="24"/>
        </w:rPr>
        <w:t xml:space="preserve">Tab. 4: Úpravy ročných záväzkov v rámci jednotlivých rokov 2017 </w:t>
      </w:r>
      <w:r w:rsidR="00566821">
        <w:rPr>
          <w:rFonts w:ascii="Times New Roman" w:hAnsi="Times New Roman" w:cs="Times New Roman"/>
          <w:i/>
          <w:sz w:val="24"/>
          <w:szCs w:val="24"/>
        </w:rPr>
        <w:t>–</w:t>
      </w:r>
      <w:r w:rsidRPr="002930C9">
        <w:rPr>
          <w:rFonts w:ascii="Times New Roman" w:hAnsi="Times New Roman" w:cs="Times New Roman"/>
          <w:i/>
          <w:sz w:val="24"/>
          <w:szCs w:val="24"/>
        </w:rPr>
        <w:t xml:space="preserve"> 2020</w:t>
      </w:r>
      <w:r w:rsidR="00566821">
        <w:rPr>
          <w:rFonts w:ascii="Times New Roman" w:hAnsi="Times New Roman" w:cs="Times New Roman"/>
          <w:i/>
          <w:sz w:val="24"/>
          <w:szCs w:val="24"/>
        </w:rPr>
        <w:t xml:space="preserve"> (v EUR)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137"/>
        <w:gridCol w:w="1863"/>
        <w:gridCol w:w="1563"/>
        <w:gridCol w:w="1575"/>
        <w:gridCol w:w="1575"/>
        <w:gridCol w:w="1575"/>
      </w:tblGrid>
      <w:tr w:rsidR="00F83CE5" w:rsidRPr="00F83CE5" w:rsidTr="003E618C">
        <w:trPr>
          <w:trHeight w:val="315"/>
        </w:trPr>
        <w:tc>
          <w:tcPr>
            <w:tcW w:w="618" w:type="pct"/>
            <w:shd w:val="clear" w:color="auto" w:fill="D9D9D9" w:themeFill="background1" w:themeFillShade="D9"/>
            <w:noWrap/>
            <w:vAlign w:val="center"/>
            <w:hideMark/>
          </w:tcPr>
          <w:p w:rsidR="00F83CE5" w:rsidRPr="00F83CE5" w:rsidRDefault="00F83CE5" w:rsidP="00F83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:rsidR="00F83CE5" w:rsidRPr="00F83CE5" w:rsidRDefault="00F83CE5" w:rsidP="00F83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celkové zníženie</w:t>
            </w:r>
          </w:p>
        </w:tc>
        <w:tc>
          <w:tcPr>
            <w:tcW w:w="860" w:type="pct"/>
            <w:shd w:val="clear" w:color="auto" w:fill="D9D9D9" w:themeFill="background1" w:themeFillShade="D9"/>
            <w:noWrap/>
            <w:vAlign w:val="center"/>
            <w:hideMark/>
          </w:tcPr>
          <w:p w:rsidR="00F83CE5" w:rsidRPr="00F83CE5" w:rsidRDefault="00F83CE5" w:rsidP="00F83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60" w:type="pct"/>
            <w:shd w:val="clear" w:color="auto" w:fill="D9D9D9" w:themeFill="background1" w:themeFillShade="D9"/>
            <w:noWrap/>
            <w:vAlign w:val="center"/>
            <w:hideMark/>
          </w:tcPr>
          <w:p w:rsidR="00F83CE5" w:rsidRPr="00F83CE5" w:rsidRDefault="00F83CE5" w:rsidP="00F83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860" w:type="pct"/>
            <w:shd w:val="clear" w:color="auto" w:fill="D9D9D9" w:themeFill="background1" w:themeFillShade="D9"/>
            <w:noWrap/>
            <w:vAlign w:val="center"/>
            <w:hideMark/>
          </w:tcPr>
          <w:p w:rsidR="00F83CE5" w:rsidRPr="00F83CE5" w:rsidRDefault="00F83CE5" w:rsidP="00F83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60" w:type="pct"/>
            <w:shd w:val="clear" w:color="auto" w:fill="D9D9D9" w:themeFill="background1" w:themeFillShade="D9"/>
            <w:noWrap/>
            <w:vAlign w:val="center"/>
            <w:hideMark/>
          </w:tcPr>
          <w:p w:rsidR="00F83CE5" w:rsidRPr="00F83CE5" w:rsidRDefault="00F83CE5" w:rsidP="00F83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F83CE5" w:rsidRPr="00F83CE5" w:rsidTr="00F83CE5">
        <w:trPr>
          <w:trHeight w:val="315"/>
        </w:trPr>
        <w:tc>
          <w:tcPr>
            <w:tcW w:w="618" w:type="pct"/>
            <w:noWrap/>
            <w:hideMark/>
          </w:tcPr>
          <w:p w:rsidR="00F83CE5" w:rsidRPr="00F83CE5" w:rsidRDefault="00F83CE5" w:rsidP="00F83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 xml:space="preserve">OP </w:t>
            </w:r>
            <w:proofErr w:type="spellStart"/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</w:p>
        </w:tc>
        <w:tc>
          <w:tcPr>
            <w:tcW w:w="941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35 744 055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8 672 357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8 845 803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9 022 720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9 203 175</w:t>
            </w:r>
          </w:p>
        </w:tc>
      </w:tr>
      <w:tr w:rsidR="00F83CE5" w:rsidRPr="00F83CE5" w:rsidTr="00F83CE5">
        <w:trPr>
          <w:trHeight w:val="315"/>
        </w:trPr>
        <w:tc>
          <w:tcPr>
            <w:tcW w:w="618" w:type="pct"/>
            <w:noWrap/>
            <w:hideMark/>
          </w:tcPr>
          <w:p w:rsidR="00F83CE5" w:rsidRPr="00F83CE5" w:rsidRDefault="00F83CE5" w:rsidP="00F83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OP II</w:t>
            </w:r>
          </w:p>
        </w:tc>
        <w:tc>
          <w:tcPr>
            <w:tcW w:w="941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17 434 810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4 230 099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4 314 701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4 400 995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4 489 015</w:t>
            </w:r>
          </w:p>
        </w:tc>
      </w:tr>
      <w:tr w:rsidR="00F83CE5" w:rsidRPr="00F83CE5" w:rsidTr="00F83CE5">
        <w:trPr>
          <w:trHeight w:val="315"/>
        </w:trPr>
        <w:tc>
          <w:tcPr>
            <w:tcW w:w="618" w:type="pct"/>
            <w:noWrap/>
            <w:hideMark/>
          </w:tcPr>
          <w:p w:rsidR="00F83CE5" w:rsidRPr="00F83CE5" w:rsidRDefault="00F83CE5" w:rsidP="00F83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IROP</w:t>
            </w:r>
          </w:p>
        </w:tc>
        <w:tc>
          <w:tcPr>
            <w:tcW w:w="941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15 656 295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3 798 589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3 874 561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3 952 052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sz w:val="24"/>
                <w:szCs w:val="24"/>
              </w:rPr>
              <w:t>4 031 093</w:t>
            </w:r>
          </w:p>
        </w:tc>
      </w:tr>
      <w:tr w:rsidR="00F83CE5" w:rsidRPr="00F83CE5" w:rsidTr="00F83CE5">
        <w:trPr>
          <w:trHeight w:val="315"/>
        </w:trPr>
        <w:tc>
          <w:tcPr>
            <w:tcW w:w="618" w:type="pct"/>
            <w:noWrap/>
            <w:hideMark/>
          </w:tcPr>
          <w:p w:rsidR="00F83CE5" w:rsidRPr="00F83CE5" w:rsidRDefault="00F83CE5" w:rsidP="00F83CE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41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68 835 160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16 701 045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17 035 065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17 375 767</w:t>
            </w:r>
          </w:p>
        </w:tc>
        <w:tc>
          <w:tcPr>
            <w:tcW w:w="860" w:type="pct"/>
            <w:noWrap/>
            <w:hideMark/>
          </w:tcPr>
          <w:p w:rsidR="00F83CE5" w:rsidRPr="00F83CE5" w:rsidRDefault="00F83CE5" w:rsidP="00F83C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17 723 283</w:t>
            </w:r>
          </w:p>
        </w:tc>
      </w:tr>
    </w:tbl>
    <w:p w:rsidR="002930C9" w:rsidRPr="00F16D2A" w:rsidRDefault="002930C9" w:rsidP="00F16D2A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F16D2A">
        <w:rPr>
          <w:rFonts w:ascii="Times New Roman" w:hAnsi="Times New Roman" w:cs="Times New Roman"/>
          <w:sz w:val="20"/>
          <w:szCs w:val="20"/>
        </w:rPr>
        <w:t xml:space="preserve">* celkové sumy ročných úprav boli stanovené EK v prílohe listu EK z 23. 8. 2016 </w:t>
      </w:r>
    </w:p>
    <w:p w:rsidR="006D37A1" w:rsidRDefault="006D37A1" w:rsidP="00E26ED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1960" w:rsidRDefault="0090563D" w:rsidP="00F16D2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Vplyv </w:t>
      </w:r>
      <w:r w:rsidR="00AB1960">
        <w:rPr>
          <w:rFonts w:ascii="Times New Roman" w:hAnsi="Times New Roman" w:cs="Times New Roman"/>
          <w:b/>
          <w:sz w:val="24"/>
          <w:szCs w:val="24"/>
          <w:u w:val="single"/>
        </w:rPr>
        <w:t>navrhovaných úprav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v rámci technického prepočtu na príslušné časti P</w:t>
      </w:r>
      <w:r w:rsidR="00375D0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SR a </w:t>
      </w:r>
      <w:r w:rsidR="00665FBE">
        <w:rPr>
          <w:rFonts w:ascii="Times New Roman" w:hAnsi="Times New Roman" w:cs="Times New Roman"/>
          <w:b/>
          <w:sz w:val="24"/>
          <w:szCs w:val="24"/>
          <w:u w:val="single"/>
        </w:rPr>
        <w:t>OP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na obdobie 2014 – 2020</w:t>
      </w:r>
    </w:p>
    <w:p w:rsidR="006869DE" w:rsidRDefault="006869DE" w:rsidP="00660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63D" w:rsidRDefault="00E11A7C" w:rsidP="00660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457E6" w:rsidRPr="00E730B3">
        <w:rPr>
          <w:rFonts w:ascii="Times New Roman" w:hAnsi="Times New Roman" w:cs="Times New Roman"/>
          <w:sz w:val="24"/>
          <w:szCs w:val="24"/>
        </w:rPr>
        <w:t>ykonanie technických úprav</w:t>
      </w:r>
      <w:r w:rsidR="0090563D" w:rsidRPr="00E730B3">
        <w:rPr>
          <w:rFonts w:ascii="Times New Roman" w:hAnsi="Times New Roman" w:cs="Times New Roman"/>
          <w:sz w:val="24"/>
          <w:szCs w:val="24"/>
        </w:rPr>
        <w:t xml:space="preserve"> zahŕňa opätovnú potrebu prepočtov na úrovni </w:t>
      </w:r>
      <w:r w:rsidR="007917BC">
        <w:rPr>
          <w:rFonts w:ascii="Times New Roman" w:hAnsi="Times New Roman" w:cs="Times New Roman"/>
          <w:sz w:val="24"/>
          <w:szCs w:val="24"/>
        </w:rPr>
        <w:t>PD SR</w:t>
      </w:r>
      <w:r w:rsidR="006B0CB2">
        <w:rPr>
          <w:rFonts w:ascii="Times New Roman" w:hAnsi="Times New Roman" w:cs="Times New Roman"/>
          <w:sz w:val="24"/>
          <w:szCs w:val="24"/>
        </w:rPr>
        <w:t xml:space="preserve"> </w:t>
      </w:r>
      <w:r w:rsidR="0090563D" w:rsidRPr="00E730B3">
        <w:rPr>
          <w:rFonts w:ascii="Times New Roman" w:hAnsi="Times New Roman" w:cs="Times New Roman"/>
          <w:sz w:val="24"/>
          <w:szCs w:val="24"/>
        </w:rPr>
        <w:t>a  </w:t>
      </w:r>
      <w:r w:rsidR="00DE6060">
        <w:rPr>
          <w:rFonts w:ascii="Times New Roman" w:hAnsi="Times New Roman" w:cs="Times New Roman"/>
          <w:sz w:val="24"/>
          <w:szCs w:val="24"/>
        </w:rPr>
        <w:t xml:space="preserve">dotknutých </w:t>
      </w:r>
      <w:r w:rsidR="00665FBE">
        <w:rPr>
          <w:rFonts w:ascii="Times New Roman" w:hAnsi="Times New Roman" w:cs="Times New Roman"/>
          <w:sz w:val="24"/>
          <w:szCs w:val="24"/>
        </w:rPr>
        <w:t>OP</w:t>
      </w:r>
      <w:r w:rsidR="0090563D" w:rsidRPr="00E730B3">
        <w:rPr>
          <w:rFonts w:ascii="Times New Roman" w:hAnsi="Times New Roman" w:cs="Times New Roman"/>
          <w:sz w:val="24"/>
          <w:szCs w:val="24"/>
        </w:rPr>
        <w:t xml:space="preserve"> na obdobie 2014 – 2020</w:t>
      </w:r>
      <w:r w:rsidR="006B0CB2">
        <w:rPr>
          <w:rFonts w:ascii="Times New Roman" w:hAnsi="Times New Roman" w:cs="Times New Roman"/>
          <w:sz w:val="24"/>
          <w:szCs w:val="24"/>
        </w:rPr>
        <w:t>, ktoré sa</w:t>
      </w:r>
      <w:r w:rsidR="0090563D" w:rsidRPr="00E730B3">
        <w:rPr>
          <w:rFonts w:ascii="Times New Roman" w:hAnsi="Times New Roman" w:cs="Times New Roman"/>
          <w:sz w:val="24"/>
          <w:szCs w:val="24"/>
        </w:rPr>
        <w:t xml:space="preserve"> týkajú</w:t>
      </w:r>
      <w:r w:rsidR="006B0CB2">
        <w:rPr>
          <w:rFonts w:ascii="Times New Roman" w:hAnsi="Times New Roman" w:cs="Times New Roman"/>
          <w:sz w:val="24"/>
          <w:szCs w:val="24"/>
        </w:rPr>
        <w:t xml:space="preserve"> </w:t>
      </w:r>
      <w:r w:rsidR="0090563D" w:rsidRPr="00E730B3">
        <w:rPr>
          <w:rFonts w:ascii="Times New Roman" w:hAnsi="Times New Roman" w:cs="Times New Roman"/>
          <w:sz w:val="24"/>
          <w:szCs w:val="24"/>
        </w:rPr>
        <w:t>viacerých oblastí, a</w:t>
      </w:r>
      <w:r w:rsidR="006B0CB2">
        <w:rPr>
          <w:rFonts w:ascii="Times New Roman" w:hAnsi="Times New Roman" w:cs="Times New Roman"/>
          <w:sz w:val="24"/>
          <w:szCs w:val="24"/>
        </w:rPr>
        <w:t>ko</w:t>
      </w:r>
      <w:r w:rsidR="0090563D" w:rsidRPr="00E730B3">
        <w:rPr>
          <w:rFonts w:ascii="Times New Roman" w:hAnsi="Times New Roman" w:cs="Times New Roman"/>
          <w:sz w:val="24"/>
          <w:szCs w:val="24"/>
        </w:rPr>
        <w:t xml:space="preserve"> napr.</w:t>
      </w:r>
      <w:r w:rsidR="006B0CB2">
        <w:rPr>
          <w:rFonts w:ascii="Times New Roman" w:hAnsi="Times New Roman" w:cs="Times New Roman"/>
          <w:sz w:val="24"/>
          <w:szCs w:val="24"/>
        </w:rPr>
        <w:t>:</w:t>
      </w:r>
      <w:r w:rsidR="0090563D" w:rsidRPr="00E730B3">
        <w:rPr>
          <w:rFonts w:ascii="Times New Roman" w:hAnsi="Times New Roman" w:cs="Times New Roman"/>
          <w:sz w:val="24"/>
          <w:szCs w:val="24"/>
        </w:rPr>
        <w:t xml:space="preserve"> rozdelenia podpory EÚ podľa </w:t>
      </w:r>
      <w:r w:rsidR="00CC53D0">
        <w:rPr>
          <w:rFonts w:ascii="Times New Roman" w:hAnsi="Times New Roman" w:cs="Times New Roman"/>
          <w:sz w:val="24"/>
          <w:szCs w:val="24"/>
        </w:rPr>
        <w:t>TC</w:t>
      </w:r>
      <w:r w:rsidR="0090563D" w:rsidRPr="00E730B3">
        <w:rPr>
          <w:rFonts w:ascii="Times New Roman" w:hAnsi="Times New Roman" w:cs="Times New Roman"/>
          <w:sz w:val="24"/>
          <w:szCs w:val="24"/>
        </w:rPr>
        <w:t xml:space="preserve"> a pridelenia finančných prostriedkov podľa jednotlivých rokov, prepočtov alokácie na kategóriu </w:t>
      </w:r>
      <w:r w:rsidR="00CC53D0">
        <w:rPr>
          <w:rFonts w:ascii="Times New Roman" w:hAnsi="Times New Roman" w:cs="Times New Roman"/>
          <w:sz w:val="24"/>
          <w:szCs w:val="24"/>
        </w:rPr>
        <w:t>MRR</w:t>
      </w:r>
      <w:r w:rsidR="0090563D" w:rsidRPr="00E730B3">
        <w:rPr>
          <w:rFonts w:ascii="Times New Roman" w:hAnsi="Times New Roman" w:cs="Times New Roman"/>
          <w:sz w:val="24"/>
          <w:szCs w:val="24"/>
        </w:rPr>
        <w:t>, potreby dodržania stanovených minimálnych podielov v rámci tematickej koncentrácie, prehodnotenia ukazovateľov výkonnostného rámca a finančných prostriedkov pridelených na</w:t>
      </w:r>
      <w:r w:rsidR="00CC53D0">
        <w:rPr>
          <w:rFonts w:ascii="Times New Roman" w:hAnsi="Times New Roman" w:cs="Times New Roman"/>
          <w:sz w:val="24"/>
          <w:szCs w:val="24"/>
        </w:rPr>
        <w:t> </w:t>
      </w:r>
      <w:r w:rsidR="0090563D" w:rsidRPr="00E730B3">
        <w:rPr>
          <w:rFonts w:ascii="Times New Roman" w:hAnsi="Times New Roman" w:cs="Times New Roman"/>
          <w:sz w:val="24"/>
          <w:szCs w:val="24"/>
        </w:rPr>
        <w:t>výkonnostnú rezervu, alokácie na ciele súvisiace so zmenou klímy, atď. Takýto rozsah úpravy m</w:t>
      </w:r>
      <w:r w:rsidR="001457E6" w:rsidRPr="00E730B3">
        <w:rPr>
          <w:rFonts w:ascii="Times New Roman" w:hAnsi="Times New Roman" w:cs="Times New Roman"/>
          <w:sz w:val="24"/>
          <w:szCs w:val="24"/>
        </w:rPr>
        <w:t>á</w:t>
      </w:r>
      <w:r w:rsidR="0090563D" w:rsidRPr="00E730B3">
        <w:rPr>
          <w:rFonts w:ascii="Times New Roman" w:hAnsi="Times New Roman" w:cs="Times New Roman"/>
          <w:sz w:val="24"/>
          <w:szCs w:val="24"/>
        </w:rPr>
        <w:t xml:space="preserve"> dosah aj na zvýšenú administratívnu záťaž na úrovni riadiacich orgánov SR (obdobný postup ako pri </w:t>
      </w:r>
      <w:proofErr w:type="spellStart"/>
      <w:r w:rsidR="0090563D" w:rsidRPr="00E730B3">
        <w:rPr>
          <w:rFonts w:ascii="Times New Roman" w:hAnsi="Times New Roman" w:cs="Times New Roman"/>
          <w:sz w:val="24"/>
          <w:szCs w:val="24"/>
        </w:rPr>
        <w:t>reprogramovaní</w:t>
      </w:r>
      <w:proofErr w:type="spellEnd"/>
      <w:r w:rsidR="0090563D" w:rsidRPr="00E730B3">
        <w:rPr>
          <w:rFonts w:ascii="Times New Roman" w:hAnsi="Times New Roman" w:cs="Times New Roman"/>
          <w:sz w:val="24"/>
          <w:szCs w:val="24"/>
        </w:rPr>
        <w:t>)</w:t>
      </w:r>
      <w:r w:rsidR="006B0CB2">
        <w:rPr>
          <w:rFonts w:ascii="Times New Roman" w:hAnsi="Times New Roman" w:cs="Times New Roman"/>
          <w:sz w:val="24"/>
          <w:szCs w:val="24"/>
        </w:rPr>
        <w:t>.</w:t>
      </w:r>
      <w:r w:rsidR="00F11CDD">
        <w:rPr>
          <w:rFonts w:ascii="Times New Roman" w:hAnsi="Times New Roman" w:cs="Times New Roman"/>
          <w:sz w:val="24"/>
          <w:szCs w:val="24"/>
        </w:rPr>
        <w:t xml:space="preserve"> </w:t>
      </w:r>
      <w:r w:rsidR="006B0CB2">
        <w:rPr>
          <w:rFonts w:ascii="Times New Roman" w:hAnsi="Times New Roman" w:cs="Times New Roman"/>
          <w:sz w:val="24"/>
          <w:szCs w:val="24"/>
        </w:rPr>
        <w:t>Z</w:t>
      </w:r>
      <w:r w:rsidR="0066086C">
        <w:rPr>
          <w:rFonts w:ascii="Times New Roman" w:hAnsi="Times New Roman" w:cs="Times New Roman"/>
          <w:sz w:val="24"/>
          <w:szCs w:val="24"/>
        </w:rPr>
        <w:t> toh</w:t>
      </w:r>
      <w:r w:rsidR="006B0CB2">
        <w:rPr>
          <w:rFonts w:ascii="Times New Roman" w:hAnsi="Times New Roman" w:cs="Times New Roman"/>
          <w:sz w:val="24"/>
          <w:szCs w:val="24"/>
        </w:rPr>
        <w:t>t</w:t>
      </w:r>
      <w:r w:rsidR="0066086C">
        <w:rPr>
          <w:rFonts w:ascii="Times New Roman" w:hAnsi="Times New Roman" w:cs="Times New Roman"/>
          <w:sz w:val="24"/>
          <w:szCs w:val="24"/>
        </w:rPr>
        <w:t>o vyplýva</w:t>
      </w:r>
      <w:r w:rsidR="006B0CB2">
        <w:rPr>
          <w:rFonts w:ascii="Times New Roman" w:hAnsi="Times New Roman" w:cs="Times New Roman"/>
          <w:sz w:val="24"/>
          <w:szCs w:val="24"/>
        </w:rPr>
        <w:t xml:space="preserve"> aj</w:t>
      </w:r>
      <w:r w:rsidR="0066086C">
        <w:rPr>
          <w:rFonts w:ascii="Times New Roman" w:hAnsi="Times New Roman" w:cs="Times New Roman"/>
          <w:sz w:val="24"/>
          <w:szCs w:val="24"/>
        </w:rPr>
        <w:t xml:space="preserve"> </w:t>
      </w:r>
      <w:r w:rsidR="0090563D" w:rsidRPr="00E730B3">
        <w:rPr>
          <w:rFonts w:ascii="Times New Roman" w:hAnsi="Times New Roman" w:cs="Times New Roman"/>
          <w:sz w:val="24"/>
          <w:szCs w:val="24"/>
        </w:rPr>
        <w:t xml:space="preserve">možné spomalenie čerpania </w:t>
      </w:r>
      <w:r w:rsidR="00375D0D">
        <w:rPr>
          <w:rFonts w:ascii="Times New Roman" w:hAnsi="Times New Roman" w:cs="Times New Roman"/>
          <w:sz w:val="24"/>
          <w:szCs w:val="24"/>
        </w:rPr>
        <w:t>EŠIF</w:t>
      </w:r>
      <w:r w:rsidR="0090563D" w:rsidRPr="00E730B3">
        <w:rPr>
          <w:rFonts w:ascii="Times New Roman" w:hAnsi="Times New Roman" w:cs="Times New Roman"/>
          <w:sz w:val="24"/>
          <w:szCs w:val="24"/>
        </w:rPr>
        <w:t xml:space="preserve"> na obdobie 2014 – 2020 v podmienkach SR</w:t>
      </w:r>
      <w:r w:rsidR="001457E6" w:rsidRPr="00E730B3">
        <w:rPr>
          <w:rFonts w:ascii="Times New Roman" w:hAnsi="Times New Roman" w:cs="Times New Roman"/>
          <w:sz w:val="24"/>
          <w:szCs w:val="24"/>
        </w:rPr>
        <w:t xml:space="preserve">, </w:t>
      </w:r>
      <w:r w:rsidR="00A65D09">
        <w:rPr>
          <w:rFonts w:ascii="Times New Roman" w:hAnsi="Times New Roman" w:cs="Times New Roman"/>
          <w:sz w:val="24"/>
          <w:szCs w:val="24"/>
        </w:rPr>
        <w:t xml:space="preserve">keďže </w:t>
      </w:r>
      <w:r w:rsidR="001457E6" w:rsidRPr="00E730B3">
        <w:rPr>
          <w:rFonts w:ascii="Times New Roman" w:hAnsi="Times New Roman" w:cs="Times New Roman"/>
          <w:sz w:val="24"/>
          <w:szCs w:val="24"/>
        </w:rPr>
        <w:t>súčasne s</w:t>
      </w:r>
      <w:r w:rsidR="00A65D09">
        <w:rPr>
          <w:rFonts w:ascii="Times New Roman" w:hAnsi="Times New Roman" w:cs="Times New Roman"/>
          <w:sz w:val="24"/>
          <w:szCs w:val="24"/>
        </w:rPr>
        <w:t xml:space="preserve"> revíziou </w:t>
      </w:r>
      <w:r w:rsidR="007917BC">
        <w:rPr>
          <w:rFonts w:ascii="Times New Roman" w:hAnsi="Times New Roman" w:cs="Times New Roman"/>
          <w:sz w:val="24"/>
          <w:szCs w:val="24"/>
        </w:rPr>
        <w:t>PD</w:t>
      </w:r>
      <w:r w:rsidR="001457E6" w:rsidRPr="00E730B3">
        <w:rPr>
          <w:rFonts w:ascii="Times New Roman" w:hAnsi="Times New Roman" w:cs="Times New Roman"/>
          <w:sz w:val="24"/>
          <w:szCs w:val="24"/>
        </w:rPr>
        <w:t xml:space="preserve"> SR je potrebné vykonať aj modifikácie </w:t>
      </w:r>
      <w:r w:rsidR="00A65D09">
        <w:rPr>
          <w:rFonts w:ascii="Times New Roman" w:hAnsi="Times New Roman" w:cs="Times New Roman"/>
          <w:sz w:val="24"/>
          <w:szCs w:val="24"/>
        </w:rPr>
        <w:t xml:space="preserve">dotknutých </w:t>
      </w:r>
      <w:r w:rsidR="00665FBE">
        <w:rPr>
          <w:rFonts w:ascii="Times New Roman" w:hAnsi="Times New Roman" w:cs="Times New Roman"/>
          <w:sz w:val="24"/>
          <w:szCs w:val="24"/>
        </w:rPr>
        <w:t>OP</w:t>
      </w:r>
      <w:r w:rsidR="0090563D" w:rsidRPr="00E730B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87E17" w:rsidRDefault="00087E17" w:rsidP="00660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FC4" w:rsidRPr="00F16D2A" w:rsidRDefault="00F35281" w:rsidP="00F16D2A">
      <w:pPr>
        <w:pStyle w:val="Odsekzoznamu"/>
        <w:numPr>
          <w:ilvl w:val="0"/>
          <w:numId w:val="26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2A">
        <w:rPr>
          <w:rFonts w:ascii="Times New Roman" w:hAnsi="Times New Roman" w:cs="Times New Roman"/>
          <w:b/>
          <w:sz w:val="24"/>
          <w:szCs w:val="24"/>
        </w:rPr>
        <w:t>Dopad na tematickú koncentráciu jednotlivých štrukturálnych fondov EÚ pre MRR</w:t>
      </w:r>
    </w:p>
    <w:p w:rsidR="006869DE" w:rsidRDefault="006869DE" w:rsidP="00F16D2A">
      <w:pPr>
        <w:pStyle w:val="CM1"/>
        <w:spacing w:line="276" w:lineRule="auto"/>
        <w:jc w:val="both"/>
        <w:rPr>
          <w:rFonts w:ascii="Times New Roman" w:hAnsi="Times New Roman" w:cs="Times New Roman"/>
        </w:rPr>
      </w:pPr>
    </w:p>
    <w:p w:rsidR="00EF59A1" w:rsidRDefault="00E26ED7" w:rsidP="00F16D2A">
      <w:pPr>
        <w:pStyle w:val="CM1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04CB9">
        <w:rPr>
          <w:rFonts w:ascii="Times New Roman" w:hAnsi="Times New Roman" w:cs="Times New Roman"/>
        </w:rPr>
        <w:t xml:space="preserve">Navrhované zníženia </w:t>
      </w:r>
      <w:r w:rsidR="0066086C">
        <w:rPr>
          <w:rFonts w:ascii="Times New Roman" w:hAnsi="Times New Roman" w:cs="Times New Roman"/>
        </w:rPr>
        <w:t xml:space="preserve">alokácií </w:t>
      </w:r>
      <w:r w:rsidRPr="00004CB9">
        <w:rPr>
          <w:rFonts w:ascii="Times New Roman" w:hAnsi="Times New Roman" w:cs="Times New Roman"/>
        </w:rPr>
        <w:t>v rámci EFRR majú len mierne negatívny dopad na povinn</w:t>
      </w:r>
      <w:r w:rsidR="008C581D" w:rsidRPr="00004CB9">
        <w:rPr>
          <w:rFonts w:ascii="Times New Roman" w:hAnsi="Times New Roman" w:cs="Times New Roman"/>
        </w:rPr>
        <w:t>e stanovenú</w:t>
      </w:r>
      <w:r w:rsidRPr="00004CB9">
        <w:rPr>
          <w:rFonts w:ascii="Times New Roman" w:hAnsi="Times New Roman" w:cs="Times New Roman"/>
        </w:rPr>
        <w:t xml:space="preserve"> tematickú koncentráciu, pokiaľ ide o podmienku smerovať minimálne 50 % </w:t>
      </w:r>
      <w:r w:rsidR="008C581D" w:rsidRPr="00004CB9">
        <w:rPr>
          <w:rFonts w:ascii="Times New Roman" w:hAnsi="Times New Roman" w:cs="Times New Roman"/>
        </w:rPr>
        <w:t xml:space="preserve">zdrojov </w:t>
      </w:r>
      <w:r w:rsidRPr="00004CB9">
        <w:rPr>
          <w:rFonts w:ascii="Times New Roman" w:hAnsi="Times New Roman" w:cs="Times New Roman"/>
        </w:rPr>
        <w:t>z</w:t>
      </w:r>
      <w:r w:rsidR="004E60CD">
        <w:rPr>
          <w:rFonts w:ascii="Times New Roman" w:hAnsi="Times New Roman" w:cs="Times New Roman"/>
        </w:rPr>
        <w:t> </w:t>
      </w:r>
      <w:r w:rsidRPr="00004CB9">
        <w:rPr>
          <w:rFonts w:ascii="Times New Roman" w:hAnsi="Times New Roman" w:cs="Times New Roman"/>
        </w:rPr>
        <w:t>EFRR</w:t>
      </w:r>
      <w:r w:rsidR="004E60CD">
        <w:rPr>
          <w:rFonts w:ascii="Times New Roman" w:hAnsi="Times New Roman" w:cs="Times New Roman"/>
        </w:rPr>
        <w:t xml:space="preserve"> pre </w:t>
      </w:r>
      <w:r w:rsidR="00CC53D0">
        <w:rPr>
          <w:rFonts w:ascii="Times New Roman" w:hAnsi="Times New Roman" w:cs="Times New Roman"/>
        </w:rPr>
        <w:t>MRR</w:t>
      </w:r>
      <w:r w:rsidRPr="00004CB9">
        <w:rPr>
          <w:rFonts w:ascii="Times New Roman" w:hAnsi="Times New Roman" w:cs="Times New Roman"/>
        </w:rPr>
        <w:t xml:space="preserve"> do </w:t>
      </w:r>
      <w:r w:rsidR="00CC53D0">
        <w:rPr>
          <w:rFonts w:ascii="Times New Roman" w:hAnsi="Times New Roman" w:cs="Times New Roman"/>
        </w:rPr>
        <w:t>TC</w:t>
      </w:r>
      <w:r w:rsidRPr="00004CB9">
        <w:rPr>
          <w:rFonts w:ascii="Times New Roman" w:hAnsi="Times New Roman" w:cs="Times New Roman"/>
        </w:rPr>
        <w:t>1</w:t>
      </w:r>
      <w:r w:rsidR="008C581D" w:rsidRPr="00004CB9">
        <w:rPr>
          <w:rFonts w:ascii="Times New Roman" w:hAnsi="Times New Roman" w:cs="Times New Roman"/>
        </w:rPr>
        <w:t xml:space="preserve"> až </w:t>
      </w:r>
      <w:r w:rsidR="006B0CB2">
        <w:rPr>
          <w:rFonts w:ascii="Times New Roman" w:hAnsi="Times New Roman" w:cs="Times New Roman"/>
        </w:rPr>
        <w:t>TC</w:t>
      </w:r>
      <w:r w:rsidRPr="00004CB9">
        <w:rPr>
          <w:rFonts w:ascii="Times New Roman" w:hAnsi="Times New Roman" w:cs="Times New Roman"/>
        </w:rPr>
        <w:t xml:space="preserve">4. </w:t>
      </w:r>
      <w:r w:rsidR="008C581D" w:rsidRPr="00004CB9">
        <w:rPr>
          <w:rFonts w:ascii="Times New Roman" w:hAnsi="Times New Roman" w:cs="Times New Roman"/>
        </w:rPr>
        <w:t>V súčasnosti</w:t>
      </w:r>
      <w:r w:rsidRPr="00004CB9">
        <w:rPr>
          <w:rFonts w:ascii="Times New Roman" w:hAnsi="Times New Roman" w:cs="Times New Roman"/>
        </w:rPr>
        <w:t xml:space="preserve"> </w:t>
      </w:r>
      <w:r w:rsidR="008C581D" w:rsidRPr="00004CB9">
        <w:rPr>
          <w:rFonts w:ascii="Times New Roman" w:hAnsi="Times New Roman" w:cs="Times New Roman"/>
        </w:rPr>
        <w:t xml:space="preserve">spĺňa </w:t>
      </w:r>
      <w:r w:rsidR="00C66BEB" w:rsidRPr="00004CB9">
        <w:rPr>
          <w:rFonts w:ascii="Times New Roman" w:hAnsi="Times New Roman" w:cs="Times New Roman"/>
        </w:rPr>
        <w:t>SR</w:t>
      </w:r>
      <w:r w:rsidRPr="00004CB9">
        <w:rPr>
          <w:rFonts w:ascii="Times New Roman" w:hAnsi="Times New Roman" w:cs="Times New Roman"/>
        </w:rPr>
        <w:t xml:space="preserve"> túto podmienku </w:t>
      </w:r>
      <w:r w:rsidR="008C581D" w:rsidRPr="00004CB9">
        <w:rPr>
          <w:rFonts w:ascii="Times New Roman" w:hAnsi="Times New Roman" w:cs="Times New Roman"/>
        </w:rPr>
        <w:t xml:space="preserve">celkovou </w:t>
      </w:r>
      <w:r w:rsidRPr="00004CB9">
        <w:rPr>
          <w:rFonts w:ascii="Times New Roman" w:hAnsi="Times New Roman" w:cs="Times New Roman"/>
        </w:rPr>
        <w:t>hodnotou</w:t>
      </w:r>
      <w:r w:rsidR="008C581D" w:rsidRPr="00004CB9">
        <w:rPr>
          <w:rFonts w:ascii="Times New Roman" w:hAnsi="Times New Roman" w:cs="Times New Roman"/>
        </w:rPr>
        <w:t xml:space="preserve"> na úrovni</w:t>
      </w:r>
      <w:r w:rsidR="00D91E50" w:rsidRPr="00004CB9">
        <w:rPr>
          <w:rFonts w:ascii="Times New Roman" w:hAnsi="Times New Roman" w:cs="Times New Roman"/>
        </w:rPr>
        <w:t xml:space="preserve"> </w:t>
      </w:r>
      <w:r w:rsidR="004E60CD">
        <w:rPr>
          <w:rFonts w:ascii="Times New Roman" w:hAnsi="Times New Roman" w:cs="Times New Roman"/>
        </w:rPr>
        <w:t>54,55</w:t>
      </w:r>
      <w:r w:rsidR="00EB5CE2">
        <w:rPr>
          <w:rFonts w:ascii="Times New Roman" w:hAnsi="Times New Roman" w:cs="Times New Roman"/>
        </w:rPr>
        <w:t xml:space="preserve"> %. </w:t>
      </w:r>
      <w:r w:rsidR="00D91E50" w:rsidRPr="00004CB9">
        <w:rPr>
          <w:rFonts w:ascii="Times New Roman" w:hAnsi="Times New Roman" w:cs="Times New Roman"/>
        </w:rPr>
        <w:t>P</w:t>
      </w:r>
      <w:r w:rsidRPr="00004CB9">
        <w:rPr>
          <w:rFonts w:ascii="Times New Roman" w:hAnsi="Times New Roman" w:cs="Times New Roman"/>
        </w:rPr>
        <w:t xml:space="preserve">o navrhovanom znížení </w:t>
      </w:r>
      <w:r w:rsidR="008C581D" w:rsidRPr="00004CB9">
        <w:rPr>
          <w:rFonts w:ascii="Times New Roman" w:hAnsi="Times New Roman" w:cs="Times New Roman"/>
        </w:rPr>
        <w:t xml:space="preserve">alokácie na EFRR </w:t>
      </w:r>
      <w:r w:rsidRPr="00004CB9">
        <w:rPr>
          <w:rFonts w:ascii="Times New Roman" w:hAnsi="Times New Roman" w:cs="Times New Roman"/>
        </w:rPr>
        <w:t xml:space="preserve">poklesne </w:t>
      </w:r>
      <w:r w:rsidR="008C581D" w:rsidRPr="00004CB9">
        <w:rPr>
          <w:rFonts w:ascii="Times New Roman" w:hAnsi="Times New Roman" w:cs="Times New Roman"/>
        </w:rPr>
        <w:t xml:space="preserve">táto </w:t>
      </w:r>
      <w:r w:rsidRPr="00004CB9">
        <w:rPr>
          <w:rFonts w:ascii="Times New Roman" w:hAnsi="Times New Roman" w:cs="Times New Roman"/>
        </w:rPr>
        <w:t xml:space="preserve">hodnota len </w:t>
      </w:r>
      <w:r w:rsidR="000D4C35" w:rsidRPr="00004CB9">
        <w:rPr>
          <w:rFonts w:ascii="Times New Roman" w:hAnsi="Times New Roman" w:cs="Times New Roman"/>
        </w:rPr>
        <w:t>o 0,</w:t>
      </w:r>
      <w:r w:rsidR="004E60CD">
        <w:rPr>
          <w:rFonts w:ascii="Times New Roman" w:hAnsi="Times New Roman" w:cs="Times New Roman"/>
        </w:rPr>
        <w:t>22</w:t>
      </w:r>
      <w:r w:rsidR="004E60CD" w:rsidRPr="00004CB9">
        <w:rPr>
          <w:rFonts w:ascii="Times New Roman" w:hAnsi="Times New Roman" w:cs="Times New Roman"/>
        </w:rPr>
        <w:t xml:space="preserve"> </w:t>
      </w:r>
      <w:r w:rsidRPr="00004CB9">
        <w:rPr>
          <w:rFonts w:ascii="Times New Roman" w:hAnsi="Times New Roman" w:cs="Times New Roman"/>
        </w:rPr>
        <w:t>percentuálneho bodu na 54,</w:t>
      </w:r>
      <w:r w:rsidR="004E60CD">
        <w:rPr>
          <w:rFonts w:ascii="Times New Roman" w:hAnsi="Times New Roman" w:cs="Times New Roman"/>
        </w:rPr>
        <w:t>33</w:t>
      </w:r>
      <w:r w:rsidR="004E60CD" w:rsidRPr="00004CB9">
        <w:rPr>
          <w:rFonts w:ascii="Times New Roman" w:hAnsi="Times New Roman" w:cs="Times New Roman"/>
        </w:rPr>
        <w:t xml:space="preserve"> </w:t>
      </w:r>
      <w:r w:rsidRPr="00004CB9">
        <w:rPr>
          <w:rFonts w:ascii="Times New Roman" w:hAnsi="Times New Roman" w:cs="Times New Roman"/>
        </w:rPr>
        <w:t>%. V</w:t>
      </w:r>
      <w:r w:rsidR="00A65D09">
        <w:rPr>
          <w:rFonts w:ascii="Times New Roman" w:hAnsi="Times New Roman" w:cs="Times New Roman"/>
        </w:rPr>
        <w:t> </w:t>
      </w:r>
      <w:r w:rsidRPr="00004CB9">
        <w:rPr>
          <w:rFonts w:ascii="Times New Roman" w:hAnsi="Times New Roman" w:cs="Times New Roman"/>
        </w:rPr>
        <w:t>prípade</w:t>
      </w:r>
      <w:r w:rsidR="00A65D09">
        <w:rPr>
          <w:rFonts w:ascii="Times New Roman" w:hAnsi="Times New Roman" w:cs="Times New Roman"/>
        </w:rPr>
        <w:t xml:space="preserve"> ďalšej</w:t>
      </w:r>
      <w:r w:rsidRPr="00004CB9">
        <w:rPr>
          <w:rFonts w:ascii="Times New Roman" w:hAnsi="Times New Roman" w:cs="Times New Roman"/>
        </w:rPr>
        <w:t xml:space="preserve"> podmienky pre EFRR, ktorá </w:t>
      </w:r>
      <w:r w:rsidR="008C581D" w:rsidRPr="00004CB9">
        <w:rPr>
          <w:rFonts w:ascii="Times New Roman" w:hAnsi="Times New Roman" w:cs="Times New Roman"/>
        </w:rPr>
        <w:t>stanovuje</w:t>
      </w:r>
      <w:r w:rsidRPr="00004CB9">
        <w:rPr>
          <w:rFonts w:ascii="Times New Roman" w:hAnsi="Times New Roman" w:cs="Times New Roman"/>
        </w:rPr>
        <w:t xml:space="preserve"> </w:t>
      </w:r>
      <w:r w:rsidR="008C581D" w:rsidRPr="00004CB9">
        <w:rPr>
          <w:rFonts w:ascii="Times New Roman" w:hAnsi="Times New Roman" w:cs="Times New Roman"/>
        </w:rPr>
        <w:t>povinné</w:t>
      </w:r>
      <w:r w:rsidRPr="00004CB9">
        <w:rPr>
          <w:rFonts w:ascii="Times New Roman" w:hAnsi="Times New Roman" w:cs="Times New Roman"/>
        </w:rPr>
        <w:t> smerovan</w:t>
      </w:r>
      <w:r w:rsidR="008C581D" w:rsidRPr="00004CB9">
        <w:rPr>
          <w:rFonts w:ascii="Times New Roman" w:hAnsi="Times New Roman" w:cs="Times New Roman"/>
        </w:rPr>
        <w:t>ie</w:t>
      </w:r>
      <w:r w:rsidRPr="00004CB9">
        <w:rPr>
          <w:rFonts w:ascii="Times New Roman" w:hAnsi="Times New Roman" w:cs="Times New Roman"/>
        </w:rPr>
        <w:t xml:space="preserve"> min. 12 % </w:t>
      </w:r>
      <w:r w:rsidR="008C581D" w:rsidRPr="00004CB9">
        <w:rPr>
          <w:rFonts w:ascii="Times New Roman" w:hAnsi="Times New Roman" w:cs="Times New Roman"/>
        </w:rPr>
        <w:t>zdrojov z</w:t>
      </w:r>
      <w:r w:rsidR="004E60CD">
        <w:rPr>
          <w:rFonts w:ascii="Times New Roman" w:hAnsi="Times New Roman" w:cs="Times New Roman"/>
        </w:rPr>
        <w:t> </w:t>
      </w:r>
      <w:r w:rsidRPr="00004CB9">
        <w:rPr>
          <w:rFonts w:ascii="Times New Roman" w:hAnsi="Times New Roman" w:cs="Times New Roman"/>
        </w:rPr>
        <w:t>EFRR</w:t>
      </w:r>
      <w:r w:rsidR="004E60CD">
        <w:rPr>
          <w:rFonts w:ascii="Times New Roman" w:hAnsi="Times New Roman" w:cs="Times New Roman"/>
        </w:rPr>
        <w:t xml:space="preserve"> </w:t>
      </w:r>
      <w:r w:rsidR="00A65D09">
        <w:rPr>
          <w:rFonts w:ascii="Times New Roman" w:hAnsi="Times New Roman" w:cs="Times New Roman"/>
        </w:rPr>
        <w:t>na</w:t>
      </w:r>
      <w:r w:rsidR="004E60CD">
        <w:rPr>
          <w:rFonts w:ascii="Times New Roman" w:hAnsi="Times New Roman" w:cs="Times New Roman"/>
        </w:rPr>
        <w:t xml:space="preserve"> </w:t>
      </w:r>
      <w:r w:rsidR="00CC53D0">
        <w:rPr>
          <w:rFonts w:ascii="Times New Roman" w:hAnsi="Times New Roman" w:cs="Times New Roman"/>
        </w:rPr>
        <w:t>MRR</w:t>
      </w:r>
      <w:r w:rsidRPr="00004CB9">
        <w:rPr>
          <w:rFonts w:ascii="Times New Roman" w:hAnsi="Times New Roman" w:cs="Times New Roman"/>
        </w:rPr>
        <w:t xml:space="preserve"> do </w:t>
      </w:r>
      <w:r w:rsidR="00CC53D0">
        <w:rPr>
          <w:rFonts w:ascii="Times New Roman" w:hAnsi="Times New Roman" w:cs="Times New Roman"/>
        </w:rPr>
        <w:t>TC</w:t>
      </w:r>
      <w:r w:rsidRPr="00004CB9">
        <w:rPr>
          <w:rFonts w:ascii="Times New Roman" w:hAnsi="Times New Roman" w:cs="Times New Roman"/>
        </w:rPr>
        <w:t>4</w:t>
      </w:r>
      <w:r w:rsidR="00D91E50" w:rsidRPr="00004CB9">
        <w:rPr>
          <w:rFonts w:ascii="Times New Roman" w:hAnsi="Times New Roman" w:cs="Times New Roman"/>
        </w:rPr>
        <w:t xml:space="preserve"> (t. j. podpory prechodu na </w:t>
      </w:r>
      <w:proofErr w:type="spellStart"/>
      <w:r w:rsidR="00D91E50" w:rsidRPr="00004CB9">
        <w:rPr>
          <w:rFonts w:ascii="Times New Roman" w:hAnsi="Times New Roman" w:cs="Times New Roman"/>
        </w:rPr>
        <w:t>nízkouhlíkové</w:t>
      </w:r>
      <w:proofErr w:type="spellEnd"/>
      <w:r w:rsidR="00D91E50" w:rsidRPr="00004CB9">
        <w:rPr>
          <w:rFonts w:ascii="Times New Roman" w:hAnsi="Times New Roman" w:cs="Times New Roman"/>
        </w:rPr>
        <w:t xml:space="preserve"> hospodárstvo vo všetkých sektoroch)</w:t>
      </w:r>
      <w:r w:rsidRPr="00004CB9">
        <w:rPr>
          <w:rFonts w:ascii="Times New Roman" w:hAnsi="Times New Roman" w:cs="Times New Roman"/>
        </w:rPr>
        <w:t>, pôjde dokonca o mierne pozitívny dopad, keďže súčasná hodnota 14,</w:t>
      </w:r>
      <w:r w:rsidR="004E60CD">
        <w:rPr>
          <w:rFonts w:ascii="Times New Roman" w:hAnsi="Times New Roman" w:cs="Times New Roman"/>
        </w:rPr>
        <w:t>64</w:t>
      </w:r>
      <w:r w:rsidR="004E60CD" w:rsidRPr="00004CB9">
        <w:rPr>
          <w:rFonts w:ascii="Times New Roman" w:hAnsi="Times New Roman" w:cs="Times New Roman"/>
        </w:rPr>
        <w:t xml:space="preserve"> </w:t>
      </w:r>
      <w:r w:rsidRPr="00004CB9">
        <w:rPr>
          <w:rFonts w:ascii="Times New Roman" w:hAnsi="Times New Roman" w:cs="Times New Roman"/>
        </w:rPr>
        <w:t xml:space="preserve">% sa po úpravách zvýši na </w:t>
      </w:r>
      <w:r w:rsidR="008C581D" w:rsidRPr="00004CB9">
        <w:rPr>
          <w:rFonts w:ascii="Times New Roman" w:hAnsi="Times New Roman" w:cs="Times New Roman"/>
        </w:rPr>
        <w:t xml:space="preserve">hodnotu </w:t>
      </w:r>
      <w:r w:rsidR="000D4C35" w:rsidRPr="00004CB9">
        <w:rPr>
          <w:rFonts w:ascii="Times New Roman" w:hAnsi="Times New Roman" w:cs="Times New Roman"/>
        </w:rPr>
        <w:t>14,</w:t>
      </w:r>
      <w:r w:rsidR="004E60CD">
        <w:rPr>
          <w:rFonts w:ascii="Times New Roman" w:hAnsi="Times New Roman" w:cs="Times New Roman"/>
        </w:rPr>
        <w:t>78</w:t>
      </w:r>
      <w:r w:rsidR="004E60CD" w:rsidRPr="00004CB9">
        <w:rPr>
          <w:rFonts w:ascii="Times New Roman" w:hAnsi="Times New Roman" w:cs="Times New Roman"/>
        </w:rPr>
        <w:t xml:space="preserve"> </w:t>
      </w:r>
      <w:r w:rsidRPr="00004CB9">
        <w:rPr>
          <w:rFonts w:ascii="Times New Roman" w:hAnsi="Times New Roman" w:cs="Times New Roman"/>
        </w:rPr>
        <w:t>%</w:t>
      </w:r>
      <w:r w:rsidR="00A65D09">
        <w:rPr>
          <w:rFonts w:ascii="Times New Roman" w:hAnsi="Times New Roman" w:cs="Times New Roman"/>
        </w:rPr>
        <w:t xml:space="preserve">. </w:t>
      </w:r>
      <w:r w:rsidR="00461B83" w:rsidRPr="00EE04BF">
        <w:rPr>
          <w:rFonts w:ascii="Times New Roman" w:hAnsi="Times New Roman" w:cs="Times New Roman"/>
        </w:rPr>
        <w:t>Dôvodom tohto pozitívneho dopadu je zníženie celkovej alokácie pre EFRR na</w:t>
      </w:r>
      <w:r w:rsidR="00EF59A1" w:rsidRPr="00EE04BF">
        <w:rPr>
          <w:rFonts w:ascii="Times New Roman" w:hAnsi="Times New Roman" w:cs="Times New Roman"/>
        </w:rPr>
        <w:t> </w:t>
      </w:r>
      <w:r w:rsidR="00461B83" w:rsidRPr="00EE04BF">
        <w:rPr>
          <w:rFonts w:ascii="Times New Roman" w:hAnsi="Times New Roman" w:cs="Times New Roman"/>
        </w:rPr>
        <w:t>úrovni SR, pričom výška alokácie na TC4 ostáva nezmenená</w:t>
      </w:r>
      <w:r w:rsidRPr="00EE04BF">
        <w:rPr>
          <w:rFonts w:ascii="Times New Roman" w:hAnsi="Times New Roman" w:cs="Times New Roman"/>
        </w:rPr>
        <w:t xml:space="preserve">. </w:t>
      </w:r>
    </w:p>
    <w:p w:rsidR="00EF59A1" w:rsidRDefault="00EF59A1" w:rsidP="00F16D2A">
      <w:pPr>
        <w:pStyle w:val="CM1"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E26ED7" w:rsidRPr="00004CB9" w:rsidRDefault="004E60CD" w:rsidP="00F16D2A">
      <w:pPr>
        <w:pStyle w:val="CM1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Dopady na tematickú koncentráciu sú uvedené v tab. 6. </w:t>
      </w:r>
    </w:p>
    <w:p w:rsidR="006869DE" w:rsidRDefault="006869DE" w:rsidP="00F16D2A">
      <w:pPr>
        <w:keepNext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26ED7" w:rsidRPr="00004CB9" w:rsidRDefault="00E26ED7" w:rsidP="006869DE">
      <w:pPr>
        <w:keepNext/>
        <w:rPr>
          <w:rFonts w:ascii="Times New Roman" w:hAnsi="Times New Roman" w:cs="Times New Roman"/>
          <w:i/>
          <w:sz w:val="24"/>
          <w:szCs w:val="24"/>
        </w:rPr>
      </w:pPr>
      <w:r w:rsidRPr="00004CB9">
        <w:rPr>
          <w:rFonts w:ascii="Times New Roman" w:hAnsi="Times New Roman" w:cs="Times New Roman"/>
          <w:i/>
          <w:sz w:val="24"/>
          <w:szCs w:val="24"/>
        </w:rPr>
        <w:t>Tab</w:t>
      </w:r>
      <w:r w:rsidR="001B136F" w:rsidRPr="00004CB9">
        <w:rPr>
          <w:rFonts w:ascii="Times New Roman" w:hAnsi="Times New Roman" w:cs="Times New Roman"/>
          <w:i/>
          <w:sz w:val="24"/>
          <w:szCs w:val="24"/>
        </w:rPr>
        <w:t>.</w:t>
      </w:r>
      <w:r w:rsidRPr="00004C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6BEB" w:rsidRPr="00004CB9">
        <w:rPr>
          <w:rFonts w:ascii="Times New Roman" w:hAnsi="Times New Roman" w:cs="Times New Roman"/>
          <w:i/>
          <w:sz w:val="24"/>
          <w:szCs w:val="24"/>
        </w:rPr>
        <w:t>6</w:t>
      </w:r>
      <w:r w:rsidRPr="00004CB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B136F" w:rsidRPr="00004CB9">
        <w:rPr>
          <w:rFonts w:ascii="Times New Roman" w:hAnsi="Times New Roman" w:cs="Times New Roman"/>
          <w:i/>
          <w:sz w:val="24"/>
          <w:szCs w:val="24"/>
        </w:rPr>
        <w:t>D</w:t>
      </w:r>
      <w:r w:rsidRPr="00004CB9">
        <w:rPr>
          <w:rFonts w:ascii="Times New Roman" w:hAnsi="Times New Roman" w:cs="Times New Roman"/>
          <w:i/>
          <w:sz w:val="24"/>
          <w:szCs w:val="24"/>
        </w:rPr>
        <w:t>opad znížen</w:t>
      </w:r>
      <w:r w:rsidR="00357389">
        <w:rPr>
          <w:rFonts w:ascii="Times New Roman" w:hAnsi="Times New Roman" w:cs="Times New Roman"/>
          <w:i/>
          <w:sz w:val="24"/>
          <w:szCs w:val="24"/>
        </w:rPr>
        <w:t>ia</w:t>
      </w:r>
      <w:r w:rsidRPr="00004C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581D" w:rsidRPr="00004CB9">
        <w:rPr>
          <w:rFonts w:ascii="Times New Roman" w:hAnsi="Times New Roman" w:cs="Times New Roman"/>
          <w:i/>
          <w:sz w:val="24"/>
          <w:szCs w:val="24"/>
        </w:rPr>
        <w:t xml:space="preserve">alokácie </w:t>
      </w:r>
      <w:r w:rsidRPr="00004CB9">
        <w:rPr>
          <w:rFonts w:ascii="Times New Roman" w:hAnsi="Times New Roman" w:cs="Times New Roman"/>
          <w:i/>
          <w:sz w:val="24"/>
          <w:szCs w:val="24"/>
        </w:rPr>
        <w:t>na tematickú koncentráciu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332"/>
        <w:gridCol w:w="2146"/>
        <w:gridCol w:w="2391"/>
        <w:gridCol w:w="918"/>
      </w:tblGrid>
      <w:tr w:rsidR="00E26ED7" w:rsidRPr="00004CB9" w:rsidTr="003E618C">
        <w:trPr>
          <w:trHeight w:val="300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6ED7" w:rsidRPr="00004CB9" w:rsidRDefault="00E26ED7" w:rsidP="00BA6A6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Tematická koncentrácia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6ED7" w:rsidRPr="00004CB9" w:rsidRDefault="00E26ED7" w:rsidP="00BA6A6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Podmienka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6ED7" w:rsidRPr="00004CB9" w:rsidRDefault="00E26ED7" w:rsidP="00BA6A6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Aktuálna hodnota (%)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6ED7" w:rsidRPr="00004CB9" w:rsidRDefault="00E26ED7" w:rsidP="00BA6A6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Hodnota po prepočte (%)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6ED7" w:rsidRPr="00004CB9" w:rsidRDefault="00E26ED7" w:rsidP="00BA6A6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Dopad</w:t>
            </w:r>
          </w:p>
        </w:tc>
      </w:tr>
      <w:tr w:rsidR="00E26ED7" w:rsidRPr="00004CB9" w:rsidTr="005101D8">
        <w:trPr>
          <w:trHeight w:val="300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D7" w:rsidRPr="00004CB9" w:rsidRDefault="00E26ED7" w:rsidP="00E26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EFRR čl. 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D7" w:rsidRPr="00004CB9" w:rsidRDefault="00E26ED7" w:rsidP="00E2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min. 50 %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D7" w:rsidRPr="00004CB9" w:rsidRDefault="004E60CD" w:rsidP="00E26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54,55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D7" w:rsidRPr="00004CB9" w:rsidRDefault="004E60CD" w:rsidP="00ED0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54,33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D7" w:rsidRPr="00004CB9" w:rsidRDefault="00E26ED7" w:rsidP="004E6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-0,</w:t>
            </w:r>
            <w:r w:rsidR="004E6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</w:t>
            </w:r>
          </w:p>
        </w:tc>
      </w:tr>
      <w:tr w:rsidR="00E26ED7" w:rsidRPr="00004CB9" w:rsidTr="005101D8">
        <w:trPr>
          <w:trHeight w:val="300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D7" w:rsidRPr="00004CB9" w:rsidRDefault="00E26ED7" w:rsidP="00E26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EFRR čl. 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D7" w:rsidRPr="00004CB9" w:rsidRDefault="00E26ED7" w:rsidP="00E26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min. 12 %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D7" w:rsidRPr="00004CB9" w:rsidRDefault="004E60CD" w:rsidP="00E26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14,64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D7" w:rsidRPr="00004CB9" w:rsidRDefault="004E60CD" w:rsidP="00ED0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14,78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D7" w:rsidRPr="00004CB9" w:rsidRDefault="00E26ED7" w:rsidP="004E6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+0,1</w:t>
            </w:r>
            <w:r w:rsidR="004E6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</w:tbl>
    <w:p w:rsidR="00FA4369" w:rsidRPr="00004CB9" w:rsidRDefault="00FA4369" w:rsidP="00FA4369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616A" w:rsidRPr="0068737A" w:rsidRDefault="00AB1960" w:rsidP="00F16D2A">
      <w:pPr>
        <w:pStyle w:val="Odsekzoznamu"/>
        <w:numPr>
          <w:ilvl w:val="0"/>
          <w:numId w:val="26"/>
        </w:numPr>
        <w:spacing w:after="0"/>
        <w:ind w:left="284" w:hanging="284"/>
        <w:jc w:val="both"/>
        <w:rPr>
          <w:b/>
        </w:rPr>
      </w:pPr>
      <w:r w:rsidRPr="00F16D2A">
        <w:rPr>
          <w:rFonts w:ascii="Times New Roman" w:hAnsi="Times New Roman" w:cs="Times New Roman"/>
          <w:b/>
          <w:sz w:val="24"/>
          <w:szCs w:val="24"/>
        </w:rPr>
        <w:t>Dopad na p</w:t>
      </w:r>
      <w:r w:rsidR="00BA616A" w:rsidRPr="00F16D2A">
        <w:rPr>
          <w:rFonts w:ascii="Times New Roman" w:hAnsi="Times New Roman" w:cs="Times New Roman"/>
          <w:b/>
          <w:sz w:val="24"/>
          <w:szCs w:val="24"/>
        </w:rPr>
        <w:t xml:space="preserve">odiel </w:t>
      </w:r>
      <w:r w:rsidR="00CC53D0" w:rsidRPr="00F16D2A">
        <w:rPr>
          <w:rFonts w:ascii="Times New Roman" w:hAnsi="Times New Roman" w:cs="Times New Roman"/>
          <w:b/>
          <w:sz w:val="24"/>
          <w:szCs w:val="24"/>
        </w:rPr>
        <w:t>TP</w:t>
      </w:r>
      <w:r w:rsidR="00BA616A" w:rsidRPr="00F16D2A">
        <w:rPr>
          <w:rFonts w:ascii="Times New Roman" w:hAnsi="Times New Roman" w:cs="Times New Roman"/>
          <w:b/>
          <w:sz w:val="24"/>
          <w:szCs w:val="24"/>
        </w:rPr>
        <w:t xml:space="preserve"> na celkovej alokácii </w:t>
      </w:r>
      <w:r w:rsidR="00A65D09" w:rsidRPr="00F16D2A">
        <w:rPr>
          <w:rFonts w:ascii="Times New Roman" w:hAnsi="Times New Roman" w:cs="Times New Roman"/>
          <w:b/>
          <w:sz w:val="24"/>
          <w:szCs w:val="24"/>
        </w:rPr>
        <w:t>dotknutých</w:t>
      </w:r>
      <w:r w:rsidR="00BA616A" w:rsidRPr="00F16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FBE">
        <w:rPr>
          <w:rFonts w:ascii="Times New Roman" w:hAnsi="Times New Roman" w:cs="Times New Roman"/>
          <w:b/>
          <w:sz w:val="24"/>
          <w:szCs w:val="24"/>
        </w:rPr>
        <w:t>OP</w:t>
      </w:r>
      <w:r w:rsidR="00BA616A" w:rsidRPr="00F16D2A">
        <w:rPr>
          <w:rFonts w:ascii="Times New Roman" w:hAnsi="Times New Roman" w:cs="Times New Roman"/>
          <w:b/>
          <w:sz w:val="24"/>
          <w:szCs w:val="24"/>
        </w:rPr>
        <w:t xml:space="preserve"> pri</w:t>
      </w:r>
      <w:r w:rsidR="00CC53D0" w:rsidRPr="00F16D2A">
        <w:rPr>
          <w:rFonts w:ascii="Times New Roman" w:hAnsi="Times New Roman" w:cs="Times New Roman"/>
          <w:b/>
          <w:sz w:val="24"/>
          <w:szCs w:val="24"/>
        </w:rPr>
        <w:t> </w:t>
      </w:r>
      <w:r w:rsidR="00BA616A" w:rsidRPr="00F16D2A">
        <w:rPr>
          <w:rFonts w:ascii="Times New Roman" w:hAnsi="Times New Roman" w:cs="Times New Roman"/>
          <w:b/>
          <w:sz w:val="24"/>
          <w:szCs w:val="24"/>
        </w:rPr>
        <w:t>zachovaní s</w:t>
      </w:r>
      <w:r w:rsidR="00120BAE" w:rsidRPr="00F16D2A">
        <w:rPr>
          <w:rFonts w:ascii="Times New Roman" w:hAnsi="Times New Roman" w:cs="Times New Roman"/>
          <w:b/>
          <w:sz w:val="24"/>
          <w:szCs w:val="24"/>
        </w:rPr>
        <w:t>účasnej výšky</w:t>
      </w:r>
      <w:r w:rsidR="00BA616A" w:rsidRPr="00F16D2A">
        <w:rPr>
          <w:rFonts w:ascii="Times New Roman" w:hAnsi="Times New Roman" w:cs="Times New Roman"/>
          <w:b/>
          <w:sz w:val="24"/>
          <w:szCs w:val="24"/>
        </w:rPr>
        <w:t xml:space="preserve"> alokácie </w:t>
      </w:r>
      <w:r w:rsidR="00CC53D0" w:rsidRPr="00F16D2A">
        <w:rPr>
          <w:rFonts w:ascii="Times New Roman" w:hAnsi="Times New Roman" w:cs="Times New Roman"/>
          <w:b/>
          <w:sz w:val="24"/>
          <w:szCs w:val="24"/>
        </w:rPr>
        <w:t>TP</w:t>
      </w:r>
      <w:r w:rsidR="00BA616A" w:rsidRPr="00F16D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69DE" w:rsidRDefault="006869DE" w:rsidP="00F16D2A">
      <w:pPr>
        <w:pStyle w:val="Default"/>
        <w:spacing w:line="276" w:lineRule="auto"/>
        <w:jc w:val="both"/>
        <w:rPr>
          <w:color w:val="auto"/>
        </w:rPr>
      </w:pPr>
    </w:p>
    <w:p w:rsidR="00594168" w:rsidRDefault="00350CEC" w:rsidP="00F16D2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V prípade zachovania súčasnej výšky alokácie </w:t>
      </w:r>
      <w:r w:rsidR="0081567C">
        <w:rPr>
          <w:color w:val="auto"/>
        </w:rPr>
        <w:t>TP</w:t>
      </w:r>
      <w:r>
        <w:rPr>
          <w:color w:val="auto"/>
        </w:rPr>
        <w:t xml:space="preserve"> v dotknutých OP má n</w:t>
      </w:r>
      <w:r w:rsidR="00594168">
        <w:rPr>
          <w:color w:val="auto"/>
        </w:rPr>
        <w:t>avrhované zníženie celkov</w:t>
      </w:r>
      <w:r>
        <w:rPr>
          <w:color w:val="auto"/>
        </w:rPr>
        <w:t xml:space="preserve">ej alokácie v rámci troch </w:t>
      </w:r>
      <w:r w:rsidR="00A65D09">
        <w:rPr>
          <w:color w:val="auto"/>
        </w:rPr>
        <w:t xml:space="preserve">dotknutých </w:t>
      </w:r>
      <w:r>
        <w:rPr>
          <w:color w:val="auto"/>
        </w:rPr>
        <w:t xml:space="preserve">OP </w:t>
      </w:r>
      <w:r w:rsidR="00594168">
        <w:rPr>
          <w:color w:val="auto"/>
        </w:rPr>
        <w:t xml:space="preserve">len nepatrný vplyv na </w:t>
      </w:r>
      <w:r>
        <w:rPr>
          <w:color w:val="auto"/>
        </w:rPr>
        <w:t xml:space="preserve">percentuálny </w:t>
      </w:r>
      <w:r w:rsidR="00594168">
        <w:rPr>
          <w:color w:val="auto"/>
        </w:rPr>
        <w:t xml:space="preserve">podiel </w:t>
      </w:r>
      <w:r w:rsidR="006B0CB2">
        <w:rPr>
          <w:color w:val="auto"/>
        </w:rPr>
        <w:br/>
      </w:r>
      <w:r w:rsidR="0081567C">
        <w:rPr>
          <w:color w:val="auto"/>
        </w:rPr>
        <w:t>TP</w:t>
      </w:r>
      <w:r w:rsidR="00594168">
        <w:rPr>
          <w:color w:val="auto"/>
        </w:rPr>
        <w:t xml:space="preserve"> na celkovej alokácii OP. Podiel </w:t>
      </w:r>
      <w:r w:rsidR="0081567C">
        <w:rPr>
          <w:color w:val="auto"/>
        </w:rPr>
        <w:t>TP</w:t>
      </w:r>
      <w:r w:rsidR="00594168">
        <w:rPr>
          <w:color w:val="auto"/>
        </w:rPr>
        <w:t xml:space="preserve"> na celkovej alokácii OP</w:t>
      </w:r>
      <w:r w:rsidR="00AB6EF9">
        <w:rPr>
          <w:color w:val="auto"/>
        </w:rPr>
        <w:t xml:space="preserve"> pri zachovaní jej súčasnej výšky predstavuje po vykonaní technických úprav na úrovni dotknutých prioritných osí v OP</w:t>
      </w:r>
      <w:r w:rsidR="00594168">
        <w:rPr>
          <w:color w:val="auto"/>
        </w:rPr>
        <w:t xml:space="preserve"> mierne navýšenie na</w:t>
      </w:r>
      <w:r w:rsidR="00AB6EF9">
        <w:rPr>
          <w:color w:val="auto"/>
        </w:rPr>
        <w:t xml:space="preserve"> úroveň 3,9979 %, čo však stále</w:t>
      </w:r>
      <w:r w:rsidR="00594168">
        <w:rPr>
          <w:color w:val="auto"/>
        </w:rPr>
        <w:t xml:space="preserve"> nepresahuje stanovenú max. výšku 4 % </w:t>
      </w:r>
      <w:r w:rsidR="001E13AE">
        <w:rPr>
          <w:color w:val="auto"/>
        </w:rPr>
        <w:t xml:space="preserve">vzťahujúcu sa na </w:t>
      </w:r>
      <w:r w:rsidR="006B0CB2">
        <w:rPr>
          <w:color w:val="auto"/>
        </w:rPr>
        <w:t xml:space="preserve">štrukturálne </w:t>
      </w:r>
      <w:r w:rsidR="001E13AE">
        <w:rPr>
          <w:color w:val="auto"/>
        </w:rPr>
        <w:t>fondy</w:t>
      </w:r>
      <w:r w:rsidR="006B0CB2">
        <w:rPr>
          <w:color w:val="auto"/>
        </w:rPr>
        <w:t xml:space="preserve"> a Kohézny fond EÚ</w:t>
      </w:r>
      <w:r w:rsidR="0081567C">
        <w:rPr>
          <w:color w:val="auto"/>
        </w:rPr>
        <w:t xml:space="preserve"> (viď tab. 7)</w:t>
      </w:r>
      <w:r w:rsidR="001E13AE">
        <w:rPr>
          <w:color w:val="auto"/>
        </w:rPr>
        <w:t>. P</w:t>
      </w:r>
      <w:r w:rsidR="0066086C">
        <w:rPr>
          <w:color w:val="auto"/>
        </w:rPr>
        <w:t>okiaľ ide o</w:t>
      </w:r>
      <w:r w:rsidR="001E13AE">
        <w:rPr>
          <w:color w:val="auto"/>
        </w:rPr>
        <w:t> podmienku 10 % pre alokáciu na TP z EFRR, táto zostáva po úpravách rovnako zachovaná (viď tab. 8)</w:t>
      </w:r>
      <w:r w:rsidR="00594168">
        <w:rPr>
          <w:color w:val="auto"/>
        </w:rPr>
        <w:t>.</w:t>
      </w:r>
    </w:p>
    <w:p w:rsidR="0094229C" w:rsidRDefault="0094229C" w:rsidP="00594168">
      <w:pPr>
        <w:pStyle w:val="Default"/>
        <w:jc w:val="both"/>
        <w:rPr>
          <w:color w:val="auto"/>
        </w:rPr>
      </w:pPr>
    </w:p>
    <w:p w:rsidR="00BA616A" w:rsidRPr="00BA616A" w:rsidRDefault="00594168" w:rsidP="00BA616A">
      <w:pPr>
        <w:pStyle w:val="Default"/>
        <w:jc w:val="both"/>
        <w:rPr>
          <w:i/>
        </w:rPr>
      </w:pPr>
      <w:r w:rsidRPr="00E730B3">
        <w:rPr>
          <w:i/>
        </w:rPr>
        <w:t xml:space="preserve">Tab. </w:t>
      </w:r>
      <w:r w:rsidR="0066086C">
        <w:rPr>
          <w:i/>
        </w:rPr>
        <w:t>7</w:t>
      </w:r>
      <w:r w:rsidRPr="00E730B3">
        <w:rPr>
          <w:i/>
        </w:rPr>
        <w:t xml:space="preserve">: Podiel </w:t>
      </w:r>
      <w:r w:rsidR="006869DE">
        <w:rPr>
          <w:i/>
        </w:rPr>
        <w:t>TP</w:t>
      </w:r>
      <w:r>
        <w:rPr>
          <w:i/>
        </w:rPr>
        <w:t xml:space="preserve"> na celkovej alokácii jednotlivých </w:t>
      </w:r>
      <w:r w:rsidR="00665FBE">
        <w:rPr>
          <w:i/>
        </w:rPr>
        <w:t>OP</w:t>
      </w:r>
      <w:r>
        <w:rPr>
          <w:i/>
        </w:rPr>
        <w:t xml:space="preserve"> </w:t>
      </w:r>
      <w:r w:rsidR="00BA616A" w:rsidRPr="00BA616A">
        <w:rPr>
          <w:i/>
        </w:rPr>
        <w:t xml:space="preserve">pri zachovaní súčasnej výšky alokácie </w:t>
      </w:r>
      <w:r w:rsidR="006869DE">
        <w:rPr>
          <w:i/>
        </w:rPr>
        <w:t>TP</w:t>
      </w:r>
      <w:r w:rsidR="00BA616A" w:rsidRPr="00BA616A">
        <w:rPr>
          <w:i/>
        </w:rPr>
        <w:t xml:space="preserve"> v dotknutých OP</w:t>
      </w:r>
      <w:r w:rsidR="00BA616A" w:rsidRPr="00BA616A" w:rsidDel="00BA616A">
        <w:rPr>
          <w:i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701"/>
        <w:gridCol w:w="1841"/>
        <w:gridCol w:w="1561"/>
        <w:gridCol w:w="1559"/>
        <w:gridCol w:w="1487"/>
      </w:tblGrid>
      <w:tr w:rsidR="00D96DD3" w:rsidRPr="00004CB9" w:rsidTr="003E618C">
        <w:trPr>
          <w:trHeight w:val="1545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0B3" w:rsidRPr="00004CB9" w:rsidRDefault="00E730B3" w:rsidP="00AB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OP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69DE" w:rsidRDefault="00E730B3" w:rsidP="00AB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celková alokácia </w:t>
            </w:r>
            <w:r w:rsidRPr="00004C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</w:t>
            </w:r>
            <w:r w:rsidR="00E414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E730B3" w:rsidRPr="00004CB9" w:rsidRDefault="00E41428" w:rsidP="00AB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(v EUR)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69DE" w:rsidRDefault="00E730B3" w:rsidP="00AB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celková alokácia OP po znížení</w:t>
            </w:r>
            <w:r w:rsidR="00E4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E730B3" w:rsidRPr="00004CB9" w:rsidRDefault="00E41428" w:rsidP="00AB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(v EUR)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0B3" w:rsidRPr="00004CB9" w:rsidRDefault="00E730B3" w:rsidP="0094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alokácia TP v rámci OP</w:t>
            </w:r>
            <w:r w:rsidR="00E414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(v EUR)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0B3" w:rsidRPr="00004CB9" w:rsidRDefault="00E730B3" w:rsidP="0068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súčasný podiel TP na</w:t>
            </w:r>
            <w:r w:rsidR="006869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celkovej alokácii OP</w:t>
            </w:r>
            <w:r w:rsidRPr="00004C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(%)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0B3" w:rsidRDefault="00E730B3" w:rsidP="0068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podiel TP na</w:t>
            </w:r>
            <w:r w:rsidR="006869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celkovej alokácii OP po znížení</w:t>
            </w:r>
            <w:r w:rsidRPr="00004C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(%)</w:t>
            </w:r>
          </w:p>
        </w:tc>
      </w:tr>
      <w:tr w:rsidR="00D96DD3" w:rsidRPr="00004CB9" w:rsidTr="00D96DD3">
        <w:trPr>
          <w:trHeight w:val="3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B3" w:rsidRPr="00004CB9" w:rsidRDefault="00E730B3" w:rsidP="0008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OP </w:t>
            </w:r>
            <w:proofErr w:type="spellStart"/>
            <w:r w:rsidRPr="0000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2 266 776 537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2 231 032 482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70 000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000</w:t>
            </w:r>
            <w:proofErr w:type="spellEnd"/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3,088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0B3" w:rsidRPr="00403A8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0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3,138</w:t>
            </w:r>
          </w:p>
        </w:tc>
      </w:tr>
      <w:tr w:rsidR="00D96DD3" w:rsidRPr="00004CB9" w:rsidTr="00D96DD3">
        <w:trPr>
          <w:trHeight w:val="3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B3" w:rsidRPr="00004CB9" w:rsidRDefault="00E730B3" w:rsidP="0008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OP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3 966 645 373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3 949 210 563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87 000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000</w:t>
            </w:r>
            <w:proofErr w:type="spellEnd"/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2,193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0B3" w:rsidRPr="00403A8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03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2,203</w:t>
            </w:r>
          </w:p>
        </w:tc>
      </w:tr>
      <w:tr w:rsidR="00D96DD3" w:rsidRPr="00004CB9" w:rsidTr="00D96DD3">
        <w:trPr>
          <w:trHeight w:val="3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08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OP ĽZ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2 132 808 258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2 132 808 258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78 600 000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3,685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3,685</w:t>
            </w:r>
          </w:p>
        </w:tc>
      </w:tr>
      <w:tr w:rsidR="00D96DD3" w:rsidRPr="00315D6C" w:rsidTr="00D96DD3">
        <w:trPr>
          <w:trHeight w:val="3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D116E7" w:rsidRDefault="00E730B3" w:rsidP="0008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OP KŽP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D116E7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3 137 900 1</w:t>
            </w:r>
            <w:r w:rsidR="003F2CF2"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730B3" w:rsidRPr="00D116E7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3 137 900 1</w:t>
            </w:r>
            <w:r w:rsidR="003F2CF2"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D116E7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77 000 </w:t>
            </w:r>
            <w:proofErr w:type="spellStart"/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000</w:t>
            </w:r>
            <w:proofErr w:type="spellEnd"/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D116E7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2,454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0B3" w:rsidRPr="00D116E7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2,454</w:t>
            </w:r>
          </w:p>
        </w:tc>
      </w:tr>
      <w:tr w:rsidR="00D96DD3" w:rsidRPr="00315D6C" w:rsidTr="00D96DD3">
        <w:trPr>
          <w:trHeight w:val="3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B3" w:rsidRPr="00D116E7" w:rsidRDefault="00E730B3" w:rsidP="0008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IROP*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D116E7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1 754 490 41</w:t>
            </w:r>
            <w:r w:rsidR="003F2CF2"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730B3" w:rsidRPr="00D116E7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1 738 834 12</w:t>
            </w:r>
            <w:r w:rsidR="003F2CF2" w:rsidRPr="00D1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D116E7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62 000 </w:t>
            </w:r>
            <w:proofErr w:type="spellStart"/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000</w:t>
            </w:r>
            <w:proofErr w:type="spellEnd"/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D116E7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3,534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0B3" w:rsidRPr="00D116E7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D11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3,566</w:t>
            </w:r>
          </w:p>
        </w:tc>
      </w:tr>
      <w:tr w:rsidR="00D96DD3" w:rsidRPr="00004CB9" w:rsidTr="00D96DD3">
        <w:trPr>
          <w:trHeight w:val="3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08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OP EVS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278 449 284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278 449 284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11 137 971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3,999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3,999</w:t>
            </w:r>
          </w:p>
        </w:tc>
      </w:tr>
      <w:tr w:rsidR="00D96DD3" w:rsidRPr="00004CB9" w:rsidTr="00D96DD3">
        <w:trPr>
          <w:trHeight w:val="3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Default="00E730B3" w:rsidP="0008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OP TP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159 071 912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159 071 912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159 071 912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  <w:tr w:rsidR="00D96DD3" w:rsidRPr="00004CB9" w:rsidTr="00D96DD3">
        <w:trPr>
          <w:trHeight w:val="3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B3" w:rsidRPr="00004CB9" w:rsidRDefault="00E730B3" w:rsidP="0008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0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13 696 141 889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13 627 306 729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E730B3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730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544 809 883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3,978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0B3" w:rsidRPr="00157169" w:rsidRDefault="00E730B3" w:rsidP="00815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57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3,998</w:t>
            </w:r>
          </w:p>
        </w:tc>
      </w:tr>
    </w:tbl>
    <w:p w:rsidR="00594168" w:rsidRPr="00F16D2A" w:rsidRDefault="00594168" w:rsidP="00F16D2A">
      <w:pPr>
        <w:pStyle w:val="Default"/>
        <w:spacing w:before="120"/>
        <w:jc w:val="both"/>
        <w:rPr>
          <w:b/>
          <w:sz w:val="20"/>
          <w:szCs w:val="20"/>
        </w:rPr>
      </w:pPr>
      <w:r w:rsidRPr="00F16D2A">
        <w:rPr>
          <w:sz w:val="20"/>
          <w:szCs w:val="20"/>
        </w:rPr>
        <w:t xml:space="preserve">* Navrhované zníženie celkovej alokácie sa vzťahuje len na OP </w:t>
      </w:r>
      <w:proofErr w:type="spellStart"/>
      <w:r w:rsidRPr="00F16D2A">
        <w:rPr>
          <w:sz w:val="20"/>
          <w:szCs w:val="20"/>
        </w:rPr>
        <w:t>VaI</w:t>
      </w:r>
      <w:proofErr w:type="spellEnd"/>
      <w:r w:rsidRPr="00F16D2A">
        <w:rPr>
          <w:sz w:val="20"/>
          <w:szCs w:val="20"/>
        </w:rPr>
        <w:t>, OP II a IROP</w:t>
      </w:r>
    </w:p>
    <w:p w:rsidR="00DE038D" w:rsidRDefault="00DE038D" w:rsidP="007D574C">
      <w:pPr>
        <w:pStyle w:val="Default"/>
        <w:jc w:val="both"/>
        <w:rPr>
          <w:b/>
        </w:rPr>
      </w:pPr>
    </w:p>
    <w:p w:rsidR="00E730B3" w:rsidRPr="00E730B3" w:rsidRDefault="006B0CB2" w:rsidP="00E730B3">
      <w:pPr>
        <w:pStyle w:val="Default"/>
        <w:jc w:val="both"/>
        <w:rPr>
          <w:i/>
        </w:rPr>
      </w:pPr>
      <w:r>
        <w:rPr>
          <w:i/>
        </w:rPr>
        <w:br/>
      </w:r>
      <w:r w:rsidR="00E730B3" w:rsidRPr="00E730B3">
        <w:rPr>
          <w:i/>
        </w:rPr>
        <w:t xml:space="preserve">Tab. </w:t>
      </w:r>
      <w:r w:rsidR="001E13AE">
        <w:rPr>
          <w:i/>
        </w:rPr>
        <w:t>8</w:t>
      </w:r>
      <w:r w:rsidR="00E730B3" w:rsidRPr="00E730B3">
        <w:rPr>
          <w:i/>
        </w:rPr>
        <w:t xml:space="preserve">: </w:t>
      </w:r>
      <w:r w:rsidR="00E730B3" w:rsidRPr="00E730B3">
        <w:rPr>
          <w:i/>
          <w:iCs/>
        </w:rPr>
        <w:t xml:space="preserve">Celková alokácia TP z EFRR v rámci kategórie </w:t>
      </w:r>
      <w:r w:rsidR="00CC53D0">
        <w:rPr>
          <w:i/>
          <w:iCs/>
        </w:rPr>
        <w:t>MRR</w:t>
      </w:r>
      <w:r w:rsidR="00E730B3" w:rsidRPr="00E730B3">
        <w:rPr>
          <w:i/>
          <w:i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187"/>
        <w:gridCol w:w="1842"/>
        <w:gridCol w:w="1842"/>
        <w:gridCol w:w="1277"/>
        <w:gridCol w:w="1203"/>
      </w:tblGrid>
      <w:tr w:rsidR="00E730B3" w:rsidRPr="00004CB9" w:rsidTr="003E618C">
        <w:trPr>
          <w:trHeight w:val="1218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0B3" w:rsidRPr="00004CB9" w:rsidRDefault="00E730B3" w:rsidP="00C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Fond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0B3" w:rsidRPr="00004CB9" w:rsidRDefault="00E730B3" w:rsidP="0068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Aktuálna alokácia (MRR</w:t>
            </w:r>
            <w:r w:rsidR="006869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414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v EUR)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0B3" w:rsidRPr="00004CB9" w:rsidRDefault="00E730B3" w:rsidP="00E7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alokácia po znížení</w:t>
            </w:r>
            <w:r w:rsidR="00E4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(v EUR)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69DE" w:rsidRDefault="00E730B3" w:rsidP="00E7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alokácia TP </w:t>
            </w:r>
          </w:p>
          <w:p w:rsidR="00E730B3" w:rsidRPr="00004CB9" w:rsidRDefault="00E41428" w:rsidP="00E7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(v EUR)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0B3" w:rsidRPr="00E730B3" w:rsidRDefault="00E730B3" w:rsidP="00E7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73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Aktuálna výška  TP (%)</w:t>
            </w:r>
          </w:p>
          <w:p w:rsidR="00E730B3" w:rsidRPr="00004CB9" w:rsidRDefault="00E730B3" w:rsidP="00C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0B3" w:rsidRPr="00E730B3" w:rsidRDefault="00E730B3" w:rsidP="00E7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73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Výška TP po úprave (%)</w:t>
            </w:r>
          </w:p>
          <w:p w:rsidR="00E730B3" w:rsidRDefault="00E730B3" w:rsidP="00C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E730B3" w:rsidRPr="00004CB9" w:rsidTr="00D96DD3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B3" w:rsidRPr="00004CB9" w:rsidRDefault="00E730B3" w:rsidP="00C9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EFRR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B3" w:rsidRPr="00004CB9" w:rsidRDefault="00E730B3" w:rsidP="00C9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7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7 098 300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E7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505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E730B3" w:rsidRPr="00004CB9" w:rsidRDefault="00E730B3" w:rsidP="00C9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73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7 029 465 345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0B3" w:rsidRPr="00004CB9" w:rsidRDefault="00E730B3" w:rsidP="00C9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73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447 861 412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B3" w:rsidRPr="00004CB9" w:rsidRDefault="00E730B3" w:rsidP="00C9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6,31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0B3" w:rsidRPr="00403A89" w:rsidRDefault="00E730B3" w:rsidP="00C9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6,37</w:t>
            </w:r>
          </w:p>
        </w:tc>
      </w:tr>
    </w:tbl>
    <w:p w:rsidR="00DE038D" w:rsidRDefault="00DE038D" w:rsidP="00E730B3">
      <w:pPr>
        <w:pStyle w:val="Default"/>
        <w:jc w:val="both"/>
        <w:rPr>
          <w:i/>
          <w:color w:val="auto"/>
        </w:rPr>
      </w:pPr>
    </w:p>
    <w:p w:rsidR="00EF59A1" w:rsidRDefault="00EF59A1" w:rsidP="00E730B3">
      <w:pPr>
        <w:pStyle w:val="Default"/>
        <w:jc w:val="both"/>
        <w:rPr>
          <w:i/>
          <w:color w:val="auto"/>
        </w:rPr>
      </w:pPr>
    </w:p>
    <w:p w:rsidR="00297394" w:rsidRDefault="00297394" w:rsidP="00E730B3">
      <w:pPr>
        <w:pStyle w:val="Default"/>
        <w:jc w:val="both"/>
        <w:rPr>
          <w:i/>
          <w:color w:val="auto"/>
        </w:rPr>
      </w:pPr>
    </w:p>
    <w:p w:rsidR="00185F13" w:rsidRPr="0068737A" w:rsidRDefault="00185F13" w:rsidP="00F16D2A">
      <w:pPr>
        <w:pStyle w:val="Odsekzoznamu"/>
        <w:numPr>
          <w:ilvl w:val="0"/>
          <w:numId w:val="26"/>
        </w:numPr>
        <w:spacing w:after="0"/>
        <w:ind w:left="284" w:hanging="284"/>
        <w:jc w:val="both"/>
        <w:rPr>
          <w:b/>
        </w:rPr>
      </w:pPr>
      <w:r w:rsidRPr="00F16D2A">
        <w:rPr>
          <w:rFonts w:ascii="Times New Roman" w:hAnsi="Times New Roman" w:cs="Times New Roman"/>
          <w:b/>
          <w:sz w:val="24"/>
          <w:szCs w:val="24"/>
        </w:rPr>
        <w:lastRenderedPageBreak/>
        <w:t>Dopad na alokácie</w:t>
      </w:r>
      <w:r w:rsidR="006B0CB2">
        <w:rPr>
          <w:rFonts w:ascii="Times New Roman" w:hAnsi="Times New Roman" w:cs="Times New Roman"/>
          <w:b/>
          <w:sz w:val="24"/>
          <w:szCs w:val="24"/>
        </w:rPr>
        <w:t>,</w:t>
      </w:r>
      <w:r w:rsidRPr="00F16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D09" w:rsidRPr="00F16D2A">
        <w:rPr>
          <w:rFonts w:ascii="Times New Roman" w:hAnsi="Times New Roman" w:cs="Times New Roman"/>
          <w:b/>
          <w:sz w:val="24"/>
          <w:szCs w:val="24"/>
        </w:rPr>
        <w:t>týkajúce sa</w:t>
      </w:r>
      <w:r w:rsidRPr="00F16D2A">
        <w:rPr>
          <w:rFonts w:ascii="Times New Roman" w:hAnsi="Times New Roman" w:cs="Times New Roman"/>
          <w:b/>
          <w:sz w:val="24"/>
          <w:szCs w:val="24"/>
        </w:rPr>
        <w:t xml:space="preserve"> cie</w:t>
      </w:r>
      <w:r w:rsidR="00A65D09" w:rsidRPr="00F16D2A">
        <w:rPr>
          <w:rFonts w:ascii="Times New Roman" w:hAnsi="Times New Roman" w:cs="Times New Roman"/>
          <w:b/>
          <w:sz w:val="24"/>
          <w:szCs w:val="24"/>
        </w:rPr>
        <w:t>ľov</w:t>
      </w:r>
      <w:r w:rsidRPr="00F16D2A">
        <w:rPr>
          <w:rFonts w:ascii="Times New Roman" w:hAnsi="Times New Roman" w:cs="Times New Roman"/>
          <w:b/>
          <w:sz w:val="24"/>
          <w:szCs w:val="24"/>
        </w:rPr>
        <w:t xml:space="preserve"> súvisiac</w:t>
      </w:r>
      <w:r w:rsidR="00A65D09" w:rsidRPr="00F16D2A">
        <w:rPr>
          <w:rFonts w:ascii="Times New Roman" w:hAnsi="Times New Roman" w:cs="Times New Roman"/>
          <w:b/>
          <w:sz w:val="24"/>
          <w:szCs w:val="24"/>
        </w:rPr>
        <w:t>ich</w:t>
      </w:r>
      <w:r w:rsidRPr="00F16D2A">
        <w:rPr>
          <w:rFonts w:ascii="Times New Roman" w:hAnsi="Times New Roman" w:cs="Times New Roman"/>
          <w:b/>
          <w:sz w:val="24"/>
          <w:szCs w:val="24"/>
        </w:rPr>
        <w:t xml:space="preserve"> so zmenou klímy</w:t>
      </w:r>
    </w:p>
    <w:p w:rsidR="00D12065" w:rsidRDefault="00D12065" w:rsidP="00E730B3">
      <w:pPr>
        <w:pStyle w:val="Default"/>
        <w:jc w:val="both"/>
      </w:pPr>
    </w:p>
    <w:p w:rsidR="00D12065" w:rsidRDefault="00D12065" w:rsidP="00F16D2A">
      <w:pPr>
        <w:pStyle w:val="Default"/>
        <w:spacing w:line="276" w:lineRule="auto"/>
        <w:jc w:val="both"/>
      </w:pPr>
      <w:r w:rsidRPr="00D12065">
        <w:t xml:space="preserve">Navrhované úpravy majú vplyv aj na alokácie </w:t>
      </w:r>
      <w:r w:rsidR="00A65D09">
        <w:t>týkajúce sa</w:t>
      </w:r>
      <w:r w:rsidRPr="00D12065">
        <w:t xml:space="preserve"> cie</w:t>
      </w:r>
      <w:r w:rsidR="00A65D09">
        <w:t>ľov</w:t>
      </w:r>
      <w:r w:rsidRPr="00D12065">
        <w:t xml:space="preserve"> súvisiac</w:t>
      </w:r>
      <w:r w:rsidR="00A65D09">
        <w:t>ich</w:t>
      </w:r>
      <w:r w:rsidRPr="00D12065">
        <w:t xml:space="preserve"> so zmenou klímy</w:t>
      </w:r>
      <w:r w:rsidR="00A65D09">
        <w:t xml:space="preserve"> </w:t>
      </w:r>
      <w:r w:rsidRPr="00D12065">
        <w:t>z dôvodu, ž</w:t>
      </w:r>
      <w:r>
        <w:t xml:space="preserve">e </w:t>
      </w:r>
      <w:r w:rsidR="00974A07">
        <w:t>predmetom</w:t>
      </w:r>
      <w:r>
        <w:t xml:space="preserve"> </w:t>
      </w:r>
      <w:r w:rsidR="00974A07">
        <w:t>úpravy je</w:t>
      </w:r>
      <w:r w:rsidRPr="00572064">
        <w:t xml:space="preserve"> celková alokácia pre EŠIF, ako aj z dôvodu úpravy alokácie TC6 a TC7 v rámci </w:t>
      </w:r>
      <w:r w:rsidR="0059465B">
        <w:t>prioritných osí</w:t>
      </w:r>
      <w:r w:rsidR="0059465B" w:rsidRPr="00572064">
        <w:t xml:space="preserve"> </w:t>
      </w:r>
      <w:r w:rsidRPr="00572064">
        <w:t>1 a 4 v IROP</w:t>
      </w:r>
      <w:r w:rsidR="002C3701">
        <w:t xml:space="preserve"> (viď tab. 9)</w:t>
      </w:r>
      <w:r w:rsidR="00FB4C3E">
        <w:t xml:space="preserve"> a zároveň aj z dôvodu zosúladenia PD SR so schválenými OP</w:t>
      </w:r>
      <w:r w:rsidRPr="00D12065">
        <w:t>.</w:t>
      </w:r>
      <w:r w:rsidR="002C3701">
        <w:t xml:space="preserve"> </w:t>
      </w:r>
      <w:r w:rsidR="00DC4F65">
        <w:t>Celková alokácia na</w:t>
      </w:r>
      <w:r w:rsidR="0059465B">
        <w:t> </w:t>
      </w:r>
      <w:r w:rsidR="00DC4F65">
        <w:t xml:space="preserve">ciele súvisiace so zmenou klímy sa </w:t>
      </w:r>
      <w:r w:rsidR="00E57DF2" w:rsidRPr="00AB68D4">
        <w:rPr>
          <w:color w:val="auto"/>
        </w:rPr>
        <w:t>zvyšuje</w:t>
      </w:r>
      <w:r w:rsidR="00DC4F65" w:rsidRPr="00AB68D4">
        <w:rPr>
          <w:color w:val="auto"/>
        </w:rPr>
        <w:t xml:space="preserve"> o </w:t>
      </w:r>
      <w:r w:rsidR="00DF7C83" w:rsidRPr="00DF7C83">
        <w:rPr>
          <w:color w:val="auto"/>
        </w:rPr>
        <w:t>40</w:t>
      </w:r>
      <w:r w:rsidR="00DF7C83">
        <w:rPr>
          <w:color w:val="auto"/>
        </w:rPr>
        <w:t> </w:t>
      </w:r>
      <w:r w:rsidR="00DF7C83" w:rsidRPr="00DF7C83">
        <w:rPr>
          <w:color w:val="auto"/>
        </w:rPr>
        <w:t>466</w:t>
      </w:r>
      <w:r w:rsidR="00DF7C83">
        <w:rPr>
          <w:color w:val="auto"/>
        </w:rPr>
        <w:t xml:space="preserve"> </w:t>
      </w:r>
      <w:r w:rsidR="00DF7C83" w:rsidRPr="00DF7C83">
        <w:rPr>
          <w:color w:val="auto"/>
        </w:rPr>
        <w:t>531,8</w:t>
      </w:r>
      <w:r w:rsidR="00DF7C83">
        <w:rPr>
          <w:color w:val="auto"/>
        </w:rPr>
        <w:t xml:space="preserve"> </w:t>
      </w:r>
      <w:r w:rsidR="00DC4F65" w:rsidRPr="00AB68D4">
        <w:rPr>
          <w:color w:val="auto"/>
        </w:rPr>
        <w:t xml:space="preserve">EUR. </w:t>
      </w:r>
      <w:r w:rsidR="002C3701" w:rsidRPr="00AB68D4">
        <w:rPr>
          <w:color w:val="auto"/>
        </w:rPr>
        <w:t xml:space="preserve">Podiel alokácie na ciele súvisiace so zmenou klímy na celkovej alokácii na národnej úrovni sa </w:t>
      </w:r>
      <w:r w:rsidR="00E57DF2" w:rsidRPr="00AB68D4">
        <w:rPr>
          <w:color w:val="auto"/>
        </w:rPr>
        <w:t xml:space="preserve">tak </w:t>
      </w:r>
      <w:r w:rsidR="00DC4F65" w:rsidRPr="00AB68D4">
        <w:rPr>
          <w:color w:val="auto"/>
        </w:rPr>
        <w:t xml:space="preserve">zvyšuje </w:t>
      </w:r>
      <w:r w:rsidR="002C3701" w:rsidRPr="00AB68D4">
        <w:rPr>
          <w:color w:val="auto"/>
        </w:rPr>
        <w:t xml:space="preserve">zo súčasných 22,05 % na </w:t>
      </w:r>
      <w:r w:rsidR="00DC4F65" w:rsidRPr="00AB68D4">
        <w:rPr>
          <w:color w:val="auto"/>
        </w:rPr>
        <w:t>22,</w:t>
      </w:r>
      <w:r w:rsidR="00DF7C83">
        <w:rPr>
          <w:color w:val="auto"/>
        </w:rPr>
        <w:t>37</w:t>
      </w:r>
      <w:r w:rsidR="009C58C5" w:rsidRPr="00AB68D4">
        <w:rPr>
          <w:color w:val="auto"/>
        </w:rPr>
        <w:t xml:space="preserve"> </w:t>
      </w:r>
      <w:r w:rsidR="00DC4F65" w:rsidRPr="00AB68D4">
        <w:rPr>
          <w:color w:val="auto"/>
        </w:rPr>
        <w:t xml:space="preserve">%. </w:t>
      </w:r>
      <w:r w:rsidR="00974A07">
        <w:t>Požiadavka vyplývajúca z</w:t>
      </w:r>
      <w:r w:rsidR="0059465B">
        <w:t> </w:t>
      </w:r>
      <w:r w:rsidR="00974A07">
        <w:t xml:space="preserve">legislatívy EÚ, a to zabezpečiť </w:t>
      </w:r>
      <w:r w:rsidR="006D724D">
        <w:t>viac ako 20 % zdrojov</w:t>
      </w:r>
      <w:r w:rsidR="00974A07">
        <w:t xml:space="preserve"> EÚ </w:t>
      </w:r>
      <w:r w:rsidR="006D724D">
        <w:t xml:space="preserve">z </w:t>
      </w:r>
      <w:r w:rsidR="00974A07">
        <w:t xml:space="preserve">celkovej </w:t>
      </w:r>
      <w:r w:rsidR="00974A07" w:rsidRPr="002C3701">
        <w:t>alokácie na národnej úrovni</w:t>
      </w:r>
      <w:r w:rsidR="00974A07">
        <w:t xml:space="preserve"> </w:t>
      </w:r>
      <w:r w:rsidR="00974A07" w:rsidRPr="002C3701">
        <w:t xml:space="preserve">na </w:t>
      </w:r>
      <w:r w:rsidR="006D724D">
        <w:t>ciele súvisiace so zmenou klímy</w:t>
      </w:r>
      <w:r w:rsidR="0059465B">
        <w:t>,</w:t>
      </w:r>
      <w:r w:rsidR="00974A07">
        <w:t xml:space="preserve"> </w:t>
      </w:r>
      <w:r w:rsidR="00DC4F65">
        <w:t>zostáva teda aj naďalej zachovan</w:t>
      </w:r>
      <w:r w:rsidR="00974A07">
        <w:t>á</w:t>
      </w:r>
      <w:r w:rsidR="002C3701">
        <w:t xml:space="preserve"> (viď tab. 10).</w:t>
      </w:r>
      <w:r w:rsidR="00974A07">
        <w:t xml:space="preserve">  </w:t>
      </w:r>
    </w:p>
    <w:p w:rsidR="002C3701" w:rsidRDefault="002C3701" w:rsidP="00E730B3">
      <w:pPr>
        <w:pStyle w:val="Default"/>
        <w:jc w:val="both"/>
      </w:pPr>
    </w:p>
    <w:p w:rsidR="002C3701" w:rsidRPr="00AB68D4" w:rsidRDefault="002C3701" w:rsidP="00E730B3">
      <w:pPr>
        <w:pStyle w:val="Default"/>
        <w:jc w:val="both"/>
        <w:rPr>
          <w:color w:val="auto"/>
        </w:rPr>
      </w:pPr>
      <w:r w:rsidRPr="00AB68D4">
        <w:rPr>
          <w:i/>
          <w:color w:val="auto"/>
        </w:rPr>
        <w:t>Tab. 9:</w:t>
      </w:r>
      <w:r w:rsidR="003E618C" w:rsidRPr="00AB68D4">
        <w:rPr>
          <w:i/>
          <w:color w:val="auto"/>
        </w:rPr>
        <w:t xml:space="preserve"> </w:t>
      </w:r>
      <w:r w:rsidR="002B60C6" w:rsidRPr="00AB68D4">
        <w:rPr>
          <w:i/>
          <w:color w:val="auto"/>
        </w:rPr>
        <w:t>Ú</w:t>
      </w:r>
      <w:r w:rsidRPr="00AB68D4">
        <w:rPr>
          <w:i/>
          <w:color w:val="auto"/>
        </w:rPr>
        <w:t>prava alokácií na ciele súvisiace so zmenou klímy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2196"/>
      </w:tblGrid>
      <w:tr w:rsidR="00AB68D4" w:rsidRPr="00AB68D4" w:rsidTr="001118CB">
        <w:trPr>
          <w:trHeight w:val="690"/>
        </w:trPr>
        <w:tc>
          <w:tcPr>
            <w:tcW w:w="3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92A82" w:rsidRPr="00AB68D4" w:rsidRDefault="00992A82" w:rsidP="0099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Tematický cieľ</w:t>
            </w:r>
          </w:p>
        </w:tc>
        <w:tc>
          <w:tcPr>
            <w:tcW w:w="1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92A82" w:rsidRPr="00AB68D4" w:rsidRDefault="00992A82" w:rsidP="0099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Celkové oprávnené výdavky týkajúce sa zmeny klímy</w:t>
            </w:r>
          </w:p>
        </w:tc>
      </w:tr>
      <w:tr w:rsidR="006B0CB2" w:rsidRPr="00AB68D4" w:rsidTr="001118CB">
        <w:trPr>
          <w:trHeight w:val="315"/>
        </w:trPr>
        <w:tc>
          <w:tcPr>
            <w:tcW w:w="3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11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 Posilnenie výskumu, techn</w:t>
            </w:r>
            <w:r w:rsidR="00C53F6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olog</w:t>
            </w: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ického rozvoja a inovácií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C83" w:rsidRPr="00DF7C83" w:rsidRDefault="00DF7C83" w:rsidP="00DF7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F7C8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31 865 376,30</w:t>
            </w:r>
          </w:p>
          <w:p w:rsidR="00992A82" w:rsidRPr="00AB68D4" w:rsidRDefault="00992A82" w:rsidP="0099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B0CB2" w:rsidRPr="00AB68D4" w:rsidTr="001118CB">
        <w:trPr>
          <w:trHeight w:val="465"/>
        </w:trPr>
        <w:tc>
          <w:tcPr>
            <w:tcW w:w="3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11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 Zvýšenie konkurencieschopnosti MSP, sektora poľnohospodárstva (v prípade EPFRV) a sektora rybárstva a </w:t>
            </w:r>
            <w:proofErr w:type="spellStart"/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akvakultúry</w:t>
            </w:r>
            <w:proofErr w:type="spellEnd"/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(v prípade ENRF)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DF7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34 320 041,</w:t>
            </w:r>
            <w:r w:rsidR="00DF7C8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B0CB2" w:rsidRPr="00AB68D4" w:rsidTr="001118CB">
        <w:trPr>
          <w:trHeight w:val="315"/>
        </w:trPr>
        <w:tc>
          <w:tcPr>
            <w:tcW w:w="3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11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4. Podpora prechodu na </w:t>
            </w:r>
            <w:proofErr w:type="spellStart"/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nízkouhlíkové</w:t>
            </w:r>
            <w:proofErr w:type="spellEnd"/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hospodárstvo vo všetkých sektoroch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99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1 064 526 672,20</w:t>
            </w:r>
          </w:p>
        </w:tc>
      </w:tr>
      <w:tr w:rsidR="006B0CB2" w:rsidRPr="00AB68D4" w:rsidTr="001118CB">
        <w:trPr>
          <w:trHeight w:val="315"/>
        </w:trPr>
        <w:tc>
          <w:tcPr>
            <w:tcW w:w="3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11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 Podpora prispôsobovania sa zmene klímy, predchádzanie a riadenie rizika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99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1 011 291 062,50</w:t>
            </w:r>
          </w:p>
        </w:tc>
      </w:tr>
      <w:tr w:rsidR="00AB68D4" w:rsidRPr="00AB68D4" w:rsidTr="001118CB">
        <w:trPr>
          <w:trHeight w:val="465"/>
        </w:trPr>
        <w:tc>
          <w:tcPr>
            <w:tcW w:w="3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11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 Zachovanie a ochrana životného prostredia a podpora efektívneho využívania zdrojov</w:t>
            </w:r>
          </w:p>
        </w:tc>
        <w:tc>
          <w:tcPr>
            <w:tcW w:w="1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DF7C83" w:rsidRPr="00DF7C83" w:rsidRDefault="00DF7C83" w:rsidP="00DF7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F7C8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521 077 193,70</w:t>
            </w:r>
          </w:p>
          <w:p w:rsidR="00992A82" w:rsidRPr="00297394" w:rsidRDefault="00992A82" w:rsidP="009C5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B68D4" w:rsidRPr="00AB68D4" w:rsidTr="001118CB">
        <w:trPr>
          <w:trHeight w:val="465"/>
        </w:trPr>
        <w:tc>
          <w:tcPr>
            <w:tcW w:w="3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11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 Podpora udržateľnej dopravy a odstraňovanie prekážok v kľúčových sieťových infraštruktúrach</w:t>
            </w:r>
          </w:p>
        </w:tc>
        <w:tc>
          <w:tcPr>
            <w:tcW w:w="1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DF7C83" w:rsidRPr="00DF7C83" w:rsidRDefault="00DF7C83" w:rsidP="00DF7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F7C8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653 704 177,20</w:t>
            </w:r>
          </w:p>
          <w:p w:rsidR="00992A82" w:rsidRPr="00297394" w:rsidRDefault="00992A82" w:rsidP="0099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B0CB2" w:rsidRPr="00AB68D4" w:rsidTr="001118CB">
        <w:trPr>
          <w:trHeight w:val="315"/>
        </w:trPr>
        <w:tc>
          <w:tcPr>
            <w:tcW w:w="3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11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 Podpora udržateľn</w:t>
            </w:r>
            <w:r w:rsidR="00394E9D"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</w:t>
            </w: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sti a kvality zamestnanosti a mobility pracovnej sily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99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11 691 371,00</w:t>
            </w:r>
          </w:p>
        </w:tc>
      </w:tr>
      <w:tr w:rsidR="006B0CB2" w:rsidRPr="00AB68D4" w:rsidTr="001118CB">
        <w:trPr>
          <w:trHeight w:val="465"/>
        </w:trPr>
        <w:tc>
          <w:tcPr>
            <w:tcW w:w="3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11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9.</w:t>
            </w:r>
            <w:r w:rsidR="001118CB"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Podpora sociálneho začlenenia, boj proti chudobe a akejkoľvek diskriminácii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99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58 829 865,20</w:t>
            </w:r>
          </w:p>
        </w:tc>
      </w:tr>
      <w:tr w:rsidR="006B0CB2" w:rsidRPr="00AB68D4" w:rsidTr="001118CB">
        <w:trPr>
          <w:trHeight w:val="465"/>
        </w:trPr>
        <w:tc>
          <w:tcPr>
            <w:tcW w:w="3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11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 Investovanie do vzdelania, školení a odbornej prípravy, ako aj zručností a celoživotného vzdelávania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82" w:rsidRPr="00AB68D4" w:rsidRDefault="00992A82" w:rsidP="0099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14 224 087,78</w:t>
            </w:r>
          </w:p>
        </w:tc>
      </w:tr>
      <w:tr w:rsidR="006B0CB2" w:rsidRPr="00AB68D4" w:rsidTr="001118CB">
        <w:trPr>
          <w:trHeight w:val="315"/>
        </w:trPr>
        <w:tc>
          <w:tcPr>
            <w:tcW w:w="3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92A82" w:rsidRPr="00AB68D4" w:rsidRDefault="00992A82" w:rsidP="00992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B6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CELKOM: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F7C83" w:rsidRPr="00DF7C83" w:rsidRDefault="00DF7C83" w:rsidP="00DF7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F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3 401 529 847,78</w:t>
            </w:r>
          </w:p>
          <w:p w:rsidR="00992A82" w:rsidRPr="00AB68D4" w:rsidRDefault="00992A82" w:rsidP="0099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k-SK"/>
              </w:rPr>
            </w:pPr>
          </w:p>
        </w:tc>
      </w:tr>
    </w:tbl>
    <w:p w:rsidR="00BD44B6" w:rsidRPr="00AB68D4" w:rsidRDefault="00BD44B6" w:rsidP="00E730B3">
      <w:pPr>
        <w:pStyle w:val="Default"/>
        <w:jc w:val="both"/>
        <w:rPr>
          <w:color w:val="FF0000"/>
        </w:rPr>
      </w:pPr>
    </w:p>
    <w:p w:rsidR="00C127E0" w:rsidRDefault="00C127E0" w:rsidP="00E730B3">
      <w:pPr>
        <w:pStyle w:val="Default"/>
        <w:jc w:val="both"/>
      </w:pPr>
    </w:p>
    <w:p w:rsidR="002C3701" w:rsidRPr="002C3701" w:rsidRDefault="002C3701" w:rsidP="00E730B3">
      <w:pPr>
        <w:pStyle w:val="Default"/>
        <w:jc w:val="both"/>
        <w:rPr>
          <w:i/>
        </w:rPr>
      </w:pPr>
      <w:r w:rsidRPr="002C3701">
        <w:rPr>
          <w:i/>
        </w:rPr>
        <w:t>Tab. 10: Podiel alokácie na ciele súvisiace so zmenou klímy na celkovej alokácii na národnej úrovni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1755"/>
        <w:gridCol w:w="1755"/>
      </w:tblGrid>
      <w:tr w:rsidR="003E618C" w:rsidRPr="00AB68D4" w:rsidTr="003E618C">
        <w:trPr>
          <w:trHeight w:val="465"/>
        </w:trPr>
        <w:tc>
          <w:tcPr>
            <w:tcW w:w="5778" w:type="dxa"/>
            <w:shd w:val="clear" w:color="auto" w:fill="D9D9D9" w:themeFill="background1" w:themeFillShade="D9"/>
            <w:hideMark/>
          </w:tcPr>
          <w:p w:rsidR="002C3701" w:rsidRPr="00AB68D4" w:rsidRDefault="002C3701" w:rsidP="003E61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D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  <w:hideMark/>
          </w:tcPr>
          <w:p w:rsidR="002C3701" w:rsidRPr="00AB68D4" w:rsidRDefault="003E618C" w:rsidP="003E61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D4">
              <w:rPr>
                <w:rFonts w:ascii="Times New Roman" w:hAnsi="Times New Roman"/>
                <w:b/>
              </w:rPr>
              <w:t>P</w:t>
            </w:r>
            <w:r w:rsidR="002C3701" w:rsidRPr="00AB68D4">
              <w:rPr>
                <w:rFonts w:ascii="Times New Roman" w:hAnsi="Times New Roman" w:cs="Times New Roman"/>
                <w:b/>
                <w:sz w:val="24"/>
                <w:szCs w:val="24"/>
              </w:rPr>
              <w:t>ôvodne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  <w:hideMark/>
          </w:tcPr>
          <w:p w:rsidR="002C3701" w:rsidRPr="00AB68D4" w:rsidRDefault="003E618C" w:rsidP="003E61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D4">
              <w:rPr>
                <w:rFonts w:ascii="Times New Roman" w:hAnsi="Times New Roman"/>
                <w:b/>
              </w:rPr>
              <w:t>P</w:t>
            </w:r>
            <w:r w:rsidR="002C3701" w:rsidRPr="00AB68D4">
              <w:rPr>
                <w:rFonts w:ascii="Times New Roman" w:hAnsi="Times New Roman" w:cs="Times New Roman"/>
                <w:b/>
                <w:sz w:val="24"/>
                <w:szCs w:val="24"/>
              </w:rPr>
              <w:t>o úpravách</w:t>
            </w:r>
          </w:p>
        </w:tc>
      </w:tr>
      <w:tr w:rsidR="002C3701" w:rsidRPr="00AB68D4" w:rsidTr="003E618C">
        <w:trPr>
          <w:trHeight w:val="450"/>
        </w:trPr>
        <w:tc>
          <w:tcPr>
            <w:tcW w:w="5778" w:type="dxa"/>
            <w:vAlign w:val="center"/>
            <w:hideMark/>
          </w:tcPr>
          <w:p w:rsidR="002C3701" w:rsidRPr="00AB68D4" w:rsidRDefault="002C3701" w:rsidP="002C3701">
            <w:pPr>
              <w:pStyle w:val="Default"/>
              <w:rPr>
                <w:color w:val="auto"/>
              </w:rPr>
            </w:pPr>
            <w:r w:rsidRPr="00AB68D4">
              <w:rPr>
                <w:color w:val="auto"/>
              </w:rPr>
              <w:t>Podiel alokácie na ciele súvisiace so zmenou klímy na celkovej alokácii na národnej úrovni</w:t>
            </w:r>
          </w:p>
        </w:tc>
        <w:tc>
          <w:tcPr>
            <w:tcW w:w="1755" w:type="dxa"/>
            <w:noWrap/>
            <w:vAlign w:val="center"/>
            <w:hideMark/>
          </w:tcPr>
          <w:p w:rsidR="002C3701" w:rsidRPr="00AB68D4" w:rsidRDefault="002C3701" w:rsidP="002C3701">
            <w:pPr>
              <w:pStyle w:val="Default"/>
              <w:jc w:val="center"/>
              <w:rPr>
                <w:b/>
                <w:color w:val="auto"/>
              </w:rPr>
            </w:pPr>
            <w:r w:rsidRPr="00AB68D4">
              <w:rPr>
                <w:b/>
                <w:color w:val="auto"/>
              </w:rPr>
              <w:t>22,05</w:t>
            </w:r>
            <w:r w:rsidR="003E618C" w:rsidRPr="00AB68D4">
              <w:rPr>
                <w:b/>
                <w:color w:val="auto"/>
              </w:rPr>
              <w:t xml:space="preserve"> %</w:t>
            </w:r>
          </w:p>
        </w:tc>
        <w:tc>
          <w:tcPr>
            <w:tcW w:w="1755" w:type="dxa"/>
            <w:noWrap/>
            <w:vAlign w:val="center"/>
            <w:hideMark/>
          </w:tcPr>
          <w:p w:rsidR="002C3701" w:rsidRPr="00AB68D4" w:rsidRDefault="00DC4F65" w:rsidP="00DF7C83">
            <w:pPr>
              <w:pStyle w:val="Default"/>
              <w:jc w:val="center"/>
              <w:rPr>
                <w:b/>
                <w:color w:val="auto"/>
              </w:rPr>
            </w:pPr>
            <w:r w:rsidRPr="00AB68D4">
              <w:rPr>
                <w:b/>
                <w:color w:val="auto"/>
              </w:rPr>
              <w:t>22,</w:t>
            </w:r>
            <w:r w:rsidR="00DF7C83">
              <w:rPr>
                <w:b/>
                <w:color w:val="auto"/>
              </w:rPr>
              <w:t>37</w:t>
            </w:r>
            <w:r w:rsidR="003E618C" w:rsidRPr="00AB68D4">
              <w:rPr>
                <w:b/>
                <w:color w:val="auto"/>
              </w:rPr>
              <w:t xml:space="preserve"> %</w:t>
            </w:r>
          </w:p>
        </w:tc>
      </w:tr>
    </w:tbl>
    <w:p w:rsidR="00185F13" w:rsidRPr="00AB68D4" w:rsidRDefault="00185F13" w:rsidP="00E730B3">
      <w:pPr>
        <w:pStyle w:val="Default"/>
        <w:jc w:val="both"/>
        <w:rPr>
          <w:b/>
          <w:color w:val="auto"/>
        </w:rPr>
      </w:pPr>
    </w:p>
    <w:p w:rsidR="00E11A7C" w:rsidRDefault="00E11A7C" w:rsidP="00E730B3">
      <w:pPr>
        <w:pStyle w:val="Default"/>
        <w:jc w:val="both"/>
        <w:rPr>
          <w:b/>
          <w:color w:val="auto"/>
          <w:u w:val="single"/>
        </w:rPr>
      </w:pPr>
      <w:bookmarkStart w:id="1" w:name="_GoBack"/>
      <w:bookmarkEnd w:id="1"/>
      <w:r w:rsidRPr="00E11A7C">
        <w:rPr>
          <w:b/>
          <w:color w:val="auto"/>
          <w:u w:val="single"/>
        </w:rPr>
        <w:t xml:space="preserve">Revízia </w:t>
      </w:r>
      <w:r w:rsidR="007917BC">
        <w:rPr>
          <w:b/>
          <w:color w:val="auto"/>
          <w:u w:val="single"/>
        </w:rPr>
        <w:t>konkrétnych častí PD SR</w:t>
      </w:r>
    </w:p>
    <w:p w:rsidR="00E11A7C" w:rsidRDefault="00E11A7C" w:rsidP="00E730B3">
      <w:pPr>
        <w:pStyle w:val="Default"/>
        <w:jc w:val="both"/>
        <w:rPr>
          <w:b/>
          <w:color w:val="auto"/>
          <w:u w:val="single"/>
        </w:rPr>
      </w:pPr>
    </w:p>
    <w:p w:rsidR="00E11A7C" w:rsidRDefault="00E11A7C" w:rsidP="00F16D2A">
      <w:pPr>
        <w:pStyle w:val="Default"/>
        <w:spacing w:line="276" w:lineRule="auto"/>
        <w:jc w:val="both"/>
        <w:rPr>
          <w:color w:val="auto"/>
        </w:rPr>
      </w:pPr>
      <w:r w:rsidRPr="00E11A7C">
        <w:rPr>
          <w:color w:val="auto"/>
        </w:rPr>
        <w:t>V nadväznosti na vykonané technické úpravy</w:t>
      </w:r>
      <w:r>
        <w:rPr>
          <w:color w:val="auto"/>
        </w:rPr>
        <w:t xml:space="preserve"> balíka SR na politiku súdržnosti boli revidované jednotlivé dotknuté časti PD SR, a to konkrétne </w:t>
      </w:r>
      <w:r w:rsidRPr="00DC4F65">
        <w:rPr>
          <w:color w:val="auto"/>
        </w:rPr>
        <w:t xml:space="preserve">tabuľka </w:t>
      </w:r>
      <w:r w:rsidR="00185F13" w:rsidRPr="00DC4F65">
        <w:rPr>
          <w:color w:val="auto"/>
        </w:rPr>
        <w:t>1,</w:t>
      </w:r>
      <w:r w:rsidR="00185F13">
        <w:rPr>
          <w:color w:val="auto"/>
        </w:rPr>
        <w:t xml:space="preserve"> </w:t>
      </w:r>
      <w:r>
        <w:rPr>
          <w:color w:val="auto"/>
        </w:rPr>
        <w:t xml:space="preserve">2, 4 a 5 v časti 1.4, tabuľka 6 </w:t>
      </w:r>
      <w:r>
        <w:rPr>
          <w:color w:val="auto"/>
        </w:rPr>
        <w:lastRenderedPageBreak/>
        <w:t>v časti 1.6 a tabuľka 11 v časti 1.10 PD SR.</w:t>
      </w:r>
      <w:r w:rsidR="00EF726A">
        <w:rPr>
          <w:color w:val="auto"/>
        </w:rPr>
        <w:t xml:space="preserve"> Zároveň bola v časti 3.1.1 </w:t>
      </w:r>
      <w:r w:rsidR="00F11CDD">
        <w:rPr>
          <w:color w:val="auto"/>
        </w:rPr>
        <w:t xml:space="preserve">PD SR </w:t>
      </w:r>
      <w:r w:rsidR="00EF726A">
        <w:rPr>
          <w:color w:val="auto"/>
        </w:rPr>
        <w:t>upravená indikatívna suma pre alokáciu z EFRR pre</w:t>
      </w:r>
      <w:r w:rsidR="006D724D">
        <w:rPr>
          <w:color w:val="auto"/>
        </w:rPr>
        <w:t xml:space="preserve"> Miestny rozvoj vedený komunitou (</w:t>
      </w:r>
      <w:r w:rsidR="00EF726A">
        <w:rPr>
          <w:color w:val="auto"/>
        </w:rPr>
        <w:t>CLLD</w:t>
      </w:r>
      <w:r w:rsidR="006D724D">
        <w:rPr>
          <w:color w:val="auto"/>
        </w:rPr>
        <w:t>)</w:t>
      </w:r>
      <w:r w:rsidR="00EF726A">
        <w:rPr>
          <w:color w:val="auto"/>
        </w:rPr>
        <w:t xml:space="preserve"> v rámci IROP.</w:t>
      </w:r>
    </w:p>
    <w:p w:rsidR="00F34060" w:rsidRDefault="00F34060" w:rsidP="00F16D2A">
      <w:pPr>
        <w:pStyle w:val="Default"/>
        <w:spacing w:line="276" w:lineRule="auto"/>
        <w:jc w:val="both"/>
        <w:rPr>
          <w:color w:val="auto"/>
        </w:rPr>
      </w:pPr>
    </w:p>
    <w:p w:rsidR="001E13AE" w:rsidRPr="001E13AE" w:rsidRDefault="001E13AE" w:rsidP="00D96DD3">
      <w:pPr>
        <w:pStyle w:val="Default"/>
        <w:spacing w:after="240"/>
        <w:jc w:val="both"/>
        <w:rPr>
          <w:b/>
          <w:color w:val="auto"/>
          <w:u w:val="single"/>
        </w:rPr>
      </w:pPr>
      <w:r>
        <w:rPr>
          <w:b/>
          <w:color w:val="auto"/>
          <w:u w:val="single"/>
        </w:rPr>
        <w:t>Z</w:t>
      </w:r>
      <w:r w:rsidRPr="001E13AE">
        <w:rPr>
          <w:b/>
          <w:color w:val="auto"/>
          <w:u w:val="single"/>
        </w:rPr>
        <w:t xml:space="preserve">dôvodnenie výberu </w:t>
      </w:r>
      <w:r w:rsidR="00665FBE">
        <w:rPr>
          <w:b/>
          <w:color w:val="auto"/>
          <w:u w:val="single"/>
        </w:rPr>
        <w:t>OP</w:t>
      </w:r>
      <w:r w:rsidRPr="001E13AE">
        <w:rPr>
          <w:b/>
          <w:color w:val="auto"/>
          <w:u w:val="single"/>
        </w:rPr>
        <w:t xml:space="preserve"> a prioritných osí</w:t>
      </w:r>
    </w:p>
    <w:p w:rsidR="00373885" w:rsidRDefault="00373885" w:rsidP="00F16D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ýchodiskový návrh technickej úpravy finančnej obálky SR 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 politiku súdržnosti pripravil </w:t>
      </w:r>
      <w:r w:rsidR="003C7AC9">
        <w:rPr>
          <w:rFonts w:ascii="Times New Roman" w:hAnsi="Times New Roman" w:cs="Times New Roman"/>
          <w:bCs/>
          <w:sz w:val="24"/>
          <w:szCs w:val="24"/>
        </w:rPr>
        <w:t>ÚPPVII</w:t>
      </w:r>
      <w:r w:rsidR="00594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a to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5BEF">
        <w:rPr>
          <w:rFonts w:ascii="Times New Roman" w:hAnsi="Times New Roman" w:cs="Times New Roman"/>
          <w:bCs/>
          <w:sz w:val="24"/>
          <w:szCs w:val="24"/>
        </w:rPr>
        <w:t>spôsobom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, aby zníženie zdrojov EÚ bolo pre SR čo najmenej citeľné a nespôsobovalo </w:t>
      </w:r>
      <w:r w:rsidR="00C95BEF">
        <w:rPr>
          <w:rFonts w:ascii="Times New Roman" w:hAnsi="Times New Roman" w:cs="Times New Roman"/>
          <w:bCs/>
          <w:sz w:val="24"/>
          <w:szCs w:val="24"/>
        </w:rPr>
        <w:t xml:space="preserve">dodatočné </w:t>
      </w:r>
      <w:r w:rsidRPr="00373885">
        <w:rPr>
          <w:rFonts w:ascii="Times New Roman" w:hAnsi="Times New Roman" w:cs="Times New Roman"/>
          <w:bCs/>
          <w:sz w:val="24"/>
          <w:szCs w:val="24"/>
        </w:rPr>
        <w:t>problémy pri</w:t>
      </w:r>
      <w:r w:rsidR="0059465B">
        <w:rPr>
          <w:rFonts w:ascii="Times New Roman" w:hAnsi="Times New Roman" w:cs="Times New Roman"/>
          <w:bCs/>
          <w:sz w:val="24"/>
          <w:szCs w:val="24"/>
        </w:rPr>
        <w:t> 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napĺňaní hlavných stanovených cieľov dotknutých </w:t>
      </w:r>
      <w:r w:rsidR="00665FBE">
        <w:rPr>
          <w:rFonts w:ascii="Times New Roman" w:hAnsi="Times New Roman" w:cs="Times New Roman"/>
          <w:bCs/>
          <w:sz w:val="24"/>
          <w:szCs w:val="24"/>
        </w:rPr>
        <w:t>OP</w:t>
      </w:r>
      <w:r w:rsidR="00C95BEF">
        <w:rPr>
          <w:rFonts w:ascii="Times New Roman" w:hAnsi="Times New Roman" w:cs="Times New Roman"/>
          <w:bCs/>
          <w:sz w:val="24"/>
          <w:szCs w:val="24"/>
        </w:rPr>
        <w:t xml:space="preserve"> na obdobie 2014 </w:t>
      </w:r>
      <w:r w:rsidR="0059465B" w:rsidRPr="002930C9">
        <w:rPr>
          <w:rFonts w:ascii="Times New Roman" w:hAnsi="Times New Roman" w:cs="Times New Roman"/>
          <w:sz w:val="24"/>
          <w:szCs w:val="24"/>
        </w:rPr>
        <w:t>–</w:t>
      </w:r>
      <w:r w:rsidR="00C95BEF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73885">
        <w:rPr>
          <w:rFonts w:ascii="Times New Roman" w:hAnsi="Times New Roman" w:cs="Times New Roman"/>
          <w:bCs/>
          <w:sz w:val="24"/>
          <w:szCs w:val="24"/>
        </w:rPr>
        <w:t>Z</w:t>
      </w:r>
      <w:r w:rsidR="0059465B">
        <w:rPr>
          <w:rFonts w:ascii="Times New Roman" w:hAnsi="Times New Roman" w:cs="Times New Roman"/>
          <w:bCs/>
          <w:sz w:val="24"/>
          <w:szCs w:val="24"/>
        </w:rPr>
        <w:t xml:space="preserve"> tohto </w:t>
      </w:r>
      <w:r w:rsidRPr="00373885">
        <w:rPr>
          <w:rFonts w:ascii="Times New Roman" w:hAnsi="Times New Roman" w:cs="Times New Roman"/>
          <w:bCs/>
          <w:sz w:val="24"/>
          <w:szCs w:val="24"/>
        </w:rPr>
        <w:t>dôvod</w:t>
      </w:r>
      <w:r w:rsidR="0059465B">
        <w:rPr>
          <w:rFonts w:ascii="Times New Roman" w:hAnsi="Times New Roman" w:cs="Times New Roman"/>
          <w:bCs/>
          <w:sz w:val="24"/>
          <w:szCs w:val="24"/>
        </w:rPr>
        <w:t>u</w:t>
      </w:r>
      <w:r w:rsidR="00C95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5BEF" w:rsidRPr="00373885">
        <w:rPr>
          <w:rFonts w:ascii="Times New Roman" w:hAnsi="Times New Roman" w:cs="Times New Roman"/>
          <w:bCs/>
          <w:sz w:val="24"/>
          <w:szCs w:val="24"/>
        </w:rPr>
        <w:t xml:space="preserve">navrhol </w:t>
      </w:r>
      <w:r w:rsidR="003C7AC9" w:rsidRPr="003C7AC9">
        <w:rPr>
          <w:rFonts w:ascii="Times New Roman" w:hAnsi="Times New Roman" w:cs="Times New Roman"/>
          <w:bCs/>
          <w:sz w:val="24"/>
          <w:szCs w:val="24"/>
        </w:rPr>
        <w:t>ÚPPVII</w:t>
      </w:r>
      <w:r w:rsidR="00594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73885">
        <w:rPr>
          <w:rFonts w:ascii="Times New Roman" w:hAnsi="Times New Roman" w:cs="Times New Roman"/>
          <w:bCs/>
          <w:sz w:val="24"/>
          <w:szCs w:val="24"/>
        </w:rPr>
        <w:t>v súlade s</w:t>
      </w:r>
      <w:r w:rsidR="003C7AC9">
        <w:rPr>
          <w:rFonts w:ascii="Times New Roman" w:hAnsi="Times New Roman" w:cs="Times New Roman"/>
          <w:bCs/>
          <w:sz w:val="24"/>
          <w:szCs w:val="24"/>
        </w:rPr>
        <w:t> 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oznámením </w:t>
      </w:r>
      <w:r>
        <w:rPr>
          <w:rFonts w:ascii="Times New Roman" w:hAnsi="Times New Roman" w:cs="Times New Roman"/>
          <w:bCs/>
          <w:sz w:val="24"/>
          <w:szCs w:val="24"/>
        </w:rPr>
        <w:t>EK</w:t>
      </w:r>
      <w:r w:rsidR="0059465B">
        <w:rPr>
          <w:rFonts w:ascii="Times New Roman" w:hAnsi="Times New Roman" w:cs="Times New Roman"/>
          <w:bCs/>
          <w:sz w:val="24"/>
          <w:szCs w:val="24"/>
        </w:rPr>
        <w:t>,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4E9D" w:rsidRPr="00373885">
        <w:rPr>
          <w:rFonts w:ascii="Times New Roman" w:hAnsi="Times New Roman" w:cs="Times New Roman"/>
          <w:bCs/>
          <w:sz w:val="24"/>
          <w:szCs w:val="24"/>
        </w:rPr>
        <w:t xml:space="preserve">uplatniť 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zníženie najmä na úkor tých prioritných osí </w:t>
      </w:r>
      <w:r w:rsidR="00665FBE">
        <w:rPr>
          <w:rFonts w:ascii="Times New Roman" w:hAnsi="Times New Roman" w:cs="Times New Roman"/>
          <w:bCs/>
          <w:sz w:val="24"/>
          <w:szCs w:val="24"/>
        </w:rPr>
        <w:t>OP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, ktoré doteraz disponovali najväčšou výškou alokácie zdrojov EÚ, alebo pri ktorých boli identifikované možné riziká ovplyvňujúce ich implementáciu v programovom období 2014 </w:t>
      </w:r>
      <w:r w:rsidR="0059465B" w:rsidRPr="002930C9">
        <w:rPr>
          <w:rFonts w:ascii="Times New Roman" w:hAnsi="Times New Roman" w:cs="Times New Roman"/>
          <w:sz w:val="24"/>
          <w:szCs w:val="24"/>
        </w:rPr>
        <w:t>–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 2020. Tento návrh bol </w:t>
      </w:r>
      <w:r w:rsidR="00A533CC">
        <w:rPr>
          <w:rFonts w:ascii="Times New Roman" w:hAnsi="Times New Roman" w:cs="Times New Roman"/>
          <w:bCs/>
          <w:sz w:val="24"/>
          <w:szCs w:val="24"/>
        </w:rPr>
        <w:t xml:space="preserve">v podmienkach SR </w:t>
      </w:r>
      <w:r>
        <w:rPr>
          <w:rFonts w:ascii="Times New Roman" w:hAnsi="Times New Roman" w:cs="Times New Roman"/>
          <w:bCs/>
          <w:sz w:val="24"/>
          <w:szCs w:val="24"/>
        </w:rPr>
        <w:t>pripravený v úzkej spolupráci a</w:t>
      </w:r>
      <w:r w:rsidR="003C7AC9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komunikácii 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so zástupcami dotknutých </w:t>
      </w:r>
      <w:r w:rsidR="00665FBE">
        <w:rPr>
          <w:rFonts w:ascii="Times New Roman" w:hAnsi="Times New Roman" w:cs="Times New Roman"/>
          <w:bCs/>
          <w:sz w:val="24"/>
          <w:szCs w:val="24"/>
        </w:rPr>
        <w:t>OP</w:t>
      </w:r>
      <w:r w:rsidR="00F34060">
        <w:rPr>
          <w:rFonts w:ascii="Times New Roman" w:hAnsi="Times New Roman" w:cs="Times New Roman"/>
          <w:bCs/>
          <w:sz w:val="24"/>
          <w:szCs w:val="24"/>
        </w:rPr>
        <w:t xml:space="preserve"> na roky </w:t>
      </w:r>
      <w:r w:rsidR="00A533CC">
        <w:rPr>
          <w:rFonts w:ascii="Times New Roman" w:hAnsi="Times New Roman" w:cs="Times New Roman"/>
          <w:bCs/>
          <w:sz w:val="24"/>
          <w:szCs w:val="24"/>
        </w:rPr>
        <w:br/>
      </w:r>
      <w:r w:rsidR="00F34060">
        <w:rPr>
          <w:rFonts w:ascii="Times New Roman" w:hAnsi="Times New Roman" w:cs="Times New Roman"/>
          <w:bCs/>
          <w:sz w:val="24"/>
          <w:szCs w:val="24"/>
        </w:rPr>
        <w:t>2014 – 2020 a EK</w:t>
      </w:r>
      <w:r w:rsidRPr="0037388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B5D73" w:rsidRPr="00373885" w:rsidRDefault="001B5D73" w:rsidP="00F16D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0F42" w:rsidRDefault="002E0F42" w:rsidP="00F16D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F42">
        <w:rPr>
          <w:rFonts w:ascii="Times New Roman" w:hAnsi="Times New Roman" w:cs="Times New Roman"/>
          <w:bCs/>
          <w:sz w:val="24"/>
          <w:szCs w:val="24"/>
        </w:rPr>
        <w:t xml:space="preserve">Dopad zníženia na celkovú alokáciu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2E0F42">
        <w:rPr>
          <w:rFonts w:ascii="Times New Roman" w:hAnsi="Times New Roman" w:cs="Times New Roman"/>
          <w:bCs/>
          <w:sz w:val="24"/>
          <w:szCs w:val="24"/>
        </w:rPr>
        <w:t xml:space="preserve">otknutých OP je relatívne nízky. Toto zníženie alokácie predstavuje v pomere k celkovej alokácii príslušného OP hodnoty </w:t>
      </w:r>
      <w:r>
        <w:rPr>
          <w:rFonts w:ascii="Times New Roman" w:hAnsi="Times New Roman" w:cs="Times New Roman"/>
          <w:bCs/>
          <w:sz w:val="24"/>
          <w:szCs w:val="24"/>
        </w:rPr>
        <w:t xml:space="preserve">1,58 % pri OP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0,44 % pri OP II a 0,89 </w:t>
      </w:r>
      <w:r w:rsidR="00C95BEF">
        <w:rPr>
          <w:rFonts w:ascii="Times New Roman" w:hAnsi="Times New Roman" w:cs="Times New Roman"/>
          <w:bCs/>
          <w:sz w:val="24"/>
          <w:szCs w:val="24"/>
        </w:rPr>
        <w:t xml:space="preserve">% </w:t>
      </w:r>
      <w:r>
        <w:rPr>
          <w:rFonts w:ascii="Times New Roman" w:hAnsi="Times New Roman" w:cs="Times New Roman"/>
          <w:bCs/>
          <w:sz w:val="24"/>
          <w:szCs w:val="24"/>
        </w:rPr>
        <w:t>pri IROP.</w:t>
      </w:r>
      <w:r w:rsidR="006730CA" w:rsidRPr="006730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5D73" w:rsidRDefault="001B5D73" w:rsidP="00F16D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58C5" w:rsidRDefault="009C58C5" w:rsidP="009C58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Pokiaľ ide o implementačné riziká, v rámci dotknutých OP boli identifikované najmä nasledovné: </w:t>
      </w:r>
    </w:p>
    <w:p w:rsidR="009C58C5" w:rsidRDefault="009C58C5" w:rsidP="009C58C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C58C5" w:rsidRPr="007412C4" w:rsidRDefault="007A3DEB" w:rsidP="007412C4">
      <w:pPr>
        <w:pStyle w:val="Odsekzoznamu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4C3E">
        <w:rPr>
          <w:rFonts w:ascii="Times New Roman" w:hAnsi="Times New Roman" w:cs="Calibri"/>
          <w:sz w:val="24"/>
          <w:szCs w:val="24"/>
        </w:rPr>
        <w:t xml:space="preserve">Kritériom pre uplatnenie zníženia alokácie v rámci OP </w:t>
      </w:r>
      <w:proofErr w:type="spellStart"/>
      <w:r w:rsidRPr="00FB4C3E">
        <w:rPr>
          <w:rFonts w:ascii="Times New Roman" w:hAnsi="Times New Roman" w:cs="Calibri"/>
          <w:sz w:val="24"/>
          <w:szCs w:val="24"/>
        </w:rPr>
        <w:t>VaI</w:t>
      </w:r>
      <w:proofErr w:type="spellEnd"/>
      <w:r w:rsidRPr="00FB4C3E">
        <w:rPr>
          <w:rFonts w:ascii="Times New Roman" w:hAnsi="Times New Roman" w:cs="Calibri"/>
          <w:sz w:val="24"/>
          <w:szCs w:val="24"/>
        </w:rPr>
        <w:t xml:space="preserve"> bola aktuálna situácia v oblasti implementácie, potenciálne riziko pozastavenia priebežných platieb z dôvodu nesplnenia tematickej ex </w:t>
      </w:r>
      <w:proofErr w:type="spellStart"/>
      <w:r w:rsidRPr="00FB4C3E">
        <w:rPr>
          <w:rFonts w:ascii="Times New Roman" w:hAnsi="Times New Roman" w:cs="Calibri"/>
          <w:sz w:val="24"/>
          <w:szCs w:val="24"/>
        </w:rPr>
        <w:t>ante</w:t>
      </w:r>
      <w:proofErr w:type="spellEnd"/>
      <w:r w:rsidRPr="00FB4C3E">
        <w:rPr>
          <w:rFonts w:ascii="Times New Roman" w:hAnsi="Times New Roman" w:cs="Calibri"/>
          <w:sz w:val="24"/>
          <w:szCs w:val="24"/>
        </w:rPr>
        <w:t xml:space="preserve"> </w:t>
      </w:r>
      <w:proofErr w:type="spellStart"/>
      <w:r w:rsidRPr="00FB4C3E">
        <w:rPr>
          <w:rFonts w:ascii="Times New Roman" w:hAnsi="Times New Roman" w:cs="Calibri"/>
          <w:sz w:val="24"/>
          <w:szCs w:val="24"/>
        </w:rPr>
        <w:t>kondicionality</w:t>
      </w:r>
      <w:proofErr w:type="spellEnd"/>
      <w:r w:rsidRPr="00FB4C3E">
        <w:rPr>
          <w:rFonts w:ascii="Times New Roman" w:hAnsi="Times New Roman" w:cs="Calibri"/>
          <w:sz w:val="24"/>
          <w:szCs w:val="24"/>
        </w:rPr>
        <w:t xml:space="preserve"> 1.1 Výskum a inovácie a 1.2 Výskumná infraštruktúra a implementačné riziko vo vzťahu k nesplneniu finančných záväzkov rokov 2014 a 2015 a tým plneniu pravidla n+3. Taktiež boli zohľadnené podmienky, aby sa zníženie dotýkalo čo najmenšieho počtu prioritných osí a špecifických cieľov tak, aby si to vyžadovalo čo najnižšiu administratívnu záťaž, a zároveň, aby boli dodržané stanovené minimálne podiely v rámci tematickej koncentrácie, alokácie na kategóriu menej rozvinutých regiónov, ako aj alokácie na ciele súvisiace so zmenou klímy a podiely národného spolufinancovania.</w:t>
      </w:r>
      <w:r w:rsidR="00B8456C">
        <w:rPr>
          <w:rFonts w:ascii="Times New Roman" w:hAnsi="Times New Roman" w:cs="Calibri"/>
          <w:sz w:val="24"/>
          <w:szCs w:val="24"/>
        </w:rPr>
        <w:t xml:space="preserve"> </w:t>
      </w:r>
      <w:r w:rsidR="009C58C5" w:rsidRPr="007412C4">
        <w:rPr>
          <w:rFonts w:ascii="Times New Roman" w:hAnsi="Times New Roman"/>
          <w:color w:val="000000"/>
          <w:sz w:val="24"/>
          <w:szCs w:val="24"/>
        </w:rPr>
        <w:t>Za účelom splnenia EAK bol aktualizovaný štatút Rady vlády Slovenskej republiky pre vedu, techniku a</w:t>
      </w:r>
      <w:r w:rsidR="00A533CC">
        <w:rPr>
          <w:rFonts w:ascii="Times New Roman" w:hAnsi="Times New Roman"/>
          <w:color w:val="000000"/>
          <w:sz w:val="24"/>
          <w:szCs w:val="24"/>
        </w:rPr>
        <w:t> </w:t>
      </w:r>
      <w:r w:rsidR="009C58C5" w:rsidRPr="007412C4">
        <w:rPr>
          <w:rFonts w:ascii="Times New Roman" w:hAnsi="Times New Roman"/>
          <w:color w:val="000000"/>
          <w:sz w:val="24"/>
          <w:szCs w:val="24"/>
        </w:rPr>
        <w:t>inovácie</w:t>
      </w:r>
      <w:r w:rsidR="00A533CC">
        <w:rPr>
          <w:rFonts w:ascii="Times New Roman" w:hAnsi="Times New Roman"/>
          <w:color w:val="000000"/>
          <w:sz w:val="24"/>
          <w:szCs w:val="24"/>
        </w:rPr>
        <w:t>,</w:t>
      </w:r>
      <w:r w:rsidR="009C58C5" w:rsidRPr="007412C4">
        <w:rPr>
          <w:rFonts w:ascii="Times New Roman" w:hAnsi="Times New Roman"/>
          <w:color w:val="000000"/>
          <w:sz w:val="24"/>
          <w:szCs w:val="24"/>
        </w:rPr>
        <w:t xml:space="preserve"> s</w:t>
      </w:r>
      <w:r w:rsidR="007412C4">
        <w:rPr>
          <w:rFonts w:ascii="Times New Roman" w:hAnsi="Times New Roman"/>
          <w:color w:val="000000"/>
          <w:sz w:val="24"/>
          <w:szCs w:val="24"/>
        </w:rPr>
        <w:t> </w:t>
      </w:r>
      <w:r w:rsidR="009C58C5" w:rsidRPr="007412C4">
        <w:rPr>
          <w:rFonts w:ascii="Times New Roman" w:hAnsi="Times New Roman"/>
          <w:color w:val="000000"/>
          <w:sz w:val="24"/>
          <w:szCs w:val="24"/>
        </w:rPr>
        <w:t>cieľom zavedenia  integrovaného inštitucionálneho  riadenia verejnej správy v oblasti výskumu a inovácií, ako nástroja na  prekonanie jej fragmentácie a nízkej účinnosti. Zároveň bola zriadená Stála komisia Rady vlády SR pre vedu, techniku a inovácie pre</w:t>
      </w:r>
      <w:r w:rsidR="007412C4">
        <w:rPr>
          <w:rFonts w:ascii="Times New Roman" w:hAnsi="Times New Roman"/>
          <w:color w:val="000000"/>
          <w:sz w:val="24"/>
          <w:szCs w:val="24"/>
        </w:rPr>
        <w:t> </w:t>
      </w:r>
      <w:r w:rsidR="009C58C5" w:rsidRPr="007412C4">
        <w:rPr>
          <w:rFonts w:ascii="Times New Roman" w:hAnsi="Times New Roman"/>
          <w:color w:val="000000"/>
          <w:sz w:val="24"/>
          <w:szCs w:val="24"/>
        </w:rPr>
        <w:t xml:space="preserve">implementáciu Stratégie výskumu a inovácií pre inteligentnú špecializáciu SR (RIS3), ako výkonný orgán Rady </w:t>
      </w:r>
      <w:r w:rsidR="000C2D02">
        <w:rPr>
          <w:rFonts w:ascii="Times New Roman" w:hAnsi="Times New Roman"/>
          <w:color w:val="000000"/>
          <w:sz w:val="24"/>
          <w:szCs w:val="24"/>
        </w:rPr>
        <w:t>vytvorený</w:t>
      </w:r>
      <w:r w:rsidR="009C58C5" w:rsidRPr="007412C4">
        <w:rPr>
          <w:rFonts w:ascii="Times New Roman" w:hAnsi="Times New Roman"/>
          <w:color w:val="000000"/>
          <w:sz w:val="24"/>
          <w:szCs w:val="24"/>
        </w:rPr>
        <w:t xml:space="preserve"> na princípe partnerstva.</w:t>
      </w:r>
      <w:r w:rsidR="009C58C5" w:rsidRPr="007412C4">
        <w:rPr>
          <w:rFonts w:ascii="Times New Roman" w:hAnsi="Times New Roman"/>
          <w:sz w:val="24"/>
          <w:szCs w:val="24"/>
        </w:rPr>
        <w:t xml:space="preserve"> </w:t>
      </w:r>
      <w:r w:rsidR="009C58C5" w:rsidRPr="007412C4">
        <w:rPr>
          <w:rFonts w:ascii="Times New Roman" w:hAnsi="Times New Roman"/>
          <w:color w:val="000000"/>
          <w:sz w:val="24"/>
          <w:szCs w:val="24"/>
        </w:rPr>
        <w:t xml:space="preserve">ÚPPVII organizoval od apríla 2017 do júna 2017 intenzívne týždenné rokovania za účelom prípravy Implementačného plánu Stratégie výskumu a inovácií pre inteligentnú špecializáciu Slovenskej republiky (ďalej len „implementačný plán“).  Následne bol implementačný plán schválený Radou vlády SR pre vedu, techniku a inovácie, ktorú vedie podpredseda vlády SR pre investície a informatizáciu. Implementačný plán bol dňa 30. júna 2017 zaslaný na schválenie EK, ktorá ho akceptovala. </w:t>
      </w:r>
    </w:p>
    <w:p w:rsidR="009C58C5" w:rsidRDefault="009C58C5" w:rsidP="009C58C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OP II </w:t>
      </w:r>
    </w:p>
    <w:p w:rsidR="009C58C5" w:rsidRDefault="009C58C5" w:rsidP="007412C4">
      <w:pPr>
        <w:pStyle w:val="Odsekzoznamu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výsledkov auditu EK REGC414SK0011, ktorý identifikoval porušenie pravidiel verejného obstarávania a oprávnenosti výdavkov, boli</w:t>
      </w:r>
      <w:r w:rsidR="00741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 prioritnú os 7 pozastavené platby a hrozí tu možné riziko uplatnenia korekcií. </w:t>
      </w:r>
    </w:p>
    <w:p w:rsidR="009C58C5" w:rsidRDefault="009C58C5" w:rsidP="009C58C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IROP </w:t>
      </w:r>
    </w:p>
    <w:p w:rsidR="009C58C5" w:rsidRPr="007412C4" w:rsidRDefault="009C58C5" w:rsidP="007412C4">
      <w:pPr>
        <w:pStyle w:val="Odsekzoznamu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412C4">
        <w:rPr>
          <w:rFonts w:ascii="Times New Roman" w:hAnsi="Times New Roman"/>
          <w:sz w:val="24"/>
          <w:szCs w:val="24"/>
        </w:rPr>
        <w:t>IROP</w:t>
      </w:r>
      <w:r w:rsidR="007412C4">
        <w:rPr>
          <w:rStyle w:val="Odkaznapoznmkupodiarou"/>
          <w:rFonts w:ascii="Times New Roman" w:hAnsi="Times New Roman"/>
          <w:sz w:val="24"/>
          <w:szCs w:val="24"/>
        </w:rPr>
        <w:footnoteReference w:id="10"/>
      </w:r>
      <w:r w:rsidRPr="007412C4">
        <w:rPr>
          <w:rFonts w:ascii="Times New Roman" w:hAnsi="Times New Roman"/>
          <w:sz w:val="24"/>
          <w:szCs w:val="24"/>
        </w:rPr>
        <w:t xml:space="preserve"> bol dezignovaný v neskoršom období, čo má vplyv aj na časový posun začiatku implementácie celého OP v programovom období 2014 </w:t>
      </w:r>
      <w:r w:rsidR="007412C4">
        <w:rPr>
          <w:rFonts w:ascii="Times New Roman" w:hAnsi="Times New Roman"/>
          <w:sz w:val="24"/>
          <w:szCs w:val="24"/>
        </w:rPr>
        <w:t>–</w:t>
      </w:r>
      <w:r w:rsidRPr="007412C4">
        <w:rPr>
          <w:rFonts w:ascii="Times New Roman" w:hAnsi="Times New Roman"/>
          <w:sz w:val="24"/>
          <w:szCs w:val="24"/>
        </w:rPr>
        <w:t xml:space="preserve"> 2020. Zároveň sa tento OP realizuje iba prostredníctvom dopytovo orientovaných projektov, čo si vyžaduje úspešnú realizáciu väčšieho počtu menších projektov.</w:t>
      </w:r>
    </w:p>
    <w:p w:rsidR="00AB68D4" w:rsidRDefault="00AB68D4" w:rsidP="009C58C5">
      <w:pPr>
        <w:pStyle w:val="Odsekzoznamu"/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:rsidR="00331BE2" w:rsidRDefault="00331BE2" w:rsidP="00E730B3">
      <w:pPr>
        <w:pStyle w:val="Default"/>
        <w:jc w:val="both"/>
        <w:rPr>
          <w:b/>
        </w:rPr>
      </w:pPr>
    </w:p>
    <w:p w:rsidR="00331BE2" w:rsidRPr="00331BE2" w:rsidRDefault="00331BE2" w:rsidP="00E730B3">
      <w:pPr>
        <w:pStyle w:val="Default"/>
        <w:jc w:val="both"/>
      </w:pPr>
    </w:p>
    <w:sectPr w:rsidR="00331BE2" w:rsidRPr="00331BE2" w:rsidSect="001C2D1E">
      <w:footerReference w:type="default" r:id="rId10"/>
      <w:pgSz w:w="11906" w:h="16838"/>
      <w:pgMar w:top="1134" w:right="1417" w:bottom="1134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C3E" w:rsidRDefault="00FB4C3E" w:rsidP="00184CA6">
      <w:pPr>
        <w:spacing w:after="0" w:line="240" w:lineRule="auto"/>
      </w:pPr>
      <w:r>
        <w:separator/>
      </w:r>
    </w:p>
  </w:endnote>
  <w:endnote w:type="continuationSeparator" w:id="0">
    <w:p w:rsidR="00FB4C3E" w:rsidRDefault="00FB4C3E" w:rsidP="0018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0950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4C3E" w:rsidRPr="00E57595" w:rsidRDefault="00FB4C3E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75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75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75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2762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575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4C3E" w:rsidRDefault="00FB4C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C3E" w:rsidRDefault="00FB4C3E" w:rsidP="00184CA6">
      <w:pPr>
        <w:spacing w:after="0" w:line="240" w:lineRule="auto"/>
      </w:pPr>
      <w:r>
        <w:separator/>
      </w:r>
    </w:p>
  </w:footnote>
  <w:footnote w:type="continuationSeparator" w:id="0">
    <w:p w:rsidR="00FB4C3E" w:rsidRDefault="00FB4C3E" w:rsidP="00184CA6">
      <w:pPr>
        <w:spacing w:after="0" w:line="240" w:lineRule="auto"/>
      </w:pPr>
      <w:r>
        <w:continuationSeparator/>
      </w:r>
    </w:p>
  </w:footnote>
  <w:footnote w:id="1">
    <w:p w:rsidR="00FB4C3E" w:rsidRPr="00550B36" w:rsidRDefault="00FB4C3E" w:rsidP="00C0678F">
      <w:pPr>
        <w:pStyle w:val="Textpoznmkypodiarou"/>
        <w:rPr>
          <w:sz w:val="18"/>
          <w:szCs w:val="18"/>
        </w:rPr>
      </w:pPr>
      <w:r w:rsidRPr="00550B36">
        <w:rPr>
          <w:rStyle w:val="Odkaznapoznmkupodiarou"/>
          <w:sz w:val="18"/>
          <w:szCs w:val="18"/>
        </w:rPr>
        <w:footnoteRef/>
      </w:r>
      <w:r w:rsidRPr="00550B36">
        <w:rPr>
          <w:sz w:val="18"/>
          <w:szCs w:val="18"/>
        </w:rPr>
        <w:t xml:space="preserve"> TC1- Posilnenie výskumu, technologického rozvoja a inovácií; TC2- Zlepšenie prístupu k informáciám a IKT a zlepšenie ich využívania a kvality; TC3- Zvýšenie konkurencieschopnosti MSP, sektora poľnohospodárstva (v prípade EPFRV) a</w:t>
      </w:r>
      <w:r>
        <w:rPr>
          <w:sz w:val="18"/>
          <w:szCs w:val="18"/>
        </w:rPr>
        <w:t> </w:t>
      </w:r>
      <w:r w:rsidRPr="00550B36">
        <w:rPr>
          <w:sz w:val="18"/>
          <w:szCs w:val="18"/>
        </w:rPr>
        <w:t xml:space="preserve">sektora rybárstva a </w:t>
      </w:r>
      <w:proofErr w:type="spellStart"/>
      <w:r w:rsidRPr="00550B36">
        <w:rPr>
          <w:sz w:val="18"/>
          <w:szCs w:val="18"/>
        </w:rPr>
        <w:t>akvakultúry</w:t>
      </w:r>
      <w:proofErr w:type="spellEnd"/>
      <w:r w:rsidRPr="00550B36">
        <w:rPr>
          <w:sz w:val="18"/>
          <w:szCs w:val="18"/>
        </w:rPr>
        <w:t xml:space="preserve"> (v prípade ENRF); TC4- Podpora prechodu na </w:t>
      </w:r>
      <w:proofErr w:type="spellStart"/>
      <w:r w:rsidRPr="00550B36">
        <w:rPr>
          <w:sz w:val="18"/>
          <w:szCs w:val="18"/>
        </w:rPr>
        <w:t>nízkouhlíkové</w:t>
      </w:r>
      <w:proofErr w:type="spellEnd"/>
      <w:r w:rsidRPr="00550B36">
        <w:rPr>
          <w:sz w:val="18"/>
          <w:szCs w:val="18"/>
        </w:rPr>
        <w:t xml:space="preserve"> hospodárstvo vo všetkých sektoroch; TC5- Podpora prispôsobovania sa zmene klímy, predchádzanie a riadenie rizika; TC6- Zachovanie a ochrana životného prostredia a podpora efektívneho využívania zdrojov; TC7- Podpora udržateľnej dopravy a odstraňovanie prekážok v kľúčových sieťových infraštruktúrach; TC8- Podpora udržateľnosti a kvality zamestnanosti a mobility pracovnej sily; TC9- Podpora sociálneho začlenenia, boj proti chudobe a akejkoľvek diskriminácii; TC10- Investovanie do vzdelania, školení a</w:t>
      </w:r>
      <w:r>
        <w:rPr>
          <w:sz w:val="18"/>
          <w:szCs w:val="18"/>
        </w:rPr>
        <w:t> </w:t>
      </w:r>
      <w:r w:rsidRPr="00550B36">
        <w:rPr>
          <w:sz w:val="18"/>
          <w:szCs w:val="18"/>
        </w:rPr>
        <w:t>odbornej prípravy, ako aj zručností a celoživotného vzdelávania; TC11- Posilnenie inšt</w:t>
      </w:r>
      <w:r>
        <w:rPr>
          <w:sz w:val="18"/>
          <w:szCs w:val="18"/>
        </w:rPr>
        <w:t>i</w:t>
      </w:r>
      <w:r w:rsidRPr="00550B36">
        <w:rPr>
          <w:sz w:val="18"/>
          <w:szCs w:val="18"/>
        </w:rPr>
        <w:t>t</w:t>
      </w:r>
      <w:r>
        <w:rPr>
          <w:sz w:val="18"/>
          <w:szCs w:val="18"/>
        </w:rPr>
        <w:t>u</w:t>
      </w:r>
      <w:r w:rsidRPr="00550B36">
        <w:rPr>
          <w:sz w:val="18"/>
          <w:szCs w:val="18"/>
        </w:rPr>
        <w:t>cionálnych kapacít orgánov verejnej správy a zainteresovaných strán a efektivity verejnej správy; TP – Technická pomoc</w:t>
      </w:r>
    </w:p>
  </w:footnote>
  <w:footnote w:id="2">
    <w:p w:rsidR="00FB4C3E" w:rsidRPr="00F16D2A" w:rsidRDefault="00FB4C3E" w:rsidP="003C4F4B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F16D2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PD SR </w:t>
      </w:r>
      <w:r w:rsidRPr="00F16D2A">
        <w:rPr>
          <w:rFonts w:ascii="Times New Roman" w:hAnsi="Times New Roman" w:cs="Times New Roman"/>
          <w:sz w:val="18"/>
          <w:szCs w:val="18"/>
        </w:rPr>
        <w:t>kapitola 1.4, tabuľka 2</w:t>
      </w:r>
    </w:p>
  </w:footnote>
  <w:footnote w:id="3">
    <w:p w:rsidR="00FB4C3E" w:rsidRPr="00550B36" w:rsidRDefault="00FB4C3E" w:rsidP="00C0678F">
      <w:pPr>
        <w:pStyle w:val="Textpoznmkypodiarou"/>
        <w:rPr>
          <w:sz w:val="18"/>
          <w:szCs w:val="18"/>
        </w:rPr>
      </w:pPr>
      <w:r w:rsidRPr="00550B36">
        <w:rPr>
          <w:rStyle w:val="Odkaznapoznmkupodiarou"/>
          <w:sz w:val="18"/>
          <w:szCs w:val="18"/>
        </w:rPr>
        <w:footnoteRef/>
      </w:r>
      <w:r w:rsidRPr="00550B36">
        <w:rPr>
          <w:sz w:val="18"/>
          <w:szCs w:val="18"/>
        </w:rPr>
        <w:t xml:space="preserve"> </w:t>
      </w:r>
      <w:r w:rsidRPr="00550B36">
        <w:rPr>
          <w:sz w:val="18"/>
          <w:szCs w:val="18"/>
        </w:rPr>
        <w:t>PD SR kapitola 1.6, tabuľka 2</w:t>
      </w:r>
    </w:p>
  </w:footnote>
  <w:footnote w:id="4">
    <w:p w:rsidR="00FB4C3E" w:rsidRPr="00550B36" w:rsidRDefault="00FB4C3E" w:rsidP="00C0678F">
      <w:pPr>
        <w:pStyle w:val="Textpoznmkypodiarou"/>
        <w:rPr>
          <w:sz w:val="18"/>
          <w:szCs w:val="18"/>
        </w:rPr>
      </w:pPr>
      <w:r w:rsidRPr="00550B36">
        <w:rPr>
          <w:rStyle w:val="Odkaznapoznmkupodiarou"/>
          <w:sz w:val="18"/>
          <w:szCs w:val="18"/>
        </w:rPr>
        <w:footnoteRef/>
      </w:r>
      <w:r w:rsidRPr="00550B36">
        <w:rPr>
          <w:sz w:val="18"/>
          <w:szCs w:val="18"/>
        </w:rPr>
        <w:t xml:space="preserve"> </w:t>
      </w:r>
      <w:r w:rsidRPr="00550B36">
        <w:rPr>
          <w:sz w:val="18"/>
          <w:szCs w:val="18"/>
        </w:rPr>
        <w:t>PD SR časť 1.1.5.1.7</w:t>
      </w:r>
    </w:p>
  </w:footnote>
  <w:footnote w:id="5">
    <w:p w:rsidR="00FB4C3E" w:rsidRPr="00550B36" w:rsidRDefault="00FB4C3E" w:rsidP="00C0678F">
      <w:pPr>
        <w:pStyle w:val="Textpoznmkypodiarou"/>
        <w:rPr>
          <w:sz w:val="18"/>
          <w:szCs w:val="18"/>
        </w:rPr>
      </w:pPr>
      <w:r w:rsidRPr="00550B36">
        <w:rPr>
          <w:rStyle w:val="Odkaznapoznmkupodiarou"/>
          <w:sz w:val="18"/>
          <w:szCs w:val="18"/>
        </w:rPr>
        <w:footnoteRef/>
      </w:r>
      <w:r w:rsidRPr="00550B36">
        <w:rPr>
          <w:sz w:val="18"/>
          <w:szCs w:val="18"/>
        </w:rPr>
        <w:t xml:space="preserve"> </w:t>
      </w:r>
      <w:r w:rsidRPr="00550B36">
        <w:rPr>
          <w:sz w:val="18"/>
          <w:szCs w:val="18"/>
        </w:rPr>
        <w:t>PD SR časť1.1.5.2.1.1</w:t>
      </w:r>
    </w:p>
  </w:footnote>
  <w:footnote w:id="6">
    <w:p w:rsidR="00FB4C3E" w:rsidRPr="00550B36" w:rsidRDefault="00FB4C3E" w:rsidP="00C0678F">
      <w:pPr>
        <w:pStyle w:val="Textpoznmkypodiarou"/>
        <w:rPr>
          <w:sz w:val="18"/>
          <w:szCs w:val="18"/>
        </w:rPr>
      </w:pPr>
      <w:r w:rsidRPr="00B36EC7">
        <w:rPr>
          <w:rStyle w:val="Odkaznapoznmkupodiarou"/>
          <w:sz w:val="18"/>
          <w:szCs w:val="18"/>
        </w:rPr>
        <w:footnoteRef/>
      </w:r>
      <w:r w:rsidRPr="00B36EC7">
        <w:rPr>
          <w:sz w:val="18"/>
          <w:szCs w:val="18"/>
        </w:rPr>
        <w:t xml:space="preserve"> </w:t>
      </w:r>
      <w:r w:rsidRPr="00B36EC7">
        <w:rPr>
          <w:rFonts w:cs="Times New Roman"/>
          <w:sz w:val="18"/>
          <w:szCs w:val="18"/>
          <w:lang w:eastAsia="en-US"/>
        </w:rPr>
        <w:t>OP KŽP poznámka pod čiarou č. 135</w:t>
      </w:r>
    </w:p>
  </w:footnote>
  <w:footnote w:id="7">
    <w:p w:rsidR="00FB4C3E" w:rsidRPr="00550B36" w:rsidRDefault="00FB4C3E" w:rsidP="00C0678F">
      <w:pPr>
        <w:pStyle w:val="Textpoznmkypodiarou"/>
        <w:rPr>
          <w:sz w:val="18"/>
          <w:szCs w:val="18"/>
        </w:rPr>
      </w:pPr>
      <w:r w:rsidRPr="00550B36"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PRV, </w:t>
      </w:r>
      <w:r w:rsidRPr="00B36EC7">
        <w:rPr>
          <w:sz w:val="18"/>
          <w:szCs w:val="18"/>
          <w:u w:val="single"/>
        </w:rPr>
        <w:t>podmienka</w:t>
      </w:r>
      <w:r w:rsidRPr="00B36EC7">
        <w:rPr>
          <w:rFonts w:cs="Times New Roman"/>
          <w:sz w:val="18"/>
          <w:szCs w:val="18"/>
          <w:u w:val="single"/>
          <w:lang w:eastAsia="en-US"/>
        </w:rPr>
        <w:t xml:space="preserve"> oprávnenosti č. 8</w:t>
      </w:r>
      <w:r>
        <w:rPr>
          <w:rFonts w:cs="Times New Roman"/>
          <w:sz w:val="18"/>
          <w:szCs w:val="18"/>
          <w:u w:val="single"/>
          <w:lang w:eastAsia="en-US"/>
        </w:rPr>
        <w:t>,</w:t>
      </w:r>
      <w:r w:rsidRPr="00B36EC7">
        <w:rPr>
          <w:rFonts w:cs="Times New Roman"/>
          <w:sz w:val="18"/>
          <w:szCs w:val="18"/>
          <w:lang w:eastAsia="en-US"/>
        </w:rPr>
        <w:t xml:space="preserve"> </w:t>
      </w:r>
      <w:r w:rsidRPr="00550B36">
        <w:rPr>
          <w:rFonts w:cs="Times New Roman"/>
          <w:sz w:val="18"/>
          <w:szCs w:val="18"/>
          <w:lang w:eastAsia="en-US"/>
        </w:rPr>
        <w:t>str. 2</w:t>
      </w:r>
      <w:r>
        <w:rPr>
          <w:rFonts w:cs="Times New Roman"/>
          <w:sz w:val="18"/>
          <w:szCs w:val="18"/>
          <w:lang w:eastAsia="en-US"/>
        </w:rPr>
        <w:t>88</w:t>
      </w:r>
      <w:r w:rsidRPr="00550B36">
        <w:rPr>
          <w:rFonts w:cs="Times New Roman"/>
          <w:sz w:val="18"/>
          <w:szCs w:val="18"/>
          <w:u w:val="single"/>
          <w:lang w:eastAsia="en-US"/>
        </w:rPr>
        <w:t>:</w:t>
      </w:r>
      <w:r w:rsidRPr="00550B36">
        <w:rPr>
          <w:rFonts w:cs="Times New Roman"/>
          <w:sz w:val="18"/>
          <w:szCs w:val="18"/>
          <w:lang w:eastAsia="en-US"/>
        </w:rPr>
        <w:t xml:space="preserve"> „investície súvisiace s využívaním biomasy (vrátane drevnej) sú v súlade s kritériami udržateľného využitia biomasy v regiónoch Slovenska, ktoré budú vypracované MŽP SR na národnej úrovni (v</w:t>
      </w:r>
      <w:r>
        <w:rPr>
          <w:rFonts w:cs="Times New Roman"/>
          <w:sz w:val="18"/>
          <w:szCs w:val="18"/>
          <w:lang w:eastAsia="en-US"/>
        </w:rPr>
        <w:t> </w:t>
      </w:r>
      <w:r w:rsidRPr="00550B36">
        <w:rPr>
          <w:rFonts w:cs="Times New Roman"/>
          <w:sz w:val="18"/>
          <w:szCs w:val="18"/>
          <w:lang w:eastAsia="en-US"/>
        </w:rPr>
        <w:t>spolupráci s MPRV SR), pred poskytnutím akejkoľvek podpory pre využitie biomasy (tento dokument by mal poskytnúť odôvodnenie, vrátane projekcií (so zdrojmi údajov) a vyznačiť oblasti Slovenska, kde by mohol byť vývoj trhu naďalej vhodný pre podporu na využitie biomasy z EÚ fondov, zohľadňujúc taktiež vplyvy na kvalitu ovzdušia)“</w:t>
      </w:r>
      <w:r w:rsidRPr="00550B36">
        <w:rPr>
          <w:sz w:val="18"/>
          <w:szCs w:val="18"/>
        </w:rPr>
        <w:t xml:space="preserve"> </w:t>
      </w:r>
    </w:p>
  </w:footnote>
  <w:footnote w:id="8">
    <w:p w:rsidR="00FB4C3E" w:rsidRPr="008641CB" w:rsidRDefault="00FB4C3E" w:rsidP="00C0678F">
      <w:pPr>
        <w:pStyle w:val="Textpoznmkypodiarou"/>
        <w:rPr>
          <w:rFonts w:cs="Times New Roman"/>
          <w:sz w:val="18"/>
          <w:szCs w:val="18"/>
          <w:lang w:eastAsia="en-US"/>
        </w:rPr>
      </w:pPr>
      <w:r w:rsidRPr="00B36EC7">
        <w:rPr>
          <w:rStyle w:val="Odkaznapoznmkupodiarou"/>
        </w:rPr>
        <w:footnoteRef/>
      </w:r>
      <w:r w:rsidRPr="00B36EC7">
        <w:t xml:space="preserve"> </w:t>
      </w:r>
      <w:r w:rsidRPr="00B36EC7">
        <w:rPr>
          <w:rFonts w:cs="Times New Roman"/>
          <w:sz w:val="18"/>
          <w:szCs w:val="18"/>
          <w:lang w:eastAsia="en-US"/>
        </w:rPr>
        <w:t>PR</w:t>
      </w:r>
      <w:r>
        <w:rPr>
          <w:rFonts w:cs="Times New Roman"/>
          <w:sz w:val="18"/>
          <w:szCs w:val="18"/>
          <w:lang w:eastAsia="en-US"/>
        </w:rPr>
        <w:t>V</w:t>
      </w:r>
      <w:r w:rsidRPr="00B36EC7">
        <w:rPr>
          <w:rFonts w:cs="Times New Roman"/>
          <w:sz w:val="18"/>
          <w:szCs w:val="18"/>
          <w:lang w:eastAsia="en-US"/>
        </w:rPr>
        <w:t xml:space="preserve">, </w:t>
      </w:r>
      <w:r w:rsidRPr="00B36EC7">
        <w:rPr>
          <w:rFonts w:cs="Times New Roman"/>
          <w:sz w:val="18"/>
          <w:szCs w:val="18"/>
          <w:u w:val="single"/>
          <w:lang w:eastAsia="en-US"/>
        </w:rPr>
        <w:t xml:space="preserve">podmienka oprávnenosti </w:t>
      </w:r>
      <w:r>
        <w:rPr>
          <w:rFonts w:cs="Times New Roman"/>
          <w:sz w:val="18"/>
          <w:szCs w:val="18"/>
          <w:u w:val="single"/>
          <w:lang w:eastAsia="en-US"/>
        </w:rPr>
        <w:t xml:space="preserve">č. </w:t>
      </w:r>
      <w:r w:rsidRPr="00B36EC7">
        <w:rPr>
          <w:rFonts w:cs="Times New Roman"/>
          <w:sz w:val="18"/>
          <w:szCs w:val="18"/>
          <w:u w:val="single"/>
          <w:lang w:eastAsia="en-US"/>
        </w:rPr>
        <w:t>4</w:t>
      </w:r>
      <w:r w:rsidRPr="008246F5">
        <w:rPr>
          <w:rFonts w:cs="Times New Roman"/>
          <w:sz w:val="18"/>
          <w:szCs w:val="18"/>
          <w:lang w:eastAsia="en-US"/>
        </w:rPr>
        <w:t xml:space="preserve">, </w:t>
      </w:r>
      <w:r w:rsidRPr="00B5732D">
        <w:rPr>
          <w:rFonts w:cs="Times New Roman"/>
          <w:sz w:val="18"/>
          <w:szCs w:val="18"/>
          <w:lang w:eastAsia="en-US"/>
        </w:rPr>
        <w:t xml:space="preserve">str.327 „výstavba, rekonštrukcia protipožiarnych lesných ciest, ak slúžia ako prístup k vybudovaným objektom v rámci tohto </w:t>
      </w:r>
      <w:proofErr w:type="spellStart"/>
      <w:r w:rsidRPr="00B5732D">
        <w:rPr>
          <w:rFonts w:cs="Times New Roman"/>
          <w:sz w:val="18"/>
          <w:szCs w:val="18"/>
          <w:lang w:eastAsia="en-US"/>
        </w:rPr>
        <w:t>podopatrenia</w:t>
      </w:r>
      <w:proofErr w:type="spellEnd"/>
      <w:r w:rsidRPr="00B5732D">
        <w:rPr>
          <w:rFonts w:cs="Times New Roman"/>
          <w:sz w:val="18"/>
          <w:szCs w:val="18"/>
          <w:lang w:eastAsia="en-US"/>
        </w:rPr>
        <w:t>, ktoré sú v súlade s požiadavkami životného prostredia a ochrany prírody. Prístupom k vybudovaným objektom sa rozumie výstavba alebo rekonštrukcia úsekov protipožiarnych lesných ciest, ktoré sú potrebné na napojenie sa na existujúcu sieť lesných ciest</w:t>
      </w:r>
      <w:r>
        <w:rPr>
          <w:rFonts w:cs="Times New Roman"/>
          <w:sz w:val="18"/>
          <w:szCs w:val="18"/>
          <w:lang w:eastAsia="en-US"/>
        </w:rPr>
        <w:t>. “</w:t>
      </w:r>
    </w:p>
  </w:footnote>
  <w:footnote w:id="9">
    <w:p w:rsidR="00FB4C3E" w:rsidRPr="00550B36" w:rsidRDefault="00FB4C3E" w:rsidP="00C0678F">
      <w:pPr>
        <w:pStyle w:val="Textpoznmkypodiarou"/>
        <w:rPr>
          <w:sz w:val="18"/>
          <w:szCs w:val="18"/>
        </w:rPr>
      </w:pPr>
      <w:r w:rsidRPr="00550B36">
        <w:rPr>
          <w:rStyle w:val="Odkaznapoznmkupodiarou"/>
          <w:sz w:val="18"/>
          <w:szCs w:val="18"/>
        </w:rPr>
        <w:footnoteRef/>
      </w:r>
      <w:r w:rsidRPr="00550B36">
        <w:rPr>
          <w:sz w:val="18"/>
          <w:szCs w:val="18"/>
        </w:rPr>
        <w:t xml:space="preserve"> PD SR kapitola 1.4, tabuľka 2; kapitola 1.10, tabuľka 11</w:t>
      </w:r>
    </w:p>
  </w:footnote>
  <w:footnote w:id="10">
    <w:p w:rsidR="00FB4C3E" w:rsidRDefault="00FB4C3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>Na základe zhodnotenia stavu implementácie a výšky alokácie v rámci IROP, ÚPPVII pôvodne identifikoval zníženie alokácie na úrovni prioritnej osi 2 v rámci TC9. Na základe vzájomnej komunikácie medzi ÚPPVII a Riadiacim orgánom pre IROP sa vyhodnotila potreba zníženia alokácie na úkor všetkých TC (s výnimkou TC4) z dôvodu, aby bol tento proces menej citeľný a umožnil aj naďalej plniť hlavné ciele stanovené na úrovni jednotlivých dotknutých prioritných osí.</w:t>
      </w:r>
      <w:r>
        <w:rPr>
          <w:sz w:val="24"/>
          <w:szCs w:val="24"/>
        </w:rPr>
        <w:t>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B38"/>
    <w:multiLevelType w:val="hybridMultilevel"/>
    <w:tmpl w:val="3BCED5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43038"/>
    <w:multiLevelType w:val="hybridMultilevel"/>
    <w:tmpl w:val="3BCED5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22E5"/>
    <w:multiLevelType w:val="hybridMultilevel"/>
    <w:tmpl w:val="3BCED5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B7160"/>
    <w:multiLevelType w:val="hybridMultilevel"/>
    <w:tmpl w:val="3C480730"/>
    <w:lvl w:ilvl="0" w:tplc="72883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D21AF"/>
    <w:multiLevelType w:val="hybridMultilevel"/>
    <w:tmpl w:val="42007ACE"/>
    <w:lvl w:ilvl="0" w:tplc="3AFE9EA2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34BE2"/>
    <w:multiLevelType w:val="hybridMultilevel"/>
    <w:tmpl w:val="2D4C467C"/>
    <w:lvl w:ilvl="0" w:tplc="0F3EFD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A7DCA"/>
    <w:multiLevelType w:val="hybridMultilevel"/>
    <w:tmpl w:val="1EE4956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CF149A"/>
    <w:multiLevelType w:val="hybridMultilevel"/>
    <w:tmpl w:val="6B04F9D4"/>
    <w:lvl w:ilvl="0" w:tplc="A7141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16B04"/>
    <w:multiLevelType w:val="hybridMultilevel"/>
    <w:tmpl w:val="1EA60A64"/>
    <w:lvl w:ilvl="0" w:tplc="D26862D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C08FB"/>
    <w:multiLevelType w:val="hybridMultilevel"/>
    <w:tmpl w:val="891699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C69B3"/>
    <w:multiLevelType w:val="hybridMultilevel"/>
    <w:tmpl w:val="80EEAB0C"/>
    <w:lvl w:ilvl="0" w:tplc="FA5427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E4517"/>
    <w:multiLevelType w:val="hybridMultilevel"/>
    <w:tmpl w:val="86C47C44"/>
    <w:lvl w:ilvl="0" w:tplc="887C6D50">
      <w:start w:val="68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A6300B"/>
    <w:multiLevelType w:val="hybridMultilevel"/>
    <w:tmpl w:val="AD0E70C6"/>
    <w:lvl w:ilvl="0" w:tplc="93163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9530A"/>
    <w:multiLevelType w:val="hybridMultilevel"/>
    <w:tmpl w:val="8CA8A9E4"/>
    <w:lvl w:ilvl="0" w:tplc="ABF44370">
      <w:start w:val="68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4039B8"/>
    <w:multiLevelType w:val="hybridMultilevel"/>
    <w:tmpl w:val="870ECF5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8D0DD6"/>
    <w:multiLevelType w:val="hybridMultilevel"/>
    <w:tmpl w:val="FDCC238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A31A3"/>
    <w:multiLevelType w:val="hybridMultilevel"/>
    <w:tmpl w:val="0DBC5338"/>
    <w:lvl w:ilvl="0" w:tplc="887C6D50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978DA"/>
    <w:multiLevelType w:val="hybridMultilevel"/>
    <w:tmpl w:val="8AB242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1668D"/>
    <w:multiLevelType w:val="hybridMultilevel"/>
    <w:tmpl w:val="0AE40A6A"/>
    <w:lvl w:ilvl="0" w:tplc="E11ED2B6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728AC"/>
    <w:multiLevelType w:val="hybridMultilevel"/>
    <w:tmpl w:val="C5F0256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E5A8E"/>
    <w:multiLevelType w:val="hybridMultilevel"/>
    <w:tmpl w:val="F7E4B1F4"/>
    <w:lvl w:ilvl="0" w:tplc="041B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1">
    <w:nsid w:val="5FE7609F"/>
    <w:multiLevelType w:val="hybridMultilevel"/>
    <w:tmpl w:val="D72407E4"/>
    <w:lvl w:ilvl="0" w:tplc="0F3EF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9D2113"/>
    <w:multiLevelType w:val="hybridMultilevel"/>
    <w:tmpl w:val="D60E8940"/>
    <w:lvl w:ilvl="0" w:tplc="B7D88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D06CB"/>
    <w:multiLevelType w:val="hybridMultilevel"/>
    <w:tmpl w:val="3BCED5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322CD"/>
    <w:multiLevelType w:val="hybridMultilevel"/>
    <w:tmpl w:val="A206400A"/>
    <w:lvl w:ilvl="0" w:tplc="50F2B5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B1411"/>
    <w:multiLevelType w:val="hybridMultilevel"/>
    <w:tmpl w:val="0C44C8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204509"/>
    <w:multiLevelType w:val="hybridMultilevel"/>
    <w:tmpl w:val="8D8E0E8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4B2598"/>
    <w:multiLevelType w:val="hybridMultilevel"/>
    <w:tmpl w:val="9556875A"/>
    <w:lvl w:ilvl="0" w:tplc="8DAC9AEA">
      <w:start w:val="68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5093E2B"/>
    <w:multiLevelType w:val="hybridMultilevel"/>
    <w:tmpl w:val="64EE8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11695"/>
    <w:multiLevelType w:val="hybridMultilevel"/>
    <w:tmpl w:val="A2260B1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E0643D"/>
    <w:multiLevelType w:val="hybridMultilevel"/>
    <w:tmpl w:val="34482982"/>
    <w:lvl w:ilvl="0" w:tplc="0F3EFD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0"/>
  </w:num>
  <w:num w:numId="4">
    <w:abstractNumId w:val="9"/>
  </w:num>
  <w:num w:numId="5">
    <w:abstractNumId w:val="0"/>
  </w:num>
  <w:num w:numId="6">
    <w:abstractNumId w:val="26"/>
  </w:num>
  <w:num w:numId="7">
    <w:abstractNumId w:val="14"/>
  </w:num>
  <w:num w:numId="8">
    <w:abstractNumId w:val="25"/>
  </w:num>
  <w:num w:numId="9">
    <w:abstractNumId w:val="1"/>
  </w:num>
  <w:num w:numId="10">
    <w:abstractNumId w:val="17"/>
  </w:num>
  <w:num w:numId="11">
    <w:abstractNumId w:val="23"/>
  </w:num>
  <w:num w:numId="12">
    <w:abstractNumId w:val="2"/>
  </w:num>
  <w:num w:numId="13">
    <w:abstractNumId w:val="4"/>
  </w:num>
  <w:num w:numId="14">
    <w:abstractNumId w:val="18"/>
  </w:num>
  <w:num w:numId="15">
    <w:abstractNumId w:val="13"/>
  </w:num>
  <w:num w:numId="16">
    <w:abstractNumId w:val="27"/>
  </w:num>
  <w:num w:numId="17">
    <w:abstractNumId w:val="16"/>
  </w:num>
  <w:num w:numId="18">
    <w:abstractNumId w:val="11"/>
  </w:num>
  <w:num w:numId="19">
    <w:abstractNumId w:val="29"/>
  </w:num>
  <w:num w:numId="20">
    <w:abstractNumId w:val="6"/>
  </w:num>
  <w:num w:numId="21">
    <w:abstractNumId w:val="19"/>
  </w:num>
  <w:num w:numId="22">
    <w:abstractNumId w:val="10"/>
  </w:num>
  <w:num w:numId="23">
    <w:abstractNumId w:val="21"/>
  </w:num>
  <w:num w:numId="24">
    <w:abstractNumId w:val="15"/>
  </w:num>
  <w:num w:numId="25">
    <w:abstractNumId w:val="12"/>
  </w:num>
  <w:num w:numId="26">
    <w:abstractNumId w:val="24"/>
  </w:num>
  <w:num w:numId="27">
    <w:abstractNumId w:val="30"/>
  </w:num>
  <w:num w:numId="28">
    <w:abstractNumId w:val="8"/>
  </w:num>
  <w:num w:numId="29">
    <w:abstractNumId w:val="5"/>
  </w:num>
  <w:num w:numId="30">
    <w:abstractNumId w:val="28"/>
  </w:num>
  <w:num w:numId="3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Ľuboš Littera">
    <w15:presenceInfo w15:providerId="AD" w15:userId="S-1-5-21-1933036909-321857055-1030881100-1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41"/>
    <w:rsid w:val="00004CB9"/>
    <w:rsid w:val="0001459A"/>
    <w:rsid w:val="00020B92"/>
    <w:rsid w:val="00024D34"/>
    <w:rsid w:val="00027F70"/>
    <w:rsid w:val="0003136E"/>
    <w:rsid w:val="0003285D"/>
    <w:rsid w:val="00046147"/>
    <w:rsid w:val="00046B44"/>
    <w:rsid w:val="00052C20"/>
    <w:rsid w:val="0008476A"/>
    <w:rsid w:val="00085A03"/>
    <w:rsid w:val="00087E17"/>
    <w:rsid w:val="00090445"/>
    <w:rsid w:val="00092124"/>
    <w:rsid w:val="000959D4"/>
    <w:rsid w:val="000A4746"/>
    <w:rsid w:val="000B428E"/>
    <w:rsid w:val="000C2D02"/>
    <w:rsid w:val="000C639D"/>
    <w:rsid w:val="000D327A"/>
    <w:rsid w:val="000D4C35"/>
    <w:rsid w:val="000F0186"/>
    <w:rsid w:val="000F1B38"/>
    <w:rsid w:val="000F3739"/>
    <w:rsid w:val="000F534B"/>
    <w:rsid w:val="000F5739"/>
    <w:rsid w:val="000F7910"/>
    <w:rsid w:val="00100B33"/>
    <w:rsid w:val="00102622"/>
    <w:rsid w:val="001118CB"/>
    <w:rsid w:val="001122E6"/>
    <w:rsid w:val="00117337"/>
    <w:rsid w:val="00120BAE"/>
    <w:rsid w:val="001224D3"/>
    <w:rsid w:val="0012260B"/>
    <w:rsid w:val="001243B9"/>
    <w:rsid w:val="00125248"/>
    <w:rsid w:val="00125D0D"/>
    <w:rsid w:val="00132F55"/>
    <w:rsid w:val="00133A1C"/>
    <w:rsid w:val="001357C0"/>
    <w:rsid w:val="00137D9C"/>
    <w:rsid w:val="001457E6"/>
    <w:rsid w:val="00177EA7"/>
    <w:rsid w:val="00184CA6"/>
    <w:rsid w:val="00185F13"/>
    <w:rsid w:val="00193E7C"/>
    <w:rsid w:val="001A04F5"/>
    <w:rsid w:val="001A1A92"/>
    <w:rsid w:val="001A6F7A"/>
    <w:rsid w:val="001B136F"/>
    <w:rsid w:val="001B5D73"/>
    <w:rsid w:val="001B6F94"/>
    <w:rsid w:val="001C00D4"/>
    <w:rsid w:val="001C1C13"/>
    <w:rsid w:val="001C2D1E"/>
    <w:rsid w:val="001D125F"/>
    <w:rsid w:val="001D157C"/>
    <w:rsid w:val="001D290B"/>
    <w:rsid w:val="001D408C"/>
    <w:rsid w:val="001D7169"/>
    <w:rsid w:val="001E13AE"/>
    <w:rsid w:val="001E49C7"/>
    <w:rsid w:val="001E4FAD"/>
    <w:rsid w:val="001E7433"/>
    <w:rsid w:val="001F3F0A"/>
    <w:rsid w:val="001F6B64"/>
    <w:rsid w:val="001F6C79"/>
    <w:rsid w:val="00213A53"/>
    <w:rsid w:val="0021668C"/>
    <w:rsid w:val="00220A12"/>
    <w:rsid w:val="00225470"/>
    <w:rsid w:val="002260C4"/>
    <w:rsid w:val="002338B9"/>
    <w:rsid w:val="00236F15"/>
    <w:rsid w:val="00243CF7"/>
    <w:rsid w:val="002506E0"/>
    <w:rsid w:val="00251B00"/>
    <w:rsid w:val="00251DFB"/>
    <w:rsid w:val="0025741A"/>
    <w:rsid w:val="0027360E"/>
    <w:rsid w:val="00273AC3"/>
    <w:rsid w:val="002761AE"/>
    <w:rsid w:val="002903B4"/>
    <w:rsid w:val="002930C9"/>
    <w:rsid w:val="002955D1"/>
    <w:rsid w:val="00295702"/>
    <w:rsid w:val="00297394"/>
    <w:rsid w:val="002973AD"/>
    <w:rsid w:val="002A0E9C"/>
    <w:rsid w:val="002A1EB6"/>
    <w:rsid w:val="002A353B"/>
    <w:rsid w:val="002A6917"/>
    <w:rsid w:val="002B60C6"/>
    <w:rsid w:val="002C3701"/>
    <w:rsid w:val="002D3941"/>
    <w:rsid w:val="002D4A76"/>
    <w:rsid w:val="002E0171"/>
    <w:rsid w:val="002E0F42"/>
    <w:rsid w:val="002E19F7"/>
    <w:rsid w:val="002E296C"/>
    <w:rsid w:val="002E2B16"/>
    <w:rsid w:val="002F051E"/>
    <w:rsid w:val="002F30AD"/>
    <w:rsid w:val="002F4379"/>
    <w:rsid w:val="00302307"/>
    <w:rsid w:val="00304DF8"/>
    <w:rsid w:val="0030598E"/>
    <w:rsid w:val="00305C2B"/>
    <w:rsid w:val="0030752A"/>
    <w:rsid w:val="0031189F"/>
    <w:rsid w:val="00315D6C"/>
    <w:rsid w:val="00316BD1"/>
    <w:rsid w:val="00322C17"/>
    <w:rsid w:val="00325084"/>
    <w:rsid w:val="003252F4"/>
    <w:rsid w:val="003257D6"/>
    <w:rsid w:val="00330C4B"/>
    <w:rsid w:val="00331BE2"/>
    <w:rsid w:val="00331DCF"/>
    <w:rsid w:val="00340693"/>
    <w:rsid w:val="00341B17"/>
    <w:rsid w:val="00350CEC"/>
    <w:rsid w:val="003511E3"/>
    <w:rsid w:val="003571C8"/>
    <w:rsid w:val="00357389"/>
    <w:rsid w:val="003577A8"/>
    <w:rsid w:val="0036321E"/>
    <w:rsid w:val="00367C09"/>
    <w:rsid w:val="00373885"/>
    <w:rsid w:val="00375D0D"/>
    <w:rsid w:val="00383421"/>
    <w:rsid w:val="00387452"/>
    <w:rsid w:val="00394E9D"/>
    <w:rsid w:val="003A45FC"/>
    <w:rsid w:val="003C0766"/>
    <w:rsid w:val="003C08CA"/>
    <w:rsid w:val="003C4F4B"/>
    <w:rsid w:val="003C594D"/>
    <w:rsid w:val="003C7AC9"/>
    <w:rsid w:val="003D0FEE"/>
    <w:rsid w:val="003D2560"/>
    <w:rsid w:val="003D42F3"/>
    <w:rsid w:val="003E00EE"/>
    <w:rsid w:val="003E618C"/>
    <w:rsid w:val="003E63DA"/>
    <w:rsid w:val="003F2CF2"/>
    <w:rsid w:val="003F48B3"/>
    <w:rsid w:val="00400FAD"/>
    <w:rsid w:val="0040442E"/>
    <w:rsid w:val="0040456D"/>
    <w:rsid w:val="004100BA"/>
    <w:rsid w:val="0041575A"/>
    <w:rsid w:val="004209AB"/>
    <w:rsid w:val="00441753"/>
    <w:rsid w:val="004443A4"/>
    <w:rsid w:val="00445476"/>
    <w:rsid w:val="00445BA2"/>
    <w:rsid w:val="004537C5"/>
    <w:rsid w:val="00461B83"/>
    <w:rsid w:val="0046329B"/>
    <w:rsid w:val="00470C0C"/>
    <w:rsid w:val="004765E5"/>
    <w:rsid w:val="004823D6"/>
    <w:rsid w:val="00483FA4"/>
    <w:rsid w:val="0048795E"/>
    <w:rsid w:val="00492762"/>
    <w:rsid w:val="00492FE8"/>
    <w:rsid w:val="004933D0"/>
    <w:rsid w:val="00495260"/>
    <w:rsid w:val="00495FCD"/>
    <w:rsid w:val="004968A0"/>
    <w:rsid w:val="00496DA4"/>
    <w:rsid w:val="004A05AE"/>
    <w:rsid w:val="004A2BE5"/>
    <w:rsid w:val="004A2E09"/>
    <w:rsid w:val="004B0669"/>
    <w:rsid w:val="004B2427"/>
    <w:rsid w:val="004B52F6"/>
    <w:rsid w:val="004B613F"/>
    <w:rsid w:val="004B72C5"/>
    <w:rsid w:val="004B73D4"/>
    <w:rsid w:val="004C2143"/>
    <w:rsid w:val="004C25A8"/>
    <w:rsid w:val="004D00EE"/>
    <w:rsid w:val="004D0E5A"/>
    <w:rsid w:val="004D121D"/>
    <w:rsid w:val="004D3234"/>
    <w:rsid w:val="004D59B0"/>
    <w:rsid w:val="004D749A"/>
    <w:rsid w:val="004E60CD"/>
    <w:rsid w:val="004F4B3E"/>
    <w:rsid w:val="004F4BD7"/>
    <w:rsid w:val="004F50E5"/>
    <w:rsid w:val="004F7ADD"/>
    <w:rsid w:val="005101D8"/>
    <w:rsid w:val="005117D8"/>
    <w:rsid w:val="00513BEF"/>
    <w:rsid w:val="005142A3"/>
    <w:rsid w:val="0051434F"/>
    <w:rsid w:val="005216FF"/>
    <w:rsid w:val="0052302D"/>
    <w:rsid w:val="0052686F"/>
    <w:rsid w:val="005304D2"/>
    <w:rsid w:val="005334AD"/>
    <w:rsid w:val="00535C3F"/>
    <w:rsid w:val="005404CA"/>
    <w:rsid w:val="00560936"/>
    <w:rsid w:val="00566821"/>
    <w:rsid w:val="00566C2B"/>
    <w:rsid w:val="00572064"/>
    <w:rsid w:val="0057214C"/>
    <w:rsid w:val="00580D32"/>
    <w:rsid w:val="005933A3"/>
    <w:rsid w:val="00594168"/>
    <w:rsid w:val="0059465B"/>
    <w:rsid w:val="005A43A2"/>
    <w:rsid w:val="005A7041"/>
    <w:rsid w:val="005B5626"/>
    <w:rsid w:val="005D5102"/>
    <w:rsid w:val="005D6F34"/>
    <w:rsid w:val="005E5B0D"/>
    <w:rsid w:val="005E7005"/>
    <w:rsid w:val="0060266D"/>
    <w:rsid w:val="00603611"/>
    <w:rsid w:val="00603D8B"/>
    <w:rsid w:val="00605D5E"/>
    <w:rsid w:val="00610BBF"/>
    <w:rsid w:val="00614E20"/>
    <w:rsid w:val="00625DB7"/>
    <w:rsid w:val="006267EB"/>
    <w:rsid w:val="00630EBE"/>
    <w:rsid w:val="0063169D"/>
    <w:rsid w:val="00653659"/>
    <w:rsid w:val="00655D75"/>
    <w:rsid w:val="0066086C"/>
    <w:rsid w:val="00660D16"/>
    <w:rsid w:val="00661180"/>
    <w:rsid w:val="00663416"/>
    <w:rsid w:val="00663948"/>
    <w:rsid w:val="006649F3"/>
    <w:rsid w:val="00665FBE"/>
    <w:rsid w:val="006673CB"/>
    <w:rsid w:val="00671C01"/>
    <w:rsid w:val="00671FF6"/>
    <w:rsid w:val="006730CA"/>
    <w:rsid w:val="0067608A"/>
    <w:rsid w:val="0067695E"/>
    <w:rsid w:val="0067699D"/>
    <w:rsid w:val="006823E8"/>
    <w:rsid w:val="006869DE"/>
    <w:rsid w:val="0068737A"/>
    <w:rsid w:val="006902F8"/>
    <w:rsid w:val="00691DEB"/>
    <w:rsid w:val="00692BCD"/>
    <w:rsid w:val="00694A82"/>
    <w:rsid w:val="006A4B5A"/>
    <w:rsid w:val="006A7072"/>
    <w:rsid w:val="006B02E3"/>
    <w:rsid w:val="006B0CB2"/>
    <w:rsid w:val="006B5ED9"/>
    <w:rsid w:val="006B6128"/>
    <w:rsid w:val="006C01DF"/>
    <w:rsid w:val="006C1596"/>
    <w:rsid w:val="006D37A1"/>
    <w:rsid w:val="006D724D"/>
    <w:rsid w:val="006E376B"/>
    <w:rsid w:val="007007AA"/>
    <w:rsid w:val="00704FC4"/>
    <w:rsid w:val="0070785E"/>
    <w:rsid w:val="0072010E"/>
    <w:rsid w:val="0072306F"/>
    <w:rsid w:val="007310B3"/>
    <w:rsid w:val="00732911"/>
    <w:rsid w:val="00734FD0"/>
    <w:rsid w:val="0073516C"/>
    <w:rsid w:val="00735D0E"/>
    <w:rsid w:val="00736386"/>
    <w:rsid w:val="007412C4"/>
    <w:rsid w:val="00743261"/>
    <w:rsid w:val="00752BB3"/>
    <w:rsid w:val="0075709C"/>
    <w:rsid w:val="00757117"/>
    <w:rsid w:val="00772CD0"/>
    <w:rsid w:val="00774B81"/>
    <w:rsid w:val="0078461E"/>
    <w:rsid w:val="00786593"/>
    <w:rsid w:val="007900A4"/>
    <w:rsid w:val="00790751"/>
    <w:rsid w:val="007917BC"/>
    <w:rsid w:val="00792520"/>
    <w:rsid w:val="00794E57"/>
    <w:rsid w:val="007A3DEB"/>
    <w:rsid w:val="007B011A"/>
    <w:rsid w:val="007B492F"/>
    <w:rsid w:val="007B5616"/>
    <w:rsid w:val="007B6A9A"/>
    <w:rsid w:val="007C0AAC"/>
    <w:rsid w:val="007C54B6"/>
    <w:rsid w:val="007D574C"/>
    <w:rsid w:val="007D732F"/>
    <w:rsid w:val="007E7083"/>
    <w:rsid w:val="0080163C"/>
    <w:rsid w:val="00805B72"/>
    <w:rsid w:val="00806725"/>
    <w:rsid w:val="008131C0"/>
    <w:rsid w:val="0081567C"/>
    <w:rsid w:val="00833E80"/>
    <w:rsid w:val="00841D8B"/>
    <w:rsid w:val="00850356"/>
    <w:rsid w:val="00850556"/>
    <w:rsid w:val="00860D4D"/>
    <w:rsid w:val="008636BA"/>
    <w:rsid w:val="008700AD"/>
    <w:rsid w:val="00874F29"/>
    <w:rsid w:val="008758D9"/>
    <w:rsid w:val="008818BB"/>
    <w:rsid w:val="00882F2E"/>
    <w:rsid w:val="00883A85"/>
    <w:rsid w:val="00890090"/>
    <w:rsid w:val="008916CC"/>
    <w:rsid w:val="00895CD2"/>
    <w:rsid w:val="008975AA"/>
    <w:rsid w:val="008A34A4"/>
    <w:rsid w:val="008B0114"/>
    <w:rsid w:val="008B13E3"/>
    <w:rsid w:val="008B25FD"/>
    <w:rsid w:val="008B4952"/>
    <w:rsid w:val="008B66AC"/>
    <w:rsid w:val="008B7598"/>
    <w:rsid w:val="008C581D"/>
    <w:rsid w:val="008C7AC6"/>
    <w:rsid w:val="008D4AE2"/>
    <w:rsid w:val="008D5F8C"/>
    <w:rsid w:val="008E0EBA"/>
    <w:rsid w:val="008E10F5"/>
    <w:rsid w:val="008E2568"/>
    <w:rsid w:val="008E2A34"/>
    <w:rsid w:val="008F1B40"/>
    <w:rsid w:val="0090563D"/>
    <w:rsid w:val="0091264B"/>
    <w:rsid w:val="00915473"/>
    <w:rsid w:val="00915888"/>
    <w:rsid w:val="0091602E"/>
    <w:rsid w:val="00923D63"/>
    <w:rsid w:val="0093036B"/>
    <w:rsid w:val="00931308"/>
    <w:rsid w:val="0093198C"/>
    <w:rsid w:val="00934428"/>
    <w:rsid w:val="009366D5"/>
    <w:rsid w:val="009411A1"/>
    <w:rsid w:val="0094229C"/>
    <w:rsid w:val="0094501D"/>
    <w:rsid w:val="00947983"/>
    <w:rsid w:val="009549FA"/>
    <w:rsid w:val="0096090B"/>
    <w:rsid w:val="00963A38"/>
    <w:rsid w:val="00964C33"/>
    <w:rsid w:val="00974A07"/>
    <w:rsid w:val="00990038"/>
    <w:rsid w:val="00992A82"/>
    <w:rsid w:val="009A0D5C"/>
    <w:rsid w:val="009A430A"/>
    <w:rsid w:val="009B3475"/>
    <w:rsid w:val="009B5BA7"/>
    <w:rsid w:val="009B7CC4"/>
    <w:rsid w:val="009C3AB2"/>
    <w:rsid w:val="009C58C5"/>
    <w:rsid w:val="009C5A77"/>
    <w:rsid w:val="009D409B"/>
    <w:rsid w:val="009D7833"/>
    <w:rsid w:val="009F1431"/>
    <w:rsid w:val="009F42D6"/>
    <w:rsid w:val="00A02426"/>
    <w:rsid w:val="00A0289A"/>
    <w:rsid w:val="00A02C0E"/>
    <w:rsid w:val="00A06F62"/>
    <w:rsid w:val="00A14F8F"/>
    <w:rsid w:val="00A22F1F"/>
    <w:rsid w:val="00A31968"/>
    <w:rsid w:val="00A3279F"/>
    <w:rsid w:val="00A35682"/>
    <w:rsid w:val="00A46197"/>
    <w:rsid w:val="00A51E29"/>
    <w:rsid w:val="00A533CC"/>
    <w:rsid w:val="00A53C5B"/>
    <w:rsid w:val="00A65D09"/>
    <w:rsid w:val="00A72267"/>
    <w:rsid w:val="00A80EF1"/>
    <w:rsid w:val="00A846BB"/>
    <w:rsid w:val="00A95317"/>
    <w:rsid w:val="00AA115A"/>
    <w:rsid w:val="00AA258D"/>
    <w:rsid w:val="00AA788E"/>
    <w:rsid w:val="00AB0692"/>
    <w:rsid w:val="00AB1960"/>
    <w:rsid w:val="00AB68D4"/>
    <w:rsid w:val="00AB6BAC"/>
    <w:rsid w:val="00AB6EF9"/>
    <w:rsid w:val="00AC69FD"/>
    <w:rsid w:val="00AD34D7"/>
    <w:rsid w:val="00AD3812"/>
    <w:rsid w:val="00AE6BF0"/>
    <w:rsid w:val="00AF2D3A"/>
    <w:rsid w:val="00AF365E"/>
    <w:rsid w:val="00AF4BF4"/>
    <w:rsid w:val="00B01840"/>
    <w:rsid w:val="00B04C5C"/>
    <w:rsid w:val="00B1678C"/>
    <w:rsid w:val="00B17E07"/>
    <w:rsid w:val="00B225B3"/>
    <w:rsid w:val="00B251D0"/>
    <w:rsid w:val="00B25A58"/>
    <w:rsid w:val="00B30BF7"/>
    <w:rsid w:val="00B3193B"/>
    <w:rsid w:val="00B346BB"/>
    <w:rsid w:val="00B40AE7"/>
    <w:rsid w:val="00B414A1"/>
    <w:rsid w:val="00B430B0"/>
    <w:rsid w:val="00B46C94"/>
    <w:rsid w:val="00B46E76"/>
    <w:rsid w:val="00B47D52"/>
    <w:rsid w:val="00B53D5B"/>
    <w:rsid w:val="00B57023"/>
    <w:rsid w:val="00B57202"/>
    <w:rsid w:val="00B5732D"/>
    <w:rsid w:val="00B62E50"/>
    <w:rsid w:val="00B7425E"/>
    <w:rsid w:val="00B83DF9"/>
    <w:rsid w:val="00B8456C"/>
    <w:rsid w:val="00B86101"/>
    <w:rsid w:val="00B9267E"/>
    <w:rsid w:val="00B94E3E"/>
    <w:rsid w:val="00B968BC"/>
    <w:rsid w:val="00B96AAC"/>
    <w:rsid w:val="00BA3ADD"/>
    <w:rsid w:val="00BA616A"/>
    <w:rsid w:val="00BA6A61"/>
    <w:rsid w:val="00BB2C3D"/>
    <w:rsid w:val="00BC0811"/>
    <w:rsid w:val="00BC15B1"/>
    <w:rsid w:val="00BC5B0A"/>
    <w:rsid w:val="00BC6CAC"/>
    <w:rsid w:val="00BC6CF1"/>
    <w:rsid w:val="00BD06EF"/>
    <w:rsid w:val="00BD44B6"/>
    <w:rsid w:val="00BE1786"/>
    <w:rsid w:val="00BE2F08"/>
    <w:rsid w:val="00BE427A"/>
    <w:rsid w:val="00BF72DB"/>
    <w:rsid w:val="00C0678F"/>
    <w:rsid w:val="00C114E2"/>
    <w:rsid w:val="00C127E0"/>
    <w:rsid w:val="00C16D01"/>
    <w:rsid w:val="00C20225"/>
    <w:rsid w:val="00C20BEA"/>
    <w:rsid w:val="00C24C8E"/>
    <w:rsid w:val="00C24E45"/>
    <w:rsid w:val="00C2622D"/>
    <w:rsid w:val="00C53F6B"/>
    <w:rsid w:val="00C60CDF"/>
    <w:rsid w:val="00C63B87"/>
    <w:rsid w:val="00C66BEB"/>
    <w:rsid w:val="00C66D52"/>
    <w:rsid w:val="00C70BDE"/>
    <w:rsid w:val="00C72706"/>
    <w:rsid w:val="00C76D22"/>
    <w:rsid w:val="00C818BC"/>
    <w:rsid w:val="00C84876"/>
    <w:rsid w:val="00C90FF5"/>
    <w:rsid w:val="00C95185"/>
    <w:rsid w:val="00C952E7"/>
    <w:rsid w:val="00C95656"/>
    <w:rsid w:val="00C95BEF"/>
    <w:rsid w:val="00C96502"/>
    <w:rsid w:val="00C968BD"/>
    <w:rsid w:val="00CA19D9"/>
    <w:rsid w:val="00CB05D4"/>
    <w:rsid w:val="00CB13DE"/>
    <w:rsid w:val="00CB4A2F"/>
    <w:rsid w:val="00CB5FE3"/>
    <w:rsid w:val="00CC3608"/>
    <w:rsid w:val="00CC4093"/>
    <w:rsid w:val="00CC53D0"/>
    <w:rsid w:val="00CD6F85"/>
    <w:rsid w:val="00CD7933"/>
    <w:rsid w:val="00CF0350"/>
    <w:rsid w:val="00D00EAF"/>
    <w:rsid w:val="00D00F56"/>
    <w:rsid w:val="00D02B86"/>
    <w:rsid w:val="00D073DA"/>
    <w:rsid w:val="00D116E7"/>
    <w:rsid w:val="00D12065"/>
    <w:rsid w:val="00D227B5"/>
    <w:rsid w:val="00D22C04"/>
    <w:rsid w:val="00D24419"/>
    <w:rsid w:val="00D262F4"/>
    <w:rsid w:val="00D27E9E"/>
    <w:rsid w:val="00D3029C"/>
    <w:rsid w:val="00D379EB"/>
    <w:rsid w:val="00D4095A"/>
    <w:rsid w:val="00D5078F"/>
    <w:rsid w:val="00D52A1B"/>
    <w:rsid w:val="00D54279"/>
    <w:rsid w:val="00D545B4"/>
    <w:rsid w:val="00D61F4D"/>
    <w:rsid w:val="00D726C7"/>
    <w:rsid w:val="00D85C30"/>
    <w:rsid w:val="00D87637"/>
    <w:rsid w:val="00D91E50"/>
    <w:rsid w:val="00D96DD3"/>
    <w:rsid w:val="00DA1234"/>
    <w:rsid w:val="00DA3486"/>
    <w:rsid w:val="00DA5F2B"/>
    <w:rsid w:val="00DB17F4"/>
    <w:rsid w:val="00DC45A1"/>
    <w:rsid w:val="00DC4F65"/>
    <w:rsid w:val="00DC542E"/>
    <w:rsid w:val="00DD57CB"/>
    <w:rsid w:val="00DD6195"/>
    <w:rsid w:val="00DD758D"/>
    <w:rsid w:val="00DE038D"/>
    <w:rsid w:val="00DE0DE8"/>
    <w:rsid w:val="00DE155B"/>
    <w:rsid w:val="00DE6060"/>
    <w:rsid w:val="00DE7489"/>
    <w:rsid w:val="00DF093A"/>
    <w:rsid w:val="00DF2AB9"/>
    <w:rsid w:val="00DF3A1C"/>
    <w:rsid w:val="00DF6277"/>
    <w:rsid w:val="00DF76FF"/>
    <w:rsid w:val="00DF7C83"/>
    <w:rsid w:val="00E0669A"/>
    <w:rsid w:val="00E07F51"/>
    <w:rsid w:val="00E11A7C"/>
    <w:rsid w:val="00E11A81"/>
    <w:rsid w:val="00E1567A"/>
    <w:rsid w:val="00E164C3"/>
    <w:rsid w:val="00E16513"/>
    <w:rsid w:val="00E17770"/>
    <w:rsid w:val="00E23C21"/>
    <w:rsid w:val="00E24EB2"/>
    <w:rsid w:val="00E26ED7"/>
    <w:rsid w:val="00E27194"/>
    <w:rsid w:val="00E3411D"/>
    <w:rsid w:val="00E41428"/>
    <w:rsid w:val="00E520FE"/>
    <w:rsid w:val="00E534A8"/>
    <w:rsid w:val="00E57595"/>
    <w:rsid w:val="00E57DF2"/>
    <w:rsid w:val="00E60809"/>
    <w:rsid w:val="00E63FCC"/>
    <w:rsid w:val="00E650B7"/>
    <w:rsid w:val="00E71DE2"/>
    <w:rsid w:val="00E730B3"/>
    <w:rsid w:val="00E80AC1"/>
    <w:rsid w:val="00E90E73"/>
    <w:rsid w:val="00E9398A"/>
    <w:rsid w:val="00E964C9"/>
    <w:rsid w:val="00EA464D"/>
    <w:rsid w:val="00EA4729"/>
    <w:rsid w:val="00EB329B"/>
    <w:rsid w:val="00EB5CE2"/>
    <w:rsid w:val="00ED0609"/>
    <w:rsid w:val="00EE04BF"/>
    <w:rsid w:val="00EF0AAE"/>
    <w:rsid w:val="00EF0B6E"/>
    <w:rsid w:val="00EF0C5B"/>
    <w:rsid w:val="00EF17F4"/>
    <w:rsid w:val="00EF59A1"/>
    <w:rsid w:val="00EF726A"/>
    <w:rsid w:val="00F0726E"/>
    <w:rsid w:val="00F07640"/>
    <w:rsid w:val="00F11988"/>
    <w:rsid w:val="00F11CDD"/>
    <w:rsid w:val="00F11D28"/>
    <w:rsid w:val="00F15CC5"/>
    <w:rsid w:val="00F16D2A"/>
    <w:rsid w:val="00F16E68"/>
    <w:rsid w:val="00F20342"/>
    <w:rsid w:val="00F30604"/>
    <w:rsid w:val="00F31EF3"/>
    <w:rsid w:val="00F34060"/>
    <w:rsid w:val="00F349AB"/>
    <w:rsid w:val="00F35281"/>
    <w:rsid w:val="00F36DFE"/>
    <w:rsid w:val="00F42EE7"/>
    <w:rsid w:val="00F43AF0"/>
    <w:rsid w:val="00F47F63"/>
    <w:rsid w:val="00F500F3"/>
    <w:rsid w:val="00F5140A"/>
    <w:rsid w:val="00F5145B"/>
    <w:rsid w:val="00F5602B"/>
    <w:rsid w:val="00F63612"/>
    <w:rsid w:val="00F647E9"/>
    <w:rsid w:val="00F64ADA"/>
    <w:rsid w:val="00F666D6"/>
    <w:rsid w:val="00F73161"/>
    <w:rsid w:val="00F7395F"/>
    <w:rsid w:val="00F7473A"/>
    <w:rsid w:val="00F754BE"/>
    <w:rsid w:val="00F83CE5"/>
    <w:rsid w:val="00F83DF7"/>
    <w:rsid w:val="00F9010A"/>
    <w:rsid w:val="00F91CDB"/>
    <w:rsid w:val="00F94E2C"/>
    <w:rsid w:val="00F95AD8"/>
    <w:rsid w:val="00F95AFC"/>
    <w:rsid w:val="00F9683B"/>
    <w:rsid w:val="00F96AEC"/>
    <w:rsid w:val="00FA31BC"/>
    <w:rsid w:val="00FA4369"/>
    <w:rsid w:val="00FB0031"/>
    <w:rsid w:val="00FB4C3E"/>
    <w:rsid w:val="00FC4E55"/>
    <w:rsid w:val="00FC7A98"/>
    <w:rsid w:val="00FD2BE2"/>
    <w:rsid w:val="00FD7B41"/>
    <w:rsid w:val="00FE05D3"/>
    <w:rsid w:val="00FE272C"/>
    <w:rsid w:val="00FE5CAB"/>
    <w:rsid w:val="00FE6974"/>
    <w:rsid w:val="00FE706D"/>
    <w:rsid w:val="00FF0653"/>
    <w:rsid w:val="00FF2F31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F6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BE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184CA6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84CA6"/>
    <w:rPr>
      <w:rFonts w:ascii="EUAlbertina" w:hAnsi="EUAlbertina" w:cstheme="minorBidi"/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18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4CA6"/>
  </w:style>
  <w:style w:type="paragraph" w:styleId="Pta">
    <w:name w:val="footer"/>
    <w:basedOn w:val="Normlny"/>
    <w:link w:val="PtaChar"/>
    <w:uiPriority w:val="99"/>
    <w:unhideWhenUsed/>
    <w:rsid w:val="0018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4CA6"/>
  </w:style>
  <w:style w:type="paragraph" w:styleId="Textbubliny">
    <w:name w:val="Balloon Text"/>
    <w:basedOn w:val="Normlny"/>
    <w:link w:val="TextbublinyChar"/>
    <w:uiPriority w:val="99"/>
    <w:semiHidden/>
    <w:unhideWhenUsed/>
    <w:rsid w:val="00DE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7489"/>
    <w:rPr>
      <w:rFonts w:ascii="Tahoma" w:hAnsi="Tahoma" w:cs="Tahoma"/>
      <w:sz w:val="16"/>
      <w:szCs w:val="16"/>
    </w:rPr>
  </w:style>
  <w:style w:type="paragraph" w:styleId="Odsekzoznamu">
    <w:name w:val="List Paragraph"/>
    <w:aliases w:val="Dot pt,No Spacing1,List Paragraph Char Char Char,Indicator Text,Numbered Para 1,List Paragraph à moi,Odsek zoznamu4,LISTA,Listaszerű bekezdés2,Listaszerű bekezdés3,Listaszerű bekezdés1,F5 List Paragraph,Recommendation,Table Heading,3,body"/>
    <w:basedOn w:val="Normlny"/>
    <w:link w:val="OdsekzoznamuChar"/>
    <w:uiPriority w:val="34"/>
    <w:qFormat/>
    <w:rsid w:val="00D22C04"/>
    <w:pPr>
      <w:spacing w:before="200"/>
      <w:ind w:left="720"/>
      <w:contextualSpacing/>
    </w:pPr>
    <w:rPr>
      <w:rFonts w:eastAsiaTheme="minorEastAsia"/>
      <w:sz w:val="20"/>
      <w:szCs w:val="20"/>
    </w:rPr>
  </w:style>
  <w:style w:type="character" w:customStyle="1" w:styleId="OdsekzoznamuChar">
    <w:name w:val="Odsek zoznamu Char"/>
    <w:aliases w:val="Dot pt Char,No Spacing1 Char,List Paragraph Char Char Char Char,Indicator Text Char,Numbered Para 1 Char,List Paragraph à moi Char,Odsek zoznamu4 Char,LISTA Char,Listaszerű bekezdés2 Char,Listaszerű bekezdés3 Char,Recommendation Char"/>
    <w:link w:val="Odsekzoznamu"/>
    <w:uiPriority w:val="34"/>
    <w:qFormat/>
    <w:locked/>
    <w:rsid w:val="00D22C04"/>
    <w:rPr>
      <w:rFonts w:eastAsiaTheme="minorEastAsi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92B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2B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2B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B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BCD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E730B3"/>
    <w:rPr>
      <w:rFonts w:ascii="Times New Roman" w:hAnsi="Times New Roman" w:cs="Times New Roman"/>
      <w:sz w:val="24"/>
      <w:szCs w:val="24"/>
    </w:rPr>
  </w:style>
  <w:style w:type="table" w:customStyle="1" w:styleId="Mriekatabuky18">
    <w:name w:val="Mriežka tabuľky18"/>
    <w:basedOn w:val="Normlnatabuka"/>
    <w:next w:val="Mriekatabuky"/>
    <w:uiPriority w:val="59"/>
    <w:rsid w:val="002C3701"/>
    <w:pPr>
      <w:spacing w:after="0" w:line="240" w:lineRule="auto"/>
    </w:pPr>
    <w:rPr>
      <w:rFonts w:eastAsiaTheme="minorEastAs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0678F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0678F"/>
    <w:rPr>
      <w:rFonts w:ascii="Times New Roman" w:hAnsi="Times New Roman"/>
      <w:sz w:val="20"/>
      <w:szCs w:val="20"/>
      <w:lang w:eastAsia="en-GB"/>
    </w:rPr>
  </w:style>
  <w:style w:type="character" w:styleId="Odkaznapoznmkupodiarou">
    <w:name w:val="footnote reference"/>
    <w:basedOn w:val="Predvolenpsmoodseku"/>
    <w:uiPriority w:val="99"/>
    <w:unhideWhenUsed/>
    <w:rsid w:val="00C067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F6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BE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184CA6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84CA6"/>
    <w:rPr>
      <w:rFonts w:ascii="EUAlbertina" w:hAnsi="EUAlbertina" w:cstheme="minorBidi"/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18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4CA6"/>
  </w:style>
  <w:style w:type="paragraph" w:styleId="Pta">
    <w:name w:val="footer"/>
    <w:basedOn w:val="Normlny"/>
    <w:link w:val="PtaChar"/>
    <w:uiPriority w:val="99"/>
    <w:unhideWhenUsed/>
    <w:rsid w:val="0018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4CA6"/>
  </w:style>
  <w:style w:type="paragraph" w:styleId="Textbubliny">
    <w:name w:val="Balloon Text"/>
    <w:basedOn w:val="Normlny"/>
    <w:link w:val="TextbublinyChar"/>
    <w:uiPriority w:val="99"/>
    <w:semiHidden/>
    <w:unhideWhenUsed/>
    <w:rsid w:val="00DE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7489"/>
    <w:rPr>
      <w:rFonts w:ascii="Tahoma" w:hAnsi="Tahoma" w:cs="Tahoma"/>
      <w:sz w:val="16"/>
      <w:szCs w:val="16"/>
    </w:rPr>
  </w:style>
  <w:style w:type="paragraph" w:styleId="Odsekzoznamu">
    <w:name w:val="List Paragraph"/>
    <w:aliases w:val="Dot pt,No Spacing1,List Paragraph Char Char Char,Indicator Text,Numbered Para 1,List Paragraph à moi,Odsek zoznamu4,LISTA,Listaszerű bekezdés2,Listaszerű bekezdés3,Listaszerű bekezdés1,F5 List Paragraph,Recommendation,Table Heading,3,body"/>
    <w:basedOn w:val="Normlny"/>
    <w:link w:val="OdsekzoznamuChar"/>
    <w:uiPriority w:val="34"/>
    <w:qFormat/>
    <w:rsid w:val="00D22C04"/>
    <w:pPr>
      <w:spacing w:before="200"/>
      <w:ind w:left="720"/>
      <w:contextualSpacing/>
    </w:pPr>
    <w:rPr>
      <w:rFonts w:eastAsiaTheme="minorEastAsia"/>
      <w:sz w:val="20"/>
      <w:szCs w:val="20"/>
    </w:rPr>
  </w:style>
  <w:style w:type="character" w:customStyle="1" w:styleId="OdsekzoznamuChar">
    <w:name w:val="Odsek zoznamu Char"/>
    <w:aliases w:val="Dot pt Char,No Spacing1 Char,List Paragraph Char Char Char Char,Indicator Text Char,Numbered Para 1 Char,List Paragraph à moi Char,Odsek zoznamu4 Char,LISTA Char,Listaszerű bekezdés2 Char,Listaszerű bekezdés3 Char,Recommendation Char"/>
    <w:link w:val="Odsekzoznamu"/>
    <w:uiPriority w:val="34"/>
    <w:qFormat/>
    <w:locked/>
    <w:rsid w:val="00D22C04"/>
    <w:rPr>
      <w:rFonts w:eastAsiaTheme="minorEastAsi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92B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2B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2B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B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BCD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E730B3"/>
    <w:rPr>
      <w:rFonts w:ascii="Times New Roman" w:hAnsi="Times New Roman" w:cs="Times New Roman"/>
      <w:sz w:val="24"/>
      <w:szCs w:val="24"/>
    </w:rPr>
  </w:style>
  <w:style w:type="table" w:customStyle="1" w:styleId="Mriekatabuky18">
    <w:name w:val="Mriežka tabuľky18"/>
    <w:basedOn w:val="Normlnatabuka"/>
    <w:next w:val="Mriekatabuky"/>
    <w:uiPriority w:val="59"/>
    <w:rsid w:val="002C3701"/>
    <w:pPr>
      <w:spacing w:after="0" w:line="240" w:lineRule="auto"/>
    </w:pPr>
    <w:rPr>
      <w:rFonts w:eastAsiaTheme="minorEastAs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0678F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0678F"/>
    <w:rPr>
      <w:rFonts w:ascii="Times New Roman" w:hAnsi="Times New Roman"/>
      <w:sz w:val="20"/>
      <w:szCs w:val="20"/>
      <w:lang w:eastAsia="en-GB"/>
    </w:rPr>
  </w:style>
  <w:style w:type="character" w:styleId="Odkaznapoznmkupodiarou">
    <w:name w:val="footnote reference"/>
    <w:basedOn w:val="Predvolenpsmoodseku"/>
    <w:uiPriority w:val="99"/>
    <w:unhideWhenUsed/>
    <w:rsid w:val="00C067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vlastnymat"/>
    <f:field ref="objsubject" par="" edit="true" text=""/>
    <f:field ref="objcreatedby" par="" text="Keliarova Feninová, Jana"/>
    <f:field ref="objcreatedat" par="" text="16.8.2017 14:20:56"/>
    <f:field ref="objchangedby" par="" text="Administrator, System"/>
    <f:field ref="objmodifiedat" par="" text="16.8.2017 14:20:5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45802373-F97B-4A64-AD7D-18699F9B5082}"/>
</file>

<file path=customXml/itemProps3.xml><?xml version="1.0" encoding="utf-8"?>
<ds:datastoreItem xmlns:ds="http://schemas.openxmlformats.org/officeDocument/2006/customXml" ds:itemID="{E77D3308-5B36-4C29-BABD-4306EBFD43F7}"/>
</file>

<file path=customXml/itemProps4.xml><?xml version="1.0" encoding="utf-8"?>
<ds:datastoreItem xmlns:ds="http://schemas.openxmlformats.org/officeDocument/2006/customXml" ds:itemID="{A6A1C502-6C92-4D5A-8827-1818B967AE5E}"/>
</file>

<file path=customXml/itemProps5.xml><?xml version="1.0" encoding="utf-8"?>
<ds:datastoreItem xmlns:ds="http://schemas.openxmlformats.org/officeDocument/2006/customXml" ds:itemID="{87AE5653-C1E6-408E-B382-5CA6F88CC6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SCKO</dc:creator>
  <cp:lastModifiedBy>Majerech Martin</cp:lastModifiedBy>
  <cp:revision>3</cp:revision>
  <dcterms:created xsi:type="dcterms:W3CDTF">2017-08-16T12:20:00Z</dcterms:created>
  <dcterms:modified xsi:type="dcterms:W3CDTF">2017-08-16T13:43:00Z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Jana Keliarova Feninová</vt:lpwstr>
  </property>
  <property fmtid="{D5CDD505-2E9C-101B-9397-08002B2CF9AE}" pid="12" name="FSC#SKEDITIONSLOVLEX@103.510:zodppredkladatel">
    <vt:lpwstr>Peter Pellegrini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revízie Partnerskej dohody Slovenskej republiky na roky 2014 – 2020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podpredsedu vlády Slovenskej republiky pre investície a informatizáciu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rozhodnutia EK prostredníctvom Oznámenia Komisie Rade a Európskemu parlamentu [COM(2016) 311 final] podľa článku 92 ods. 3 nariadenia Európskeho parlamentu a Rady (EÚ) č. 1303/2013</vt:lpwstr>
  </property>
  <property fmtid="{D5CDD505-2E9C-101B-9397-08002B2CF9AE}" pid="23" name="FSC#SKEDITIONSLOVLEX@103.510:plnynazovpredpis">
    <vt:lpwstr> Návrh revízie Partnerskej dohody Slovenskej republiky na roky 2014 – 2020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993/5384/2017/OPS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LP/2017/597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Nenavrhujú sa.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>Vláda Slovenskej republiky na svojom zasadnutí dňa ...................... prerokovala a schválila materiál „Návrh revízie Partnerskej dohody Slovenskej republiky na roky  2014 – 2020“._x000d_
_x000d_
_x000d_
Predkladaný materiál obsahuje zmeny, ktoré boli vykonané v Partne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SR pre investície a informatizáciu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Slovenskej republiky pre investície a informatizáciu</vt:lpwstr>
  </property>
  <property fmtid="{D5CDD505-2E9C-101B-9397-08002B2CF9AE}" pid="142" name="FSC#SKEDITIONSLOVLEX@103.510:funkciaZodpPredAkuzativ">
    <vt:lpwstr>podpredsedovi vlády Slovenskej republiky pre investície a informatizáciu</vt:lpwstr>
  </property>
  <property fmtid="{D5CDD505-2E9C-101B-9397-08002B2CF9AE}" pid="143" name="FSC#SKEDITIONSLOVLEX@103.510:funkciaZodpPredDativ">
    <vt:lpwstr>podpredsedu vlády Slovenskej republiky pre investície a informatizáciu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Pellegrini_x000d_
podpredseda vlády Slovenskej republiky pre investície a informatizáciu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&lt;p&gt;Materiál „Návrh revízie Partnerskej dohody Slovenskej republiky na roky 2014 – 2020“ predkladá na&amp;nbsp;rokovanie vlády SR podpredseda vlády SR pre investície a&amp;nbsp;informatizáciu na&amp;nbsp;základe rozhodnutia Európskej komisie prostredníctvom Oznámenia </vt:lpwstr>
  </property>
  <property fmtid="{D5CDD505-2E9C-101B-9397-08002B2CF9AE}" pid="150" name="FSC#SKEDITIONSLOVLEX@103.510:vytvorenedna">
    <vt:lpwstr>16. 8. 2017</vt:lpwstr>
  </property>
  <property fmtid="{D5CDD505-2E9C-101B-9397-08002B2CF9AE}" pid="151" name="FSC#COOSYSTEM@1.1:Container">
    <vt:lpwstr>COO.2145.1000.3.2125602</vt:lpwstr>
  </property>
  <property fmtid="{D5CDD505-2E9C-101B-9397-08002B2CF9AE}" pid="152" name="FSC#FSCFOLIO@1.1001:docpropproject">
    <vt:lpwstr/>
  </property>
</Properties>
</file>