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142FD" w:rsidRPr="003142FD" w:rsidTr="00E60E65">
        <w:trPr>
          <w:trHeight w:val="446"/>
        </w:trPr>
        <w:tc>
          <w:tcPr>
            <w:tcW w:w="10207" w:type="dxa"/>
            <w:shd w:val="clear" w:color="auto" w:fill="auto"/>
          </w:tcPr>
          <w:p w:rsidR="000D1598" w:rsidRPr="003142FD" w:rsidRDefault="000D1598" w:rsidP="00AE63C7">
            <w:pPr>
              <w:spacing w:before="120"/>
              <w:ind w:left="366" w:right="-81"/>
              <w:rPr>
                <w:rFonts w:asciiTheme="minorHAnsi" w:hAnsiTheme="minorHAnsi" w:cstheme="minorHAnsi"/>
                <w:bCs/>
                <w:smallCaps/>
                <w:spacing w:val="60"/>
              </w:rPr>
            </w:pPr>
            <w:r w:rsidRPr="003142FD">
              <w:rPr>
                <w:rFonts w:asciiTheme="minorHAnsi" w:hAnsiTheme="minorHAnsi" w:cstheme="minorHAnsi"/>
              </w:rPr>
              <w:br w:type="page"/>
            </w:r>
            <w:r w:rsidRPr="003142FD">
              <w:rPr>
                <w:rFonts w:asciiTheme="minorHAnsi" w:hAnsiTheme="minorHAnsi" w:cstheme="minorHAnsi"/>
                <w:szCs w:val="24"/>
              </w:rPr>
              <w:br w:type="page"/>
            </w:r>
            <w:r w:rsidRPr="00E60E65">
              <w:rPr>
                <w:rFonts w:asciiTheme="minorHAnsi" w:hAnsiTheme="minorHAnsi" w:cstheme="minorHAnsi"/>
                <w:bCs/>
                <w:smallCaps/>
                <w:spacing w:val="60"/>
              </w:rPr>
              <w:t xml:space="preserve">evidencia zmien </w:t>
            </w:r>
            <w:r w:rsidR="00AE63C7">
              <w:rPr>
                <w:rFonts w:asciiTheme="minorHAnsi" w:hAnsiTheme="minorHAnsi" w:cstheme="minorHAnsi"/>
                <w:bCs/>
                <w:smallCaps/>
                <w:spacing w:val="60"/>
              </w:rPr>
              <w:t>operačného programu technická pomoc 2014-2020</w:t>
            </w:r>
          </w:p>
        </w:tc>
      </w:tr>
    </w:tbl>
    <w:p w:rsidR="005B61DE" w:rsidRDefault="005B61DE" w:rsidP="0046600A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8"/>
        <w:gridCol w:w="2976"/>
        <w:gridCol w:w="1985"/>
      </w:tblGrid>
      <w:tr w:rsidR="005B61DE" w:rsidRPr="003142FD" w:rsidTr="00CC2A0F">
        <w:trPr>
          <w:trHeight w:val="607"/>
        </w:trPr>
        <w:tc>
          <w:tcPr>
            <w:tcW w:w="10207" w:type="dxa"/>
            <w:gridSpan w:val="4"/>
            <w:shd w:val="clear" w:color="auto" w:fill="FBD4B4" w:themeFill="accent6" w:themeFillTint="66"/>
            <w:vAlign w:val="center"/>
          </w:tcPr>
          <w:p w:rsidR="005B61DE" w:rsidRPr="000A0A53" w:rsidRDefault="005B61DE" w:rsidP="00547BC9">
            <w:pPr>
              <w:spacing w:before="0" w:after="0"/>
              <w:rPr>
                <w:rFonts w:asciiTheme="minorHAnsi" w:hAnsiTheme="minorHAnsi" w:cstheme="minorHAnsi"/>
                <w:caps w:val="0"/>
                <w:szCs w:val="28"/>
              </w:rPr>
            </w:pPr>
            <w:r w:rsidRPr="000A0A53">
              <w:rPr>
                <w:rFonts w:asciiTheme="minorHAnsi" w:hAnsiTheme="minorHAnsi" w:cstheme="minorHAnsi"/>
                <w:caps w:val="0"/>
                <w:szCs w:val="28"/>
              </w:rPr>
              <w:t>Kontrolný list k verzi</w:t>
            </w:r>
            <w:r w:rsidR="00AE63C7">
              <w:rPr>
                <w:rFonts w:asciiTheme="minorHAnsi" w:hAnsiTheme="minorHAnsi" w:cstheme="minorHAnsi"/>
                <w:caps w:val="0"/>
                <w:szCs w:val="28"/>
              </w:rPr>
              <w:t>i</w:t>
            </w:r>
            <w:r w:rsidRPr="000A0A53">
              <w:rPr>
                <w:rFonts w:asciiTheme="minorHAnsi" w:hAnsiTheme="minorHAnsi" w:cstheme="minorHAnsi"/>
                <w:caps w:val="0"/>
                <w:szCs w:val="28"/>
              </w:rPr>
              <w:t xml:space="preserve"> č. </w:t>
            </w:r>
            <w:r w:rsidR="00547BC9">
              <w:rPr>
                <w:rFonts w:asciiTheme="minorHAnsi" w:hAnsiTheme="minorHAnsi" w:cstheme="minorHAnsi"/>
                <w:caps w:val="0"/>
                <w:szCs w:val="28"/>
              </w:rPr>
              <w:t>3</w:t>
            </w:r>
            <w:r w:rsidR="00F84E9A">
              <w:rPr>
                <w:rFonts w:asciiTheme="minorHAnsi" w:hAnsiTheme="minorHAnsi" w:cstheme="minorHAnsi"/>
                <w:caps w:val="0"/>
                <w:szCs w:val="28"/>
              </w:rPr>
              <w:t>.</w:t>
            </w:r>
            <w:r w:rsidR="00547BC9">
              <w:rPr>
                <w:rFonts w:asciiTheme="minorHAnsi" w:hAnsiTheme="minorHAnsi" w:cstheme="minorHAnsi"/>
                <w:caps w:val="0"/>
                <w:szCs w:val="28"/>
              </w:rPr>
              <w:t>1</w:t>
            </w:r>
          </w:p>
        </w:tc>
      </w:tr>
      <w:tr w:rsidR="003142FD" w:rsidRPr="003142FD" w:rsidTr="00CC2A0F">
        <w:trPr>
          <w:trHeight w:val="607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0D1598" w:rsidRPr="003142FD" w:rsidRDefault="005B61DE" w:rsidP="005B5C28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Číslo kapitoly</w:t>
            </w:r>
          </w:p>
        </w:tc>
        <w:tc>
          <w:tcPr>
            <w:tcW w:w="3828" w:type="dxa"/>
            <w:shd w:val="clear" w:color="auto" w:fill="FBD4B4" w:themeFill="accent6" w:themeFillTint="66"/>
            <w:vAlign w:val="center"/>
          </w:tcPr>
          <w:p w:rsidR="000D1598" w:rsidRPr="003142FD" w:rsidRDefault="005B61DE" w:rsidP="005B5C28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Popis zmeny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:rsidR="000D1598" w:rsidRPr="003142FD" w:rsidRDefault="000534A4" w:rsidP="005B5C28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Z</w:t>
            </w:r>
            <w:r w:rsidR="005B61DE">
              <w:rPr>
                <w:rFonts w:asciiTheme="minorHAnsi" w:hAnsiTheme="minorHAnsi" w:cstheme="minorHAnsi"/>
                <w:caps w:val="0"/>
                <w:sz w:val="20"/>
                <w:szCs w:val="20"/>
              </w:rPr>
              <w:t>dôvodnenie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:rsidR="000D1598" w:rsidRPr="003142FD" w:rsidRDefault="000D1598" w:rsidP="005B61DE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Dátum platnosti </w:t>
            </w:r>
            <w:r w:rsidR="005B61DE">
              <w:rPr>
                <w:rFonts w:asciiTheme="minorHAnsi" w:hAnsiTheme="minorHAnsi" w:cstheme="minorHAnsi"/>
                <w:caps w:val="0"/>
                <w:sz w:val="20"/>
                <w:szCs w:val="20"/>
              </w:rPr>
              <w:t>zmeny</w:t>
            </w:r>
          </w:p>
        </w:tc>
      </w:tr>
      <w:tr w:rsidR="005B68AB" w:rsidRPr="003142FD" w:rsidTr="00CC2A0F">
        <w:trPr>
          <w:trHeight w:val="428"/>
        </w:trPr>
        <w:tc>
          <w:tcPr>
            <w:tcW w:w="1418" w:type="dxa"/>
          </w:tcPr>
          <w:p w:rsidR="005B68AB" w:rsidRPr="00DC7DB1" w:rsidRDefault="00C12A91" w:rsidP="008F3E02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Celý dokument</w:t>
            </w:r>
            <w:r w:rsidR="00386B9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a prílohy č. </w:t>
            </w:r>
            <w:r w:rsidR="00386B99" w:rsidRPr="00386B9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3,5,8,9,10,11</w:t>
            </w:r>
          </w:p>
        </w:tc>
        <w:tc>
          <w:tcPr>
            <w:tcW w:w="3828" w:type="dxa"/>
          </w:tcPr>
          <w:p w:rsidR="00A83621" w:rsidRPr="00DC7DB1" w:rsidRDefault="00547BC9" w:rsidP="00D45E28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Doplnenie informácie o presune pôsobnosti v oblasti koordinácie využívania finančných prostriedkov z fondov Európskej únie na Úrad podpredsedu vlády Slovenskej republiky pre investície a informatizáciu od 1.6.2016. Doplnenie ÚV SR pri opise a definícii úloh CKO v dôsledku rozdelenia úloh medzi CKO a ÚV S</w:t>
            </w:r>
            <w:r w:rsidR="00386B9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R</w:t>
            </w:r>
          </w:p>
        </w:tc>
        <w:tc>
          <w:tcPr>
            <w:tcW w:w="2976" w:type="dxa"/>
            <w:vAlign w:val="center"/>
          </w:tcPr>
          <w:p w:rsidR="005B68AB" w:rsidRPr="00DC7DB1" w:rsidRDefault="00547BC9" w:rsidP="00D45E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V súvislosti s delimitáciou CKO z Úradu vlády Slovenskej republiky na Úrad podpredsedu vlády Slovenskej republiky pre investície a informatizáciu od 1.6.2016 a zmenou organizačného poriadku ÚV SR došlo k oddeleniu činností v oblastiach stratégie riadenia a vzdelávania administratívnych kapacít, informovania a komunikácie od CKO.</w:t>
            </w:r>
          </w:p>
        </w:tc>
        <w:tc>
          <w:tcPr>
            <w:tcW w:w="1985" w:type="dxa"/>
          </w:tcPr>
          <w:p w:rsidR="005B68AB" w:rsidRPr="00DC7DB1" w:rsidRDefault="00547BC9" w:rsidP="00547BC9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Schválením verzie 3.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 xml:space="preserve"> MV pre OP TP (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.2016)</w:t>
            </w:r>
          </w:p>
        </w:tc>
      </w:tr>
      <w:tr w:rsidR="003B2263" w:rsidRPr="003142FD" w:rsidTr="00CC2A0F">
        <w:trPr>
          <w:trHeight w:val="428"/>
        </w:trPr>
        <w:tc>
          <w:tcPr>
            <w:tcW w:w="1418" w:type="dxa"/>
          </w:tcPr>
          <w:p w:rsidR="003B2263" w:rsidRPr="00DC7DB1" w:rsidRDefault="00547BC9" w:rsidP="008F3E02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2.1 Opis prioritných osí</w:t>
            </w:r>
          </w:p>
        </w:tc>
        <w:tc>
          <w:tcPr>
            <w:tcW w:w="3828" w:type="dxa"/>
          </w:tcPr>
          <w:p w:rsidR="003B2263" w:rsidRDefault="00547BC9" w:rsidP="00757022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Zmena prijímateľa ÚV SR ako CKO v dôsledku delimitácie CKO z ÚV SR na </w:t>
            </w:r>
            <w:r w:rsidRPr="009A714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Úrad podpredsedu vlády Slovenskej republiky pre investície a informatizáciu od 1.</w:t>
            </w:r>
            <w:r w:rsidR="0075702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6</w:t>
            </w:r>
            <w:r w:rsidRPr="009A714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.2016</w:t>
            </w: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zmena v definícii ostatných útvarov zabezpečujúcich oprávnené činnosti pre "CKO a RO OP TP" </w:t>
            </w:r>
            <w:r w:rsidRPr="009A714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na ostatné útvary zabezpečujúce oprávnené činnosti pre potreby subjektov zapojených do EŠIF</w:t>
            </w:r>
          </w:p>
        </w:tc>
        <w:tc>
          <w:tcPr>
            <w:tcW w:w="2976" w:type="dxa"/>
            <w:vAlign w:val="center"/>
          </w:tcPr>
          <w:p w:rsidR="003B2263" w:rsidRPr="00DC7DB1" w:rsidRDefault="00547BC9" w:rsidP="00757022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V zmysle </w:t>
            </w:r>
            <w:r w:rsidR="00757022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zákona č. 171/2016 </w:t>
            </w:r>
            <w:proofErr w:type="spellStart"/>
            <w:r w:rsidR="00757022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Z.z</w:t>
            </w:r>
            <w:proofErr w:type="spellEnd"/>
            <w:r w:rsidR="00757022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., ktorým sa mení a dopĺňa zákon č. 575/2001 </w:t>
            </w:r>
            <w:proofErr w:type="spellStart"/>
            <w:r w:rsidR="00757022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Z.z</w:t>
            </w:r>
            <w:proofErr w:type="spellEnd"/>
            <w:r w:rsidR="00757022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.</w:t>
            </w: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prechádzajú pôsobnosti v oblasti koordinácie využívania finančných prostriedkov z fondov Európskej únie z Úradu vlády Slovenskej republiky na Úrad podpredsedu vlády Slovenskej republiky pre investície a informatizáciu od 1.6.2016.</w:t>
            </w:r>
          </w:p>
        </w:tc>
        <w:tc>
          <w:tcPr>
            <w:tcW w:w="1985" w:type="dxa"/>
          </w:tcPr>
          <w:p w:rsidR="003B2263" w:rsidRPr="00DC7DB1" w:rsidRDefault="00547BC9" w:rsidP="00547BC9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Schválením verzie 3.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 xml:space="preserve"> MV pre OP TP (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.2016)</w:t>
            </w:r>
          </w:p>
        </w:tc>
      </w:tr>
      <w:tr w:rsidR="00E77B7E" w:rsidRPr="003142FD" w:rsidTr="00CC2A0F">
        <w:trPr>
          <w:trHeight w:val="428"/>
        </w:trPr>
        <w:tc>
          <w:tcPr>
            <w:tcW w:w="1418" w:type="dxa"/>
          </w:tcPr>
          <w:p w:rsidR="00E77B7E" w:rsidRPr="00DC7DB1" w:rsidRDefault="00A43E0F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2.1 Opis prioritných osí</w:t>
            </w:r>
          </w:p>
        </w:tc>
        <w:tc>
          <w:tcPr>
            <w:tcW w:w="3828" w:type="dxa"/>
          </w:tcPr>
          <w:p w:rsidR="00E77B7E" w:rsidRPr="00547BC9" w:rsidRDefault="00547BC9" w:rsidP="00D207A3">
            <w:pPr>
              <w:keepNext w:val="0"/>
              <w:keepLines w:val="0"/>
              <w:spacing w:before="180"/>
              <w:jc w:val="both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Doplnenie </w:t>
            </w:r>
            <w:r w:rsidRPr="009A714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útvarov ÚV SR zabezpečujúcich stratégiu riadenia</w:t>
            </w:r>
            <w:r w:rsidR="00D207A3" w:rsidRPr="009A714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 xml:space="preserve"> a</w:t>
            </w:r>
            <w:r w:rsidRPr="009A714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 xml:space="preserve"> vzdelávanie AK EŠIF, informovanie a komunikáciu na úrovni PD a OP TP</w:t>
            </w: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do  prijímateľov OP TP pri relevantných aktivitách</w:t>
            </w:r>
            <w:r w:rsidR="000B6CA0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v rámci ktorých bol pôvodne oprávneným subjektom </w:t>
            </w:r>
            <w:r w:rsidR="000B6CA0"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ÚV SR ako CKO</w:t>
            </w:r>
          </w:p>
        </w:tc>
        <w:tc>
          <w:tcPr>
            <w:tcW w:w="2976" w:type="dxa"/>
          </w:tcPr>
          <w:p w:rsidR="00E77B7E" w:rsidRPr="00DC7DB1" w:rsidRDefault="00547BC9" w:rsidP="00A43E0F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V súvislosti s delimitáciou CKO a zmenou organizačného poriadku ÚV SR došlo k oddeleniu činností v oblastiach stratégie riadenia a vzdelávania administratívnych kapacít, informovania a komunikácie od CKO. Tieto činnosti budú naďalej zabezpečovať útvary ÚV SR, z uvedeného dôvodu bolo nutné ich samostatne zadefinovať v oprávnených prijímateľoch OP TP.</w:t>
            </w:r>
          </w:p>
        </w:tc>
        <w:tc>
          <w:tcPr>
            <w:tcW w:w="1985" w:type="dxa"/>
          </w:tcPr>
          <w:p w:rsidR="00E77B7E" w:rsidRPr="00DC7DB1" w:rsidRDefault="00547BC9" w:rsidP="00B10CAD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Schválením verzie 3.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 xml:space="preserve"> MV pre OP TP (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.2016)</w:t>
            </w:r>
          </w:p>
        </w:tc>
      </w:tr>
      <w:tr w:rsidR="005B68AB" w:rsidRPr="003142FD" w:rsidTr="00CC2A0F">
        <w:trPr>
          <w:trHeight w:val="428"/>
        </w:trPr>
        <w:tc>
          <w:tcPr>
            <w:tcW w:w="1418" w:type="dxa"/>
          </w:tcPr>
          <w:p w:rsidR="005B68AB" w:rsidRPr="00DC7DB1" w:rsidRDefault="00DC7DB1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2.1 Opis prioritných osí</w:t>
            </w:r>
          </w:p>
        </w:tc>
        <w:tc>
          <w:tcPr>
            <w:tcW w:w="3828" w:type="dxa"/>
          </w:tcPr>
          <w:p w:rsidR="00A83621" w:rsidRPr="00EA0CD7" w:rsidRDefault="00547BC9" w:rsidP="00EA0CD7">
            <w:pPr>
              <w:keepNext w:val="0"/>
              <w:keepLines w:val="0"/>
              <w:tabs>
                <w:tab w:val="left" w:pos="426"/>
              </w:tabs>
              <w:spacing w:before="0"/>
              <w:jc w:val="both"/>
              <w:rPr>
                <w:b w:val="0"/>
                <w:i/>
                <w:color w:val="548DD4"/>
                <w:sz w:val="22"/>
                <w:lang w:eastAsia="sk-SK"/>
              </w:rPr>
            </w:pPr>
            <w:r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Doplnenie </w:t>
            </w:r>
            <w:r w:rsidRPr="009A7142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ÚV SR ako Inštitútu pre stratégie a analýzy</w:t>
            </w:r>
            <w:r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do oprávnených prijímateľov OP TP</w:t>
            </w:r>
            <w:r w:rsidR="00860232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v rámci PO1, ŠC1, aktivity A.</w:t>
            </w:r>
            <w:r w:rsidR="00860232" w:rsidRPr="00F12827">
              <w:rPr>
                <w:b w:val="0"/>
                <w:bCs/>
                <w:i/>
                <w:color w:val="4F81BD"/>
                <w:sz w:val="22"/>
              </w:rPr>
              <w:t xml:space="preserve"> </w:t>
            </w:r>
            <w:r w:rsidR="00860232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Refundácia miezd AK priamo zapojených do riadenia, kontroly a auditu EŠIF</w:t>
            </w:r>
            <w:r w:rsidR="00F12827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a aktivity D. </w:t>
            </w:r>
            <w:r w:rsidR="00F12827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lastRenderedPageBreak/>
              <w:t>Špecifické vzdelávanie AK zapojených do riadenia, kontroly a auditu EŠIF, v rámci PO1, ŠC3, aktivity A. Činnosti spojené s realizáciou Rady CKO, Monitorovacími výbormi, zasadnutiami pracovných skupín EŠIF</w:t>
            </w:r>
            <w:r w:rsid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aktivity </w:t>
            </w:r>
            <w:r w:rsidR="00F12827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E. Hodnotenia, analýzy, štúdie a expertízne posúdenia, aktivity F. Konzultačné, poradenské a právne služby, aktivity H. Služby so zameraním na zabezpečenie IS, technickej a administratívnej podpory, I. Zber a spracovanie dát, prieskumy, štatistické zisťovanie</w:t>
            </w:r>
            <w:r w:rsid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PO2, ŠC1 aktivity A. </w:t>
            </w:r>
            <w:r w:rsidR="00F12827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Dodanie vzájomne kompatibilných informačných a komunikačných technológií vrátane ich elektronického vybavenia a licencií pre orgány zapojené do riadenia, implementácie, finančného riadenia, kontroly a auditu EŠIF</w:t>
            </w:r>
            <w:r w:rsid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aktivity E. </w:t>
            </w:r>
            <w:r w:rsidR="00F12827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Materiálno - technické zabezpečenie a mobilita subjektov zapojených do riadenia, implementácie, finančného riadenia, kontroly a auditu EŠIF</w:t>
            </w:r>
          </w:p>
        </w:tc>
        <w:tc>
          <w:tcPr>
            <w:tcW w:w="2976" w:type="dxa"/>
          </w:tcPr>
          <w:p w:rsidR="005B68AB" w:rsidRPr="00DC7DB1" w:rsidRDefault="00547BC9" w:rsidP="00903D1D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lastRenderedPageBreak/>
              <w:t xml:space="preserve">V súvislosti so zmenou Organizačného poriadku ÚV SR (Dodatok č. 6  organizačného poriadku) došlo </w:t>
            </w:r>
            <w:r w:rsidR="00903D1D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v rámci ÚV SR </w:t>
            </w: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od </w:t>
            </w: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lastRenderedPageBreak/>
              <w:t>15.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5</w:t>
            </w: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.2016 k vytvoreniu Inštitút</w:t>
            </w:r>
            <w:r w:rsidR="00903D1D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u</w:t>
            </w: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pre stratégie a analýzy, ktorá vykonáva analytickú činnosť zameranú na oblasť podpory stratégie hospodárskej a sociálnej politiky vlády v súlade s hospodársko-politickými cieľmi a strategickými prioritami Programového vyhlásenia vlády, vrátane oblasti kohéznej politiky Európskej únie, ako aj implementácie európskych štrukturálnych a investičných fondov . Z uvedeného dôvodu zaradil RO OP TP uvedený útvar medzi prijímateľov OP TP.</w:t>
            </w:r>
          </w:p>
        </w:tc>
        <w:tc>
          <w:tcPr>
            <w:tcW w:w="1985" w:type="dxa"/>
          </w:tcPr>
          <w:p w:rsidR="005B68AB" w:rsidRPr="00DC7DB1" w:rsidRDefault="00547BC9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lastRenderedPageBreak/>
              <w:t>Schválením verzie 3.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 xml:space="preserve"> MV pre OP TP (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5</w:t>
            </w: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.2016)</w:t>
            </w:r>
          </w:p>
        </w:tc>
      </w:tr>
      <w:tr w:rsidR="00511670" w:rsidRPr="003142FD" w:rsidTr="00CC2A0F">
        <w:trPr>
          <w:trHeight w:val="428"/>
        </w:trPr>
        <w:tc>
          <w:tcPr>
            <w:tcW w:w="1418" w:type="dxa"/>
          </w:tcPr>
          <w:p w:rsidR="00511670" w:rsidRPr="00DC7DB1" w:rsidRDefault="00511670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lastRenderedPageBreak/>
              <w:t>2.1 Opis prioritných osí</w:t>
            </w:r>
          </w:p>
        </w:tc>
        <w:tc>
          <w:tcPr>
            <w:tcW w:w="3828" w:type="dxa"/>
          </w:tcPr>
          <w:p w:rsidR="00511670" w:rsidRPr="00F12827" w:rsidRDefault="00511670" w:rsidP="00EA0CD7">
            <w:pPr>
              <w:keepNext w:val="0"/>
              <w:keepLines w:val="0"/>
              <w:tabs>
                <w:tab w:val="left" w:pos="426"/>
              </w:tabs>
              <w:spacing w:before="0"/>
              <w:jc w:val="both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Doplnenie </w:t>
            </w:r>
            <w:r w:rsidRPr="00D11340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ÚV SR ako NO a NKB pre PNS a EÚS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do aktivít </w:t>
            </w:r>
            <w:r w:rsidR="00D11340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PO1, ŠC3,</w:t>
            </w:r>
            <w:r w:rsidR="00D11340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</w:t>
            </w:r>
            <w:r w:rsidR="00D11340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F. Konzultačné, poradenské a právne služby, H. Služby so zameraním na zabezpečenie IS, technickej a administratívnej podpory</w:t>
            </w:r>
            <w:r w:rsidR="00D11340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PO2, ŠC1 aktivity A. </w:t>
            </w:r>
            <w:r w:rsidR="00D11340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Dodanie vzájomne kompatibilných informačných a komunikačných technológií vrátane ich elektronického vybavenia a licencií pre orgány zapojené do riadenia, implementácie, finančného riadenia, kontroly a auditu EŠIF</w:t>
            </w:r>
          </w:p>
        </w:tc>
        <w:tc>
          <w:tcPr>
            <w:tcW w:w="2976" w:type="dxa"/>
          </w:tcPr>
          <w:p w:rsidR="00511670" w:rsidRPr="00547BC9" w:rsidRDefault="00511670" w:rsidP="00511670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V súvislosti so zmenou Organizačného poriadku ÚV SR (Dodatok č. 6  organizačného poriadku)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11670" w:rsidRDefault="00511670">
            <w:r w:rsidRPr="00B919CE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Schválením verzie 3.1 MV pre OP TP (25.5.2016)</w:t>
            </w:r>
          </w:p>
        </w:tc>
      </w:tr>
      <w:tr w:rsidR="00511670" w:rsidRPr="003142FD" w:rsidTr="00CC2A0F">
        <w:trPr>
          <w:trHeight w:val="428"/>
        </w:trPr>
        <w:tc>
          <w:tcPr>
            <w:tcW w:w="1418" w:type="dxa"/>
          </w:tcPr>
          <w:p w:rsidR="00511670" w:rsidRPr="00DC7DB1" w:rsidRDefault="00511670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 w:rsidRPr="00DC7DB1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2.1 Opis prioritných osí</w:t>
            </w:r>
          </w:p>
        </w:tc>
        <w:tc>
          <w:tcPr>
            <w:tcW w:w="3828" w:type="dxa"/>
          </w:tcPr>
          <w:p w:rsidR="00511670" w:rsidRPr="00F12827" w:rsidRDefault="00511670" w:rsidP="003501C8">
            <w:pPr>
              <w:keepNext w:val="0"/>
              <w:keepLines w:val="0"/>
              <w:tabs>
                <w:tab w:val="left" w:pos="426"/>
              </w:tabs>
              <w:spacing w:before="0"/>
              <w:jc w:val="both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Doplnenie ÚV SR ako</w:t>
            </w:r>
            <w:r w:rsidRPr="00010D5B">
              <w:rPr>
                <w:szCs w:val="24"/>
              </w:rPr>
              <w:t xml:space="preserve"> </w:t>
            </w:r>
            <w:r w:rsidRPr="003501C8">
              <w:rPr>
                <w:rFonts w:asciiTheme="minorHAnsi" w:hAnsiTheme="minorHAnsi" w:cstheme="minorHAnsi"/>
                <w:bCs/>
                <w:caps w:val="0"/>
                <w:sz w:val="20"/>
                <w:szCs w:val="20"/>
              </w:rPr>
              <w:t>orgán prvostupňovej kontroly programov nadnárodnej spolupráce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 do </w:t>
            </w:r>
            <w:r w:rsidR="003501C8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PO1, ŠC1 </w:t>
            </w:r>
            <w:r w:rsidR="003501C8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aktivity D. Špecifické vzdelávanie AK zapojených do riadenia, kontroly a auditu EŠIF</w:t>
            </w:r>
            <w:r w:rsidR="003501C8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</w:t>
            </w:r>
            <w:r w:rsidR="003501C8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PO1, ŠC3, aktivity A. Činnosti spojené s realizáciou Rady CKO, Monitorovacími výbormi, zasadnutiami pracovných skupín EŠIF</w:t>
            </w:r>
            <w:r w:rsidR="003501C8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aktivity, </w:t>
            </w:r>
            <w:r w:rsidR="003501C8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F. Konzultačné, poradenské a právne služby, </w:t>
            </w:r>
            <w:r w:rsidR="003501C8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PO2, ŠC1 aktivity A. </w:t>
            </w:r>
            <w:r w:rsidR="003501C8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Dodanie vzájomne kompatibilných informačných a komunikačných technológií vrátane ich elektronického vybavenia a licencií pre orgány zapojené do riadenia, implementácie, finančného riadenia, kontroly a auditu EŠIF</w:t>
            </w:r>
            <w:r w:rsidR="003501C8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, aktivity E. </w:t>
            </w:r>
            <w:r w:rsidR="003501C8" w:rsidRPr="00F12827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Materiálno - technické zabezpečenie a mobilita subjektov zapojených do riadenia, implementácie, finančného riadenia, kontroly a auditu EŠIF</w:t>
            </w:r>
          </w:p>
        </w:tc>
        <w:tc>
          <w:tcPr>
            <w:tcW w:w="2976" w:type="dxa"/>
          </w:tcPr>
          <w:p w:rsidR="00511670" w:rsidRPr="00547BC9" w:rsidRDefault="00981FA1" w:rsidP="00903D1D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547BC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V súvislosti so zmenou Organizačného poriadku ÚV SR (Dodatok č. 6  organizačného poriadku)</w:t>
            </w:r>
          </w:p>
        </w:tc>
        <w:tc>
          <w:tcPr>
            <w:tcW w:w="1985" w:type="dxa"/>
          </w:tcPr>
          <w:p w:rsidR="00511670" w:rsidRDefault="00511670">
            <w:r w:rsidRPr="00B919CE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Schválením verzie 3.1 MV pre OP TP (25.5.2016)</w:t>
            </w:r>
          </w:p>
        </w:tc>
      </w:tr>
    </w:tbl>
    <w:p w:rsidR="0046600A" w:rsidRDefault="0046600A">
      <w:pPr>
        <w:rPr>
          <w:rFonts w:asciiTheme="minorHAnsi" w:hAnsiTheme="minorHAnsi" w:cstheme="minorHAnsi"/>
          <w:bCs/>
          <w:smallCaps/>
          <w:spacing w:val="60"/>
        </w:rPr>
      </w:pPr>
      <w:bookmarkStart w:id="0" w:name="_GoBack"/>
      <w:bookmarkEnd w:id="0"/>
      <w:r w:rsidRPr="00E60E65">
        <w:rPr>
          <w:rFonts w:asciiTheme="minorHAnsi" w:hAnsiTheme="minorHAnsi" w:cstheme="minorHAnsi"/>
          <w:bCs/>
          <w:smallCaps/>
          <w:spacing w:val="60"/>
        </w:rPr>
        <w:lastRenderedPageBreak/>
        <w:t xml:space="preserve">evidencia zmien </w:t>
      </w:r>
      <w:r w:rsidR="00AE63C7">
        <w:rPr>
          <w:rFonts w:asciiTheme="minorHAnsi" w:hAnsiTheme="minorHAnsi" w:cstheme="minorHAnsi"/>
          <w:bCs/>
          <w:smallCaps/>
          <w:spacing w:val="60"/>
        </w:rPr>
        <w:t>operačného programu technická pomoc 2014-2020</w:t>
      </w:r>
    </w:p>
    <w:p w:rsidR="0046600A" w:rsidRDefault="0046600A" w:rsidP="000256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aps w:val="0"/>
          <w:szCs w:val="28"/>
        </w:rPr>
        <w:t>Zoznam verzií OP TP</w:t>
      </w:r>
    </w:p>
    <w:tbl>
      <w:tblPr>
        <w:tblW w:w="864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4017"/>
        <w:gridCol w:w="1795"/>
        <w:gridCol w:w="1749"/>
      </w:tblGrid>
      <w:tr w:rsidR="0046600A" w:rsidRPr="003142FD" w:rsidTr="00AD2DF3">
        <w:trPr>
          <w:trHeight w:val="607"/>
          <w:jc w:val="center"/>
        </w:trPr>
        <w:tc>
          <w:tcPr>
            <w:tcW w:w="1087" w:type="dxa"/>
            <w:shd w:val="clear" w:color="auto" w:fill="FBD4B4" w:themeFill="accent6" w:themeFillTint="66"/>
            <w:vAlign w:val="center"/>
          </w:tcPr>
          <w:p w:rsidR="0046600A" w:rsidRPr="003142FD" w:rsidRDefault="0046600A" w:rsidP="00633AD7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Poradové číslo zmeny</w:t>
            </w:r>
          </w:p>
        </w:tc>
        <w:tc>
          <w:tcPr>
            <w:tcW w:w="4017" w:type="dxa"/>
            <w:shd w:val="clear" w:color="auto" w:fill="FBD4B4" w:themeFill="accent6" w:themeFillTint="66"/>
            <w:vAlign w:val="center"/>
          </w:tcPr>
          <w:p w:rsidR="0046600A" w:rsidRPr="003142FD" w:rsidRDefault="0046600A" w:rsidP="00633AD7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P</w:t>
            </w: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opis zmeny </w:t>
            </w:r>
          </w:p>
        </w:tc>
        <w:tc>
          <w:tcPr>
            <w:tcW w:w="1795" w:type="dxa"/>
            <w:shd w:val="clear" w:color="auto" w:fill="FBD4B4" w:themeFill="accent6" w:themeFillTint="66"/>
            <w:vAlign w:val="center"/>
          </w:tcPr>
          <w:p w:rsidR="0046600A" w:rsidRPr="003142FD" w:rsidRDefault="0046600A" w:rsidP="00B6752D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Číslo verzie </w:t>
            </w:r>
            <w:r w:rsidR="00B6752D">
              <w:rPr>
                <w:rFonts w:asciiTheme="minorHAnsi" w:hAnsiTheme="minorHAnsi" w:cstheme="minorHAnsi"/>
                <w:caps w:val="0"/>
                <w:sz w:val="20"/>
                <w:szCs w:val="20"/>
              </w:rPr>
              <w:t>OP TP</w:t>
            </w:r>
          </w:p>
        </w:tc>
        <w:tc>
          <w:tcPr>
            <w:tcW w:w="1749" w:type="dxa"/>
            <w:shd w:val="clear" w:color="auto" w:fill="FBD4B4" w:themeFill="accent6" w:themeFillTint="66"/>
            <w:vAlign w:val="center"/>
          </w:tcPr>
          <w:p w:rsidR="0046600A" w:rsidRPr="003142FD" w:rsidRDefault="0046600A" w:rsidP="00633AD7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Dátum </w:t>
            </w: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účinnosti</w:t>
            </w: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 dokumentu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AD2DF3" w:rsidRDefault="00AD2DF3" w:rsidP="00AD2DF3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AD2DF3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1</w:t>
            </w:r>
          </w:p>
        </w:tc>
        <w:tc>
          <w:tcPr>
            <w:tcW w:w="4017" w:type="dxa"/>
          </w:tcPr>
          <w:p w:rsidR="0046600A" w:rsidRPr="00AD2DF3" w:rsidRDefault="00AE63C7" w:rsidP="00AE63C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Schválená na národnej úrovni</w:t>
            </w:r>
          </w:p>
        </w:tc>
        <w:tc>
          <w:tcPr>
            <w:tcW w:w="1795" w:type="dxa"/>
          </w:tcPr>
          <w:p w:rsidR="0046600A" w:rsidRPr="00AD2DF3" w:rsidRDefault="00AE63C7" w:rsidP="00AE63C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1</w:t>
            </w:r>
            <w:r w:rsidR="00AD2DF3" w:rsidRPr="00AD2DF3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.0</w:t>
            </w:r>
          </w:p>
        </w:tc>
        <w:tc>
          <w:tcPr>
            <w:tcW w:w="1749" w:type="dxa"/>
          </w:tcPr>
          <w:p w:rsidR="0046600A" w:rsidRPr="00AD2DF3" w:rsidRDefault="00DC19CE" w:rsidP="00AD2DF3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14.5.2014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AE63C7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</w:t>
            </w:r>
          </w:p>
        </w:tc>
        <w:tc>
          <w:tcPr>
            <w:tcW w:w="4017" w:type="dxa"/>
          </w:tcPr>
          <w:p w:rsidR="0046600A" w:rsidRPr="0046600A" w:rsidRDefault="00AE63C7" w:rsidP="00AE63C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Schválená EK</w:t>
            </w:r>
          </w:p>
        </w:tc>
        <w:tc>
          <w:tcPr>
            <w:tcW w:w="1795" w:type="dxa"/>
          </w:tcPr>
          <w:p w:rsidR="0046600A" w:rsidRPr="0046600A" w:rsidRDefault="00AE63C7" w:rsidP="00AE63C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1.1</w:t>
            </w:r>
          </w:p>
        </w:tc>
        <w:tc>
          <w:tcPr>
            <w:tcW w:w="1749" w:type="dxa"/>
          </w:tcPr>
          <w:p w:rsidR="0046600A" w:rsidRPr="0046600A" w:rsidRDefault="00AE63C7" w:rsidP="00AE63C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15.12.2014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AE63C7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3</w:t>
            </w:r>
          </w:p>
        </w:tc>
        <w:tc>
          <w:tcPr>
            <w:tcW w:w="4017" w:type="dxa"/>
          </w:tcPr>
          <w:p w:rsidR="0046600A" w:rsidRPr="0046600A" w:rsidRDefault="00AE63C7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Schválená na národnej úrovni</w:t>
            </w:r>
          </w:p>
        </w:tc>
        <w:tc>
          <w:tcPr>
            <w:tcW w:w="1795" w:type="dxa"/>
          </w:tcPr>
          <w:p w:rsidR="0046600A" w:rsidRPr="0046600A" w:rsidRDefault="00BB19D1" w:rsidP="00AE63C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2.0</w:t>
            </w:r>
          </w:p>
        </w:tc>
        <w:tc>
          <w:tcPr>
            <w:tcW w:w="1749" w:type="dxa"/>
          </w:tcPr>
          <w:p w:rsidR="0046600A" w:rsidRPr="0046600A" w:rsidRDefault="00B6752D" w:rsidP="00B6752D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10.12.2015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BB19D1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4</w:t>
            </w:r>
          </w:p>
        </w:tc>
        <w:tc>
          <w:tcPr>
            <w:tcW w:w="4017" w:type="dxa"/>
          </w:tcPr>
          <w:p w:rsidR="0046600A" w:rsidRPr="0046600A" w:rsidRDefault="00BB19D1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Schválená na národnej úrovni</w:t>
            </w:r>
          </w:p>
        </w:tc>
        <w:tc>
          <w:tcPr>
            <w:tcW w:w="1795" w:type="dxa"/>
          </w:tcPr>
          <w:p w:rsidR="0046600A" w:rsidRPr="0046600A" w:rsidRDefault="00BB19D1" w:rsidP="00BB19D1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3.0</w:t>
            </w:r>
          </w:p>
        </w:tc>
        <w:tc>
          <w:tcPr>
            <w:tcW w:w="1749" w:type="dxa"/>
          </w:tcPr>
          <w:p w:rsidR="0046600A" w:rsidRPr="0046600A" w:rsidRDefault="00BB19D1" w:rsidP="00BB19D1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1.4.2016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5E30F3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5</w:t>
            </w:r>
          </w:p>
        </w:tc>
        <w:tc>
          <w:tcPr>
            <w:tcW w:w="4017" w:type="dxa"/>
          </w:tcPr>
          <w:p w:rsidR="0046600A" w:rsidRPr="0046600A" w:rsidRDefault="005E30F3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Schválená na národnej úrovni</w:t>
            </w:r>
          </w:p>
        </w:tc>
        <w:tc>
          <w:tcPr>
            <w:tcW w:w="1795" w:type="dxa"/>
          </w:tcPr>
          <w:p w:rsidR="0046600A" w:rsidRPr="0046600A" w:rsidRDefault="005E30F3" w:rsidP="005E30F3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3.1</w:t>
            </w:r>
          </w:p>
        </w:tc>
        <w:tc>
          <w:tcPr>
            <w:tcW w:w="1749" w:type="dxa"/>
          </w:tcPr>
          <w:p w:rsidR="0046600A" w:rsidRPr="0046600A" w:rsidRDefault="005E30F3" w:rsidP="005E30F3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25.5.2016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</w:tbl>
    <w:p w:rsidR="0046600A" w:rsidRPr="003142FD" w:rsidRDefault="0046600A">
      <w:pPr>
        <w:rPr>
          <w:rFonts w:asciiTheme="minorHAnsi" w:hAnsiTheme="minorHAnsi" w:cstheme="minorHAnsi"/>
        </w:rPr>
      </w:pPr>
    </w:p>
    <w:sectPr w:rsidR="0046600A" w:rsidRPr="003142FD" w:rsidSect="00CC2A0F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87" w:rsidRDefault="002F7787" w:rsidP="000D1598">
      <w:pPr>
        <w:spacing w:before="0" w:after="0"/>
      </w:pPr>
      <w:r>
        <w:separator/>
      </w:r>
    </w:p>
  </w:endnote>
  <w:endnote w:type="continuationSeparator" w:id="0">
    <w:p w:rsidR="002F7787" w:rsidRDefault="002F7787" w:rsidP="000D15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591832"/>
      <w:docPartObj>
        <w:docPartGallery w:val="Page Numbers (Bottom of Page)"/>
        <w:docPartUnique/>
      </w:docPartObj>
    </w:sdtPr>
    <w:sdtEndPr/>
    <w:sdtContent>
      <w:p w:rsidR="008A6E98" w:rsidRDefault="008A6E9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A3D">
          <w:rPr>
            <w:noProof/>
          </w:rPr>
          <w:t>3</w:t>
        </w:r>
        <w:r>
          <w:fldChar w:fldCharType="end"/>
        </w:r>
      </w:p>
    </w:sdtContent>
  </w:sdt>
  <w:p w:rsidR="008A6E98" w:rsidRDefault="008A6E9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87" w:rsidRDefault="002F7787" w:rsidP="000D1598">
      <w:pPr>
        <w:spacing w:before="0" w:after="0"/>
      </w:pPr>
      <w:r>
        <w:separator/>
      </w:r>
    </w:p>
  </w:footnote>
  <w:footnote w:type="continuationSeparator" w:id="0">
    <w:p w:rsidR="002F7787" w:rsidRDefault="002F7787" w:rsidP="000D15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0F" w:rsidRDefault="00CC2A0F" w:rsidP="00CC2A0F">
    <w:pPr>
      <w:pStyle w:val="Hlavika"/>
      <w:tabs>
        <w:tab w:val="clear" w:pos="4513"/>
        <w:tab w:val="center" w:pos="-284"/>
      </w:tabs>
      <w:jc w:val="both"/>
    </w:pPr>
    <w:r>
      <w:rPr>
        <w:noProof/>
        <w:lang w:eastAsia="sk-SK"/>
      </w:rPr>
      <w:drawing>
        <wp:anchor distT="0" distB="182880" distL="114300" distR="114300" simplePos="0" relativeHeight="251661312" behindDoc="1" locked="0" layoutInCell="1" allowOverlap="1" wp14:anchorId="27E150B1" wp14:editId="09E14DAD">
          <wp:simplePos x="0" y="0"/>
          <wp:positionH relativeFrom="column">
            <wp:posOffset>5259070</wp:posOffset>
          </wp:positionH>
          <wp:positionV relativeFrom="paragraph">
            <wp:posOffset>-2540</wp:posOffset>
          </wp:positionV>
          <wp:extent cx="925830" cy="704850"/>
          <wp:effectExtent l="0" t="0" r="7620" b="0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DCF">
      <w:rPr>
        <w:noProof/>
        <w:sz w:val="20"/>
        <w:lang w:eastAsia="sk-SK"/>
      </w:rPr>
      <w:drawing>
        <wp:inline distT="0" distB="0" distL="0" distR="0" wp14:anchorId="236DA23E" wp14:editId="3FF5E76F">
          <wp:extent cx="542925" cy="728013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2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A0F" w:rsidRDefault="00CC2A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2A8"/>
    <w:multiLevelType w:val="hybridMultilevel"/>
    <w:tmpl w:val="1C460190"/>
    <w:lvl w:ilvl="0" w:tplc="2CB80C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548DD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E7AFA"/>
    <w:multiLevelType w:val="hybridMultilevel"/>
    <w:tmpl w:val="1B20F1EA"/>
    <w:lvl w:ilvl="0" w:tplc="4F5E4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E3D0D"/>
    <w:multiLevelType w:val="hybridMultilevel"/>
    <w:tmpl w:val="392CDDC4"/>
    <w:lvl w:ilvl="0" w:tplc="26D2C77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  <w:color w:val="548DD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1E1DAD"/>
    <w:multiLevelType w:val="hybridMultilevel"/>
    <w:tmpl w:val="DE7A79F0"/>
    <w:lvl w:ilvl="0" w:tplc="592C7072">
      <w:start w:val="1"/>
      <w:numFmt w:val="upperLetter"/>
      <w:lvlText w:val="%1."/>
      <w:lvlJc w:val="left"/>
      <w:pPr>
        <w:ind w:left="1080" w:hanging="360"/>
      </w:pPr>
      <w:rPr>
        <w:b/>
        <w:i/>
        <w:color w:val="4F81BD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0B6554"/>
    <w:multiLevelType w:val="hybridMultilevel"/>
    <w:tmpl w:val="B4A25772"/>
    <w:lvl w:ilvl="0" w:tplc="428084C6">
      <w:start w:val="1"/>
      <w:numFmt w:val="upperLetter"/>
      <w:lvlText w:val="%1."/>
      <w:lvlJc w:val="left"/>
      <w:pPr>
        <w:ind w:left="700" w:hanging="360"/>
      </w:pPr>
      <w:rPr>
        <w:rFonts w:hint="default"/>
        <w:color w:val="548DD4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98"/>
    <w:rsid w:val="00021E53"/>
    <w:rsid w:val="0002568B"/>
    <w:rsid w:val="00032EAE"/>
    <w:rsid w:val="000534A4"/>
    <w:rsid w:val="00056F89"/>
    <w:rsid w:val="0006173F"/>
    <w:rsid w:val="00072EA1"/>
    <w:rsid w:val="000A0A53"/>
    <w:rsid w:val="000B6CA0"/>
    <w:rsid w:val="000D1598"/>
    <w:rsid w:val="0010400C"/>
    <w:rsid w:val="001074D7"/>
    <w:rsid w:val="00110071"/>
    <w:rsid w:val="001643EF"/>
    <w:rsid w:val="001C0411"/>
    <w:rsid w:val="001D1EA4"/>
    <w:rsid w:val="001D49ED"/>
    <w:rsid w:val="00226F8B"/>
    <w:rsid w:val="00257651"/>
    <w:rsid w:val="0027338D"/>
    <w:rsid w:val="00273C1D"/>
    <w:rsid w:val="00291781"/>
    <w:rsid w:val="002E5F16"/>
    <w:rsid w:val="002F7787"/>
    <w:rsid w:val="003142FD"/>
    <w:rsid w:val="00341C21"/>
    <w:rsid w:val="003501C8"/>
    <w:rsid w:val="00363467"/>
    <w:rsid w:val="00370C7D"/>
    <w:rsid w:val="00386B99"/>
    <w:rsid w:val="003A525C"/>
    <w:rsid w:val="003B2263"/>
    <w:rsid w:val="00463480"/>
    <w:rsid w:val="0046600A"/>
    <w:rsid w:val="00491A1F"/>
    <w:rsid w:val="004E7962"/>
    <w:rsid w:val="00511670"/>
    <w:rsid w:val="00547BC9"/>
    <w:rsid w:val="005762AD"/>
    <w:rsid w:val="005948F0"/>
    <w:rsid w:val="005952BA"/>
    <w:rsid w:val="005B61DE"/>
    <w:rsid w:val="005B68AB"/>
    <w:rsid w:val="005E30F3"/>
    <w:rsid w:val="0060325D"/>
    <w:rsid w:val="00610E78"/>
    <w:rsid w:val="00757022"/>
    <w:rsid w:val="00760C02"/>
    <w:rsid w:val="007E0CFF"/>
    <w:rsid w:val="007E5771"/>
    <w:rsid w:val="00855E9C"/>
    <w:rsid w:val="00860232"/>
    <w:rsid w:val="00860702"/>
    <w:rsid w:val="0087051E"/>
    <w:rsid w:val="00884BCB"/>
    <w:rsid w:val="008A6E98"/>
    <w:rsid w:val="008F3E02"/>
    <w:rsid w:val="00903D1D"/>
    <w:rsid w:val="009137EE"/>
    <w:rsid w:val="0091737C"/>
    <w:rsid w:val="00965F7D"/>
    <w:rsid w:val="0097613F"/>
    <w:rsid w:val="00981FA1"/>
    <w:rsid w:val="009A7142"/>
    <w:rsid w:val="009E52C1"/>
    <w:rsid w:val="00A0644C"/>
    <w:rsid w:val="00A43E0F"/>
    <w:rsid w:val="00A63030"/>
    <w:rsid w:val="00A83621"/>
    <w:rsid w:val="00AD2DF3"/>
    <w:rsid w:val="00AE63C7"/>
    <w:rsid w:val="00B10CAD"/>
    <w:rsid w:val="00B6752D"/>
    <w:rsid w:val="00BA005D"/>
    <w:rsid w:val="00BA252F"/>
    <w:rsid w:val="00BB19D1"/>
    <w:rsid w:val="00BD6663"/>
    <w:rsid w:val="00C12A91"/>
    <w:rsid w:val="00C94E0A"/>
    <w:rsid w:val="00CC2A0F"/>
    <w:rsid w:val="00CC5FB8"/>
    <w:rsid w:val="00D11340"/>
    <w:rsid w:val="00D207A3"/>
    <w:rsid w:val="00D30715"/>
    <w:rsid w:val="00D40973"/>
    <w:rsid w:val="00D41D17"/>
    <w:rsid w:val="00D45E28"/>
    <w:rsid w:val="00DB2750"/>
    <w:rsid w:val="00DC19CE"/>
    <w:rsid w:val="00DC54A2"/>
    <w:rsid w:val="00DC7DB1"/>
    <w:rsid w:val="00DE248D"/>
    <w:rsid w:val="00E44A3D"/>
    <w:rsid w:val="00E60E65"/>
    <w:rsid w:val="00E77B7E"/>
    <w:rsid w:val="00EA0CD7"/>
    <w:rsid w:val="00EF6C9A"/>
    <w:rsid w:val="00F07022"/>
    <w:rsid w:val="00F12827"/>
    <w:rsid w:val="00F13C15"/>
    <w:rsid w:val="00F84E9A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1598"/>
    <w:pPr>
      <w:keepNext/>
      <w:keepLines/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D159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Pta">
    <w:name w:val="footer"/>
    <w:basedOn w:val="Normlny"/>
    <w:link w:val="Pt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E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E65"/>
    <w:rPr>
      <w:rFonts w:ascii="Tahoma" w:eastAsia="Times New Roman" w:hAnsi="Tahoma" w:cs="Tahoma"/>
      <w:b/>
      <w:caps/>
      <w:sz w:val="16"/>
      <w:szCs w:val="16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5B68AB"/>
    <w:rPr>
      <w:rFonts w:ascii="Arial" w:eastAsia="Times New Roman" w:hAnsi="Arial" w:cs="Times New Roman"/>
      <w:b/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1598"/>
    <w:pPr>
      <w:keepNext/>
      <w:keepLines/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D159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Pta">
    <w:name w:val="footer"/>
    <w:basedOn w:val="Normlny"/>
    <w:link w:val="Pt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E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E65"/>
    <w:rPr>
      <w:rFonts w:ascii="Tahoma" w:eastAsia="Times New Roman" w:hAnsi="Tahoma" w:cs="Tahoma"/>
      <w:b/>
      <w:caps/>
      <w:sz w:val="16"/>
      <w:szCs w:val="16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5B68AB"/>
    <w:rPr>
      <w:rFonts w:ascii="Arial" w:eastAsia="Times New Roman" w:hAnsi="Arial" w:cs="Times New Roman"/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2015-06-25T06:20:00Z</dcterms:created>
  <dcterms:modified xsi:type="dcterms:W3CDTF">2016-06-07T06:34:00Z</dcterms:modified>
</cp:coreProperties>
</file>