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CC5171" w:rsidRDefault="009836CF" w:rsidP="00D61BB6">
      <w:pPr>
        <w:rPr>
          <w:sz w:val="22"/>
          <w:szCs w:val="22"/>
        </w:rPr>
      </w:pPr>
      <w:r w:rsidRPr="00CC5171">
        <w:rPr>
          <w:noProof/>
          <w:sz w:val="22"/>
          <w:szCs w:val="22"/>
        </w:rPr>
        <w:drawing>
          <wp:anchor distT="0" distB="0" distL="114300" distR="114300" simplePos="0" relativeHeight="251661312" behindDoc="1" locked="0" layoutInCell="1" allowOverlap="1" wp14:anchorId="792E6B84" wp14:editId="04DF8FA2">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CC5171">
        <w:rPr>
          <w:noProof/>
          <w:sz w:val="22"/>
          <w:szCs w:val="22"/>
        </w:rPr>
        <w:drawing>
          <wp:anchor distT="0" distB="0" distL="114300" distR="114300" simplePos="0" relativeHeight="251658240" behindDoc="0" locked="0" layoutInCell="1" allowOverlap="1" wp14:anchorId="0F95E3E4" wp14:editId="0454517D">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CC5171" w:rsidDel="00E701EB">
        <w:rPr>
          <w:sz w:val="22"/>
          <w:szCs w:val="22"/>
        </w:rPr>
        <w:t xml:space="preserve"> </w:t>
      </w:r>
      <w:r w:rsidR="00D61BB6" w:rsidRPr="00CC5171">
        <w:rPr>
          <w:sz w:val="22"/>
          <w:szCs w:val="22"/>
        </w:rPr>
        <w:tab/>
      </w:r>
      <w:r w:rsidR="00D61BB6" w:rsidRPr="00CC5171">
        <w:rPr>
          <w:sz w:val="22"/>
          <w:szCs w:val="22"/>
        </w:rPr>
        <w:tab/>
      </w:r>
      <w:r w:rsidR="00D61BB6" w:rsidRPr="00CC5171">
        <w:rPr>
          <w:sz w:val="22"/>
          <w:szCs w:val="22"/>
        </w:rPr>
        <w:tab/>
      </w:r>
      <w:r w:rsidR="00D61BB6" w:rsidRPr="00CC5171">
        <w:rPr>
          <w:sz w:val="22"/>
          <w:szCs w:val="22"/>
        </w:rPr>
        <w:tab/>
      </w:r>
      <w:r w:rsidR="00D61BB6" w:rsidRPr="00CC5171">
        <w:rPr>
          <w:sz w:val="22"/>
          <w:szCs w:val="22"/>
        </w:rPr>
        <w:tab/>
      </w:r>
      <w:r w:rsidR="00D61BB6" w:rsidRPr="00CC5171">
        <w:rPr>
          <w:noProof/>
          <w:sz w:val="22"/>
          <w:szCs w:val="22"/>
        </w:rPr>
        <w:drawing>
          <wp:anchor distT="0" distB="0" distL="114300" distR="114300" simplePos="0" relativeHeight="251657216" behindDoc="0" locked="1" layoutInCell="1" allowOverlap="1" wp14:anchorId="31C6C99B" wp14:editId="323104B2">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CC5171">
        <w:rPr>
          <w:sz w:val="22"/>
          <w:szCs w:val="22"/>
        </w:rPr>
        <w:t xml:space="preserve">    </w:t>
      </w:r>
      <w:r w:rsidR="00D61BB6" w:rsidRPr="00CC5171">
        <w:rPr>
          <w:sz w:val="22"/>
          <w:szCs w:val="22"/>
        </w:rPr>
        <w:tab/>
      </w:r>
      <w:r w:rsidR="00D61BB6" w:rsidRPr="00CC5171">
        <w:rPr>
          <w:sz w:val="22"/>
          <w:szCs w:val="22"/>
        </w:rPr>
        <w:tab/>
      </w:r>
      <w:r w:rsidR="00D61BB6" w:rsidRPr="00CC5171">
        <w:rPr>
          <w:sz w:val="22"/>
          <w:szCs w:val="22"/>
        </w:rPr>
        <w:tab/>
        <w:t xml:space="preserve">         </w:t>
      </w:r>
    </w:p>
    <w:p w:rsidR="00D61BB6" w:rsidRPr="00CC5171" w:rsidRDefault="00D61BB6" w:rsidP="00D61BB6">
      <w:pPr>
        <w:jc w:val="center"/>
        <w:rPr>
          <w:sz w:val="22"/>
          <w:szCs w:val="22"/>
        </w:rPr>
      </w:pPr>
    </w:p>
    <w:p w:rsidR="00D61BB6" w:rsidRPr="00CC5171" w:rsidRDefault="00D61BB6" w:rsidP="00D61BB6">
      <w:pPr>
        <w:jc w:val="center"/>
        <w:rPr>
          <w:b/>
          <w:sz w:val="22"/>
          <w:szCs w:val="22"/>
        </w:rPr>
      </w:pPr>
    </w:p>
    <w:p w:rsidR="009836CF" w:rsidRPr="00CC5171" w:rsidRDefault="009836CF" w:rsidP="00D61BB6">
      <w:pPr>
        <w:jc w:val="center"/>
        <w:rPr>
          <w:b/>
          <w:sz w:val="22"/>
          <w:szCs w:val="22"/>
        </w:rPr>
      </w:pPr>
    </w:p>
    <w:p w:rsidR="009836CF" w:rsidRPr="00CC5171" w:rsidRDefault="009836CF" w:rsidP="00D61BB6">
      <w:pPr>
        <w:jc w:val="center"/>
        <w:rPr>
          <w:b/>
          <w:sz w:val="22"/>
          <w:szCs w:val="22"/>
        </w:rPr>
      </w:pPr>
    </w:p>
    <w:p w:rsidR="003B0DFE" w:rsidRPr="00CC5171" w:rsidRDefault="003B0DFE" w:rsidP="00D61BB6">
      <w:pPr>
        <w:jc w:val="center"/>
        <w:rPr>
          <w:b/>
          <w:sz w:val="22"/>
          <w:szCs w:val="22"/>
        </w:rPr>
      </w:pPr>
    </w:p>
    <w:p w:rsidR="00C6439D" w:rsidRPr="003B3FF6" w:rsidRDefault="00D239D4" w:rsidP="00541FF5">
      <w:pPr>
        <w:jc w:val="center"/>
        <w:rPr>
          <w:b/>
          <w:sz w:val="40"/>
          <w:szCs w:val="22"/>
        </w:rPr>
      </w:pPr>
      <w:r w:rsidRPr="003B3FF6">
        <w:rPr>
          <w:b/>
          <w:sz w:val="40"/>
          <w:szCs w:val="22"/>
        </w:rPr>
        <w:t>Metodický pokyn</w:t>
      </w:r>
      <w:r w:rsidR="00D61BB6" w:rsidRPr="003B3FF6">
        <w:rPr>
          <w:b/>
          <w:sz w:val="40"/>
          <w:szCs w:val="22"/>
        </w:rPr>
        <w:t xml:space="preserve"> CKO č. </w:t>
      </w:r>
      <w:sdt>
        <w:sdtPr>
          <w:rPr>
            <w:b/>
            <w:sz w:val="40"/>
            <w:szCs w:val="22"/>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17207">
            <w:rPr>
              <w:b/>
              <w:sz w:val="40"/>
              <w:szCs w:val="22"/>
            </w:rPr>
            <w:t>15</w:t>
          </w:r>
        </w:sdtContent>
      </w:sdt>
    </w:p>
    <w:p w:rsidR="00D61BB6" w:rsidRPr="001C61D0" w:rsidRDefault="00C6439D" w:rsidP="00541FF5">
      <w:pPr>
        <w:jc w:val="center"/>
        <w:rPr>
          <w:b/>
          <w:sz w:val="32"/>
          <w:szCs w:val="22"/>
        </w:rPr>
      </w:pPr>
      <w:r w:rsidRPr="001C61D0">
        <w:rPr>
          <w:b/>
          <w:sz w:val="32"/>
          <w:szCs w:val="22"/>
        </w:rPr>
        <w:t xml:space="preserve">verzia </w:t>
      </w:r>
      <w:sdt>
        <w:sdtPr>
          <w:rPr>
            <w:b/>
            <w:sz w:val="32"/>
            <w:szCs w:val="2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D1E3D">
            <w:rPr>
              <w:b/>
              <w:sz w:val="32"/>
              <w:szCs w:val="22"/>
            </w:rPr>
            <w:t>2</w:t>
          </w:r>
        </w:sdtContent>
      </w:sdt>
    </w:p>
    <w:p w:rsidR="00D61BB6" w:rsidRPr="00CC5171" w:rsidRDefault="00D61BB6" w:rsidP="00D61BB6">
      <w:pPr>
        <w:jc w:val="center"/>
        <w:rPr>
          <w:b/>
          <w:sz w:val="22"/>
          <w:szCs w:val="22"/>
        </w:rPr>
      </w:pPr>
    </w:p>
    <w:p w:rsidR="003B0DFE" w:rsidRPr="00CC5171" w:rsidRDefault="003B0DFE" w:rsidP="00D61BB6">
      <w:pPr>
        <w:jc w:val="center"/>
        <w:rPr>
          <w:b/>
          <w:sz w:val="22"/>
          <w:szCs w:val="22"/>
        </w:rPr>
      </w:pPr>
    </w:p>
    <w:p w:rsidR="00D61BB6" w:rsidRPr="003B3FF6" w:rsidRDefault="00D61BB6" w:rsidP="00D61BB6">
      <w:pPr>
        <w:jc w:val="center"/>
        <w:rPr>
          <w:b/>
          <w:sz w:val="28"/>
          <w:szCs w:val="22"/>
        </w:rPr>
      </w:pPr>
      <w:r w:rsidRPr="003B3FF6">
        <w:rPr>
          <w:b/>
          <w:sz w:val="28"/>
          <w:szCs w:val="22"/>
        </w:rPr>
        <w:t>Programové obdobie 2014 – 2020</w:t>
      </w:r>
    </w:p>
    <w:p w:rsidR="00D61BB6" w:rsidRPr="00CC5171" w:rsidRDefault="00D61BB6" w:rsidP="006479DF">
      <w:pPr>
        <w:rPr>
          <w:sz w:val="22"/>
          <w:szCs w:val="22"/>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Vec:</w:t>
            </w:r>
            <w:r w:rsidR="000E2E4D" w:rsidRPr="003B3FF6">
              <w:rPr>
                <w:b/>
                <w:sz w:val="26"/>
                <w:szCs w:val="26"/>
              </w:rPr>
              <w:t xml:space="preserve">    </w:t>
            </w:r>
          </w:p>
          <w:p w:rsidR="0084743A" w:rsidRPr="003B3FF6" w:rsidRDefault="0084743A" w:rsidP="006479DF">
            <w:pPr>
              <w:rPr>
                <w:b/>
                <w:sz w:val="26"/>
                <w:szCs w:val="26"/>
              </w:rPr>
            </w:pPr>
          </w:p>
          <w:p w:rsidR="0084743A" w:rsidRPr="003B3FF6" w:rsidRDefault="0084743A" w:rsidP="006479DF">
            <w:pPr>
              <w:rPr>
                <w:b/>
                <w:sz w:val="26"/>
                <w:szCs w:val="26"/>
              </w:rPr>
            </w:pPr>
          </w:p>
          <w:p w:rsidR="0084743A" w:rsidRPr="003B3FF6" w:rsidRDefault="0084743A" w:rsidP="006479DF">
            <w:pPr>
              <w:rPr>
                <w:b/>
                <w:sz w:val="26"/>
                <w:szCs w:val="26"/>
              </w:rPr>
            </w:pPr>
          </w:p>
        </w:tc>
        <w:tc>
          <w:tcPr>
            <w:tcW w:w="6696" w:type="dxa"/>
            <w:shd w:val="clear" w:color="auto" w:fill="8DB3E2" w:themeFill="text2" w:themeFillTint="66"/>
          </w:tcPr>
          <w:p w:rsidR="000E2E4D" w:rsidRPr="002E035A" w:rsidRDefault="000E2E4D" w:rsidP="000E2E4D">
            <w:r w:rsidRPr="002E035A">
              <w:t>k</w:t>
            </w:r>
            <w:r w:rsidR="00A20407" w:rsidRPr="002E035A">
              <w:t> monitorovaniu projektov</w:t>
            </w:r>
          </w:p>
          <w:p w:rsidR="009836CF" w:rsidRPr="002E035A" w:rsidRDefault="009836CF" w:rsidP="006A5157">
            <w:pPr>
              <w:jc w:val="both"/>
            </w:pPr>
            <w:bookmarkStart w:id="0" w:name="_GoBack"/>
            <w:bookmarkEnd w:id="0"/>
          </w:p>
        </w:tc>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Určené pre:</w:t>
            </w:r>
          </w:p>
          <w:p w:rsidR="0084743A" w:rsidRPr="003B3FF6" w:rsidRDefault="0084743A" w:rsidP="006479DF">
            <w:pPr>
              <w:rPr>
                <w:b/>
                <w:sz w:val="26"/>
                <w:szCs w:val="26"/>
              </w:rPr>
            </w:pPr>
          </w:p>
          <w:p w:rsidR="0084743A" w:rsidRPr="003B3FF6" w:rsidRDefault="0084743A" w:rsidP="006479DF">
            <w:pPr>
              <w:rPr>
                <w:b/>
                <w:sz w:val="26"/>
                <w:szCs w:val="26"/>
              </w:rPr>
            </w:pPr>
          </w:p>
          <w:p w:rsidR="0084743A" w:rsidRPr="003B3FF6" w:rsidRDefault="0084743A" w:rsidP="006479DF">
            <w:pPr>
              <w:rPr>
                <w:b/>
                <w:sz w:val="26"/>
                <w:szCs w:val="26"/>
              </w:rPr>
            </w:pPr>
          </w:p>
        </w:tc>
        <w:tc>
          <w:tcPr>
            <w:tcW w:w="6696" w:type="dxa"/>
            <w:shd w:val="clear" w:color="auto" w:fill="8DB3E2" w:themeFill="text2" w:themeFillTint="66"/>
          </w:tcPr>
          <w:p w:rsidR="009836CF" w:rsidRPr="000D77A6" w:rsidRDefault="000E2E4D" w:rsidP="006A5157">
            <w:pPr>
              <w:jc w:val="both"/>
            </w:pPr>
            <w:r w:rsidRPr="000D77A6">
              <w:t>Riadiace orgány</w:t>
            </w:r>
          </w:p>
          <w:p w:rsidR="00A20407" w:rsidRPr="000D77A6" w:rsidRDefault="00A20407" w:rsidP="00A20407">
            <w:pPr>
              <w:jc w:val="both"/>
            </w:pPr>
            <w:r w:rsidRPr="000D77A6">
              <w:t>Sprostredkovateľské orgány</w:t>
            </w:r>
          </w:p>
        </w:tc>
      </w:tr>
      <w:tr w:rsidR="009836CF" w:rsidRPr="00CC5171" w:rsidTr="00E24D44">
        <w:tc>
          <w:tcPr>
            <w:tcW w:w="2268" w:type="dxa"/>
            <w:shd w:val="clear" w:color="auto" w:fill="8DB3E2" w:themeFill="text2" w:themeFillTint="66"/>
          </w:tcPr>
          <w:p w:rsidR="009836CF" w:rsidRPr="003B3FF6" w:rsidRDefault="00116F61" w:rsidP="006479DF">
            <w:pPr>
              <w:rPr>
                <w:b/>
                <w:sz w:val="26"/>
                <w:szCs w:val="26"/>
              </w:rPr>
            </w:pPr>
            <w:r w:rsidRPr="003B3FF6">
              <w:rPr>
                <w:b/>
                <w:sz w:val="26"/>
                <w:szCs w:val="26"/>
              </w:rPr>
              <w:t>Na vedomie:</w:t>
            </w:r>
          </w:p>
          <w:p w:rsidR="0084743A" w:rsidRPr="003B3FF6" w:rsidRDefault="0084743A" w:rsidP="006479DF">
            <w:pPr>
              <w:rPr>
                <w:b/>
                <w:sz w:val="26"/>
                <w:szCs w:val="26"/>
              </w:rPr>
            </w:pPr>
          </w:p>
          <w:p w:rsidR="0084743A" w:rsidRPr="003B3FF6" w:rsidRDefault="0084743A" w:rsidP="006479DF">
            <w:pPr>
              <w:rPr>
                <w:b/>
                <w:sz w:val="26"/>
                <w:szCs w:val="26"/>
              </w:rPr>
            </w:pPr>
          </w:p>
          <w:p w:rsidR="0084743A" w:rsidRPr="003B3FF6" w:rsidRDefault="0084743A" w:rsidP="006479DF">
            <w:pPr>
              <w:rPr>
                <w:b/>
                <w:sz w:val="26"/>
                <w:szCs w:val="26"/>
              </w:rPr>
            </w:pPr>
          </w:p>
        </w:tc>
        <w:tc>
          <w:tcPr>
            <w:tcW w:w="6696" w:type="dxa"/>
            <w:shd w:val="clear" w:color="auto" w:fill="8DB3E2" w:themeFill="text2" w:themeFillTint="66"/>
          </w:tcPr>
          <w:p w:rsidR="00B91F3C" w:rsidRPr="000D77A6" w:rsidRDefault="00B91F3C" w:rsidP="00B91F3C">
            <w:pPr>
              <w:jc w:val="both"/>
            </w:pPr>
            <w:r w:rsidRPr="000D77A6">
              <w:t>Certifikačný orgán</w:t>
            </w:r>
          </w:p>
          <w:p w:rsidR="00B91F3C" w:rsidRPr="000D77A6" w:rsidRDefault="00B91F3C" w:rsidP="00B91F3C">
            <w:pPr>
              <w:jc w:val="both"/>
            </w:pPr>
            <w:r w:rsidRPr="000D77A6">
              <w:t>Orgán auditu</w:t>
            </w:r>
          </w:p>
          <w:p w:rsidR="009836CF" w:rsidRPr="000D77A6" w:rsidRDefault="00B91F3C" w:rsidP="00B91F3C">
            <w:pPr>
              <w:jc w:val="both"/>
            </w:pPr>
            <w:r w:rsidRPr="000D77A6">
              <w:t>Gestori horizontálnych princípov</w:t>
            </w:r>
          </w:p>
          <w:p w:rsidR="000E2E4D" w:rsidRPr="000D77A6" w:rsidRDefault="000E2E4D" w:rsidP="00B91F3C">
            <w:pPr>
              <w:jc w:val="both"/>
            </w:pPr>
          </w:p>
        </w:tc>
      </w:tr>
      <w:tr w:rsidR="009836CF" w:rsidRPr="00CC5171" w:rsidTr="00E24D44">
        <w:tc>
          <w:tcPr>
            <w:tcW w:w="2268" w:type="dxa"/>
            <w:shd w:val="clear" w:color="auto" w:fill="8DB3E2" w:themeFill="text2" w:themeFillTint="66"/>
          </w:tcPr>
          <w:p w:rsidR="009836CF" w:rsidRPr="003B3FF6" w:rsidRDefault="00116F61" w:rsidP="006479DF">
            <w:pPr>
              <w:rPr>
                <w:b/>
                <w:sz w:val="26"/>
                <w:szCs w:val="26"/>
              </w:rPr>
            </w:pPr>
            <w:r w:rsidRPr="003B3FF6">
              <w:rPr>
                <w:b/>
                <w:sz w:val="26"/>
                <w:szCs w:val="26"/>
              </w:rPr>
              <w:t>Vydáva:</w:t>
            </w:r>
          </w:p>
          <w:p w:rsidR="0084743A" w:rsidRPr="003B3FF6" w:rsidRDefault="0084743A" w:rsidP="006479DF">
            <w:pPr>
              <w:rPr>
                <w:b/>
                <w:sz w:val="26"/>
                <w:szCs w:val="26"/>
              </w:rPr>
            </w:pPr>
          </w:p>
          <w:p w:rsidR="003B0DFE" w:rsidRPr="003B3FF6" w:rsidRDefault="003B0DFE" w:rsidP="006479DF">
            <w:pPr>
              <w:rPr>
                <w:b/>
                <w:sz w:val="26"/>
                <w:szCs w:val="26"/>
              </w:rPr>
            </w:pPr>
          </w:p>
          <w:p w:rsidR="003B0DFE" w:rsidRPr="003B3FF6" w:rsidRDefault="003B0DFE" w:rsidP="006479DF">
            <w:pPr>
              <w:rPr>
                <w:b/>
                <w:sz w:val="26"/>
                <w:szCs w:val="26"/>
              </w:rPr>
            </w:pPr>
          </w:p>
          <w:p w:rsidR="003B0DFE" w:rsidRPr="003B3FF6" w:rsidRDefault="003B0DFE" w:rsidP="006479DF">
            <w:pPr>
              <w:rPr>
                <w:b/>
                <w:sz w:val="26"/>
                <w:szCs w:val="26"/>
              </w:rPr>
            </w:pPr>
          </w:p>
        </w:tc>
        <w:tc>
          <w:tcPr>
            <w:tcW w:w="6696" w:type="dxa"/>
            <w:shd w:val="clear" w:color="auto" w:fill="8DB3E2" w:themeFill="text2" w:themeFillTint="66"/>
          </w:tcPr>
          <w:p w:rsidR="009836CF" w:rsidRPr="000D77A6" w:rsidRDefault="0084743A" w:rsidP="006A5157">
            <w:pPr>
              <w:jc w:val="both"/>
            </w:pPr>
            <w:r w:rsidRPr="000D77A6">
              <w:t>Centrálny koordinačný orgán</w:t>
            </w:r>
          </w:p>
          <w:p w:rsidR="0084743A" w:rsidRPr="000D77A6" w:rsidRDefault="0084743A" w:rsidP="006A5157">
            <w:pPr>
              <w:jc w:val="both"/>
            </w:pPr>
            <w:r w:rsidRPr="000D77A6">
              <w:t>Úrad vlády SR</w:t>
            </w:r>
          </w:p>
          <w:p w:rsidR="00B53B4A" w:rsidRPr="000D77A6" w:rsidRDefault="00B53B4A" w:rsidP="007A0A10">
            <w:pPr>
              <w:jc w:val="both"/>
            </w:pPr>
            <w:r w:rsidRPr="000D77A6">
              <w:t xml:space="preserve">v súlade s kapitolou 1.2, ods. 3, písm. </w:t>
            </w:r>
            <w:r w:rsidR="007A0A10" w:rsidRPr="000D77A6">
              <w:t>b</w:t>
            </w:r>
            <w:r w:rsidRPr="000D77A6">
              <w:t xml:space="preserve">) Systému riadenia </w:t>
            </w:r>
            <w:r w:rsidR="003B0DFE" w:rsidRPr="000D77A6">
              <w:t>európskych štrukturálnych a investičných fondov</w:t>
            </w:r>
          </w:p>
        </w:tc>
      </w:tr>
      <w:tr w:rsidR="009836CF" w:rsidRPr="00CC5171" w:rsidTr="00E24D44">
        <w:tc>
          <w:tcPr>
            <w:tcW w:w="2268" w:type="dxa"/>
            <w:shd w:val="clear" w:color="auto" w:fill="8DB3E2" w:themeFill="text2" w:themeFillTint="66"/>
          </w:tcPr>
          <w:p w:rsidR="009836CF" w:rsidRPr="003B3FF6" w:rsidRDefault="00116F61" w:rsidP="006479DF">
            <w:pPr>
              <w:rPr>
                <w:b/>
                <w:sz w:val="26"/>
                <w:szCs w:val="26"/>
              </w:rPr>
            </w:pPr>
            <w:r w:rsidRPr="003B3FF6">
              <w:rPr>
                <w:b/>
                <w:sz w:val="26"/>
                <w:szCs w:val="26"/>
              </w:rPr>
              <w:t>Záväznosť:</w:t>
            </w:r>
          </w:p>
          <w:p w:rsidR="0084743A" w:rsidRPr="003B3FF6" w:rsidRDefault="0084743A" w:rsidP="006479DF">
            <w:pPr>
              <w:rPr>
                <w:b/>
                <w:sz w:val="26"/>
                <w:szCs w:val="26"/>
              </w:rPr>
            </w:pPr>
          </w:p>
          <w:p w:rsidR="006A5157" w:rsidRPr="003B3FF6" w:rsidRDefault="006A5157" w:rsidP="006479DF">
            <w:pPr>
              <w:rPr>
                <w:b/>
                <w:sz w:val="26"/>
                <w:szCs w:val="26"/>
              </w:rPr>
            </w:pPr>
          </w:p>
        </w:tc>
        <w:sdt>
          <w:sdt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836CF" w:rsidRPr="000D77A6" w:rsidRDefault="001C61D0" w:rsidP="006A5157">
                <w:pPr>
                  <w:jc w:val="both"/>
                </w:pPr>
                <w:r w:rsidRPr="000D77A6">
                  <w:t>Metodický pokyn má záväzný charakter v celom rozsahu, ak v jeho texte nie je pri konkrétnom ustanovení uvedené inak.</w:t>
                </w:r>
              </w:p>
            </w:tc>
          </w:sdtContent>
        </w:sdt>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Počet príloh:</w:t>
            </w:r>
          </w:p>
          <w:p w:rsidR="003B3FF6" w:rsidRPr="003B3FF6" w:rsidRDefault="003B3FF6" w:rsidP="006479DF">
            <w:pPr>
              <w:rPr>
                <w:b/>
                <w:sz w:val="26"/>
                <w:szCs w:val="26"/>
              </w:rPr>
            </w:pPr>
          </w:p>
          <w:p w:rsidR="003B0DFE" w:rsidRPr="003B3FF6" w:rsidRDefault="003B0DFE" w:rsidP="006479DF">
            <w:pPr>
              <w:rPr>
                <w:b/>
                <w:sz w:val="26"/>
                <w:szCs w:val="26"/>
              </w:rPr>
            </w:pPr>
          </w:p>
        </w:tc>
        <w:tc>
          <w:tcPr>
            <w:tcW w:w="6696" w:type="dxa"/>
            <w:shd w:val="clear" w:color="auto" w:fill="8DB3E2" w:themeFill="text2" w:themeFillTint="66"/>
          </w:tcPr>
          <w:p w:rsidR="009836CF" w:rsidRPr="000D77A6" w:rsidRDefault="006321E6" w:rsidP="006A5157">
            <w:pPr>
              <w:jc w:val="both"/>
              <w:rPr>
                <w:rStyle w:val="Textzstupnhosymbolu"/>
                <w:rFonts w:eastAsiaTheme="minorHAnsi"/>
              </w:rPr>
            </w:pPr>
            <w:sdt>
              <w:sdtPr>
                <w:alias w:val="Počet príloh"/>
                <w:tag w:val="Počet príloh"/>
                <w:id w:val="321319884"/>
                <w:placeholder>
                  <w:docPart w:val="573B6D5BC6724A19BFB45D0925A83680"/>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415859">
                  <w:t>0</w:t>
                </w:r>
              </w:sdtContent>
            </w:sdt>
          </w:p>
        </w:tc>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Dátum vydania:</w:t>
            </w:r>
          </w:p>
          <w:p w:rsidR="006A5157" w:rsidRPr="003B3FF6" w:rsidRDefault="006A5157" w:rsidP="006479DF">
            <w:pPr>
              <w:rPr>
                <w:b/>
                <w:sz w:val="26"/>
                <w:szCs w:val="26"/>
              </w:rPr>
            </w:pPr>
          </w:p>
          <w:p w:rsidR="003B0DFE" w:rsidRPr="003B3FF6" w:rsidRDefault="003B0DFE" w:rsidP="006479DF">
            <w:pPr>
              <w:rPr>
                <w:b/>
                <w:sz w:val="26"/>
                <w:szCs w:val="26"/>
              </w:rPr>
            </w:pPr>
          </w:p>
        </w:tc>
        <w:sdt>
          <w:sdtPr>
            <w:rPr>
              <w:szCs w:val="20"/>
            </w:rPr>
            <w:id w:val="88820667"/>
            <w:placeholder>
              <w:docPart w:val="7475EC445D6B4D9F8D6220CD6E69B138"/>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9836CF" w:rsidRPr="000D77A6" w:rsidRDefault="006321E6" w:rsidP="006A5157">
                <w:pPr>
                  <w:jc w:val="both"/>
                </w:pPr>
                <w:r>
                  <w:rPr>
                    <w:szCs w:val="20"/>
                  </w:rPr>
                  <w:t>11.02.2016</w:t>
                </w:r>
              </w:p>
            </w:tc>
          </w:sdtContent>
        </w:sdt>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Dátum účinnosti:</w:t>
            </w:r>
          </w:p>
          <w:p w:rsidR="006A5157" w:rsidRPr="003B3FF6" w:rsidRDefault="006A5157" w:rsidP="006479DF">
            <w:pPr>
              <w:rPr>
                <w:b/>
                <w:sz w:val="26"/>
                <w:szCs w:val="26"/>
              </w:rPr>
            </w:pPr>
          </w:p>
          <w:p w:rsidR="003B0DFE" w:rsidRPr="003B3FF6" w:rsidRDefault="003B0DFE" w:rsidP="006479DF">
            <w:pPr>
              <w:rPr>
                <w:b/>
                <w:sz w:val="26"/>
                <w:szCs w:val="26"/>
              </w:rPr>
            </w:pPr>
          </w:p>
        </w:tc>
        <w:sdt>
          <w:sdtPr>
            <w:rPr>
              <w:szCs w:val="20"/>
            </w:rPr>
            <w:id w:val="646402349"/>
            <w:placeholder>
              <w:docPart w:val="2FDF2C96005F4ED3B9EBA19B42638497"/>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9836CF" w:rsidRPr="000D77A6" w:rsidRDefault="006321E6" w:rsidP="006A5157">
                <w:pPr>
                  <w:jc w:val="both"/>
                </w:pPr>
                <w:r>
                  <w:rPr>
                    <w:szCs w:val="20"/>
                  </w:rPr>
                  <w:t>11.02.2016</w:t>
                </w:r>
              </w:p>
            </w:tc>
          </w:sdtContent>
        </w:sdt>
      </w:tr>
      <w:tr w:rsidR="009836CF" w:rsidRPr="00CC5171" w:rsidTr="00E24D44">
        <w:tc>
          <w:tcPr>
            <w:tcW w:w="2268" w:type="dxa"/>
            <w:shd w:val="clear" w:color="auto" w:fill="8DB3E2" w:themeFill="text2" w:themeFillTint="66"/>
          </w:tcPr>
          <w:p w:rsidR="009836CF" w:rsidRPr="003B3FF6" w:rsidRDefault="009836CF" w:rsidP="006479DF">
            <w:pPr>
              <w:rPr>
                <w:b/>
                <w:sz w:val="26"/>
                <w:szCs w:val="26"/>
              </w:rPr>
            </w:pPr>
            <w:r w:rsidRPr="003B3FF6">
              <w:rPr>
                <w:b/>
                <w:sz w:val="26"/>
                <w:szCs w:val="26"/>
              </w:rPr>
              <w:t>Schválil:</w:t>
            </w:r>
          </w:p>
        </w:tc>
        <w:tc>
          <w:tcPr>
            <w:tcW w:w="6696" w:type="dxa"/>
            <w:shd w:val="clear" w:color="auto" w:fill="8DB3E2" w:themeFill="text2" w:themeFillTint="66"/>
          </w:tcPr>
          <w:p w:rsidR="009836CF" w:rsidRPr="000D77A6" w:rsidRDefault="00C214B6" w:rsidP="006A5157">
            <w:pPr>
              <w:jc w:val="both"/>
            </w:pPr>
            <w:r w:rsidRPr="000D77A6">
              <w:t>Ing. Igor Federič</w:t>
            </w:r>
          </w:p>
          <w:p w:rsidR="00C214B6" w:rsidRPr="000D77A6" w:rsidRDefault="00C214B6" w:rsidP="006A5157">
            <w:pPr>
              <w:jc w:val="both"/>
            </w:pPr>
            <w:r w:rsidRPr="000D77A6">
              <w:t>vedúci Úradu vlády SR</w:t>
            </w:r>
          </w:p>
        </w:tc>
      </w:tr>
    </w:tbl>
    <w:p w:rsidR="00D61BB6" w:rsidRPr="00CC5171" w:rsidRDefault="00D61BB6" w:rsidP="006479DF">
      <w:pPr>
        <w:rPr>
          <w:sz w:val="22"/>
          <w:szCs w:val="22"/>
        </w:rPr>
      </w:pPr>
    </w:p>
    <w:bookmarkStart w:id="1" w:name="_Toc404872120" w:displacedByCustomXml="next"/>
    <w:bookmarkStart w:id="2" w:name="_Toc404872045" w:displacedByCustomXml="next"/>
    <w:sdt>
      <w:sdtPr>
        <w:rPr>
          <w:rFonts w:ascii="Times New Roman" w:eastAsia="Times New Roman" w:hAnsi="Times New Roman" w:cs="Times New Roman"/>
          <w:b w:val="0"/>
          <w:bCs w:val="0"/>
          <w:color w:val="auto"/>
          <w:sz w:val="36"/>
          <w:szCs w:val="36"/>
        </w:rPr>
        <w:id w:val="-1004741171"/>
        <w:docPartObj>
          <w:docPartGallery w:val="Table of Contents"/>
          <w:docPartUnique/>
        </w:docPartObj>
      </w:sdtPr>
      <w:sdtEndPr>
        <w:rPr>
          <w:rStyle w:val="Hypertextovprepojenie"/>
          <w:noProof/>
          <w:color w:val="0000FF" w:themeColor="hyperlink"/>
          <w:sz w:val="24"/>
          <w:szCs w:val="24"/>
          <w:u w:val="single"/>
        </w:rPr>
      </w:sdtEndPr>
      <w:sdtContent>
        <w:p w:rsidR="00460F75" w:rsidRPr="00C22D4C" w:rsidRDefault="00460F75">
          <w:pPr>
            <w:pStyle w:val="Hlavikaobsahu"/>
            <w:rPr>
              <w:rFonts w:ascii="Times New Roman" w:hAnsi="Times New Roman" w:cs="Times New Roman"/>
              <w:sz w:val="36"/>
              <w:szCs w:val="36"/>
            </w:rPr>
          </w:pPr>
          <w:r w:rsidRPr="00C22D4C">
            <w:rPr>
              <w:rFonts w:ascii="Times New Roman" w:hAnsi="Times New Roman" w:cs="Times New Roman"/>
              <w:sz w:val="36"/>
              <w:szCs w:val="36"/>
            </w:rPr>
            <w:t>Obsah</w:t>
          </w:r>
        </w:p>
        <w:p w:rsidR="00460F75" w:rsidRPr="00CC5171" w:rsidRDefault="00460F75" w:rsidP="00460F75">
          <w:pPr>
            <w:rPr>
              <w:sz w:val="22"/>
              <w:szCs w:val="22"/>
            </w:rPr>
          </w:pPr>
        </w:p>
        <w:p w:rsidR="00817207" w:rsidRDefault="00460F75" w:rsidP="00817207">
          <w:pPr>
            <w:pStyle w:val="Obsah2"/>
            <w:rPr>
              <w:rFonts w:asciiTheme="minorHAnsi" w:eastAsiaTheme="minorEastAsia" w:hAnsiTheme="minorHAnsi" w:cstheme="minorBidi"/>
              <w:noProof/>
              <w:sz w:val="22"/>
              <w:szCs w:val="22"/>
            </w:rPr>
          </w:pPr>
          <w:r w:rsidRPr="000D77A6">
            <w:fldChar w:fldCharType="begin"/>
          </w:r>
          <w:r w:rsidRPr="000D77A6">
            <w:instrText xml:space="preserve"> TOC \o "1-5" \h \z \u </w:instrText>
          </w:r>
          <w:r w:rsidRPr="000D77A6">
            <w:fldChar w:fldCharType="separate"/>
          </w:r>
          <w:hyperlink w:anchor="_Toc415571700" w:history="1">
            <w:r w:rsidR="00817207" w:rsidRPr="00AD6612">
              <w:rPr>
                <w:rStyle w:val="Hypertextovprepojenie"/>
                <w:noProof/>
              </w:rPr>
              <w:t>1 Úvod</w:t>
            </w:r>
            <w:r w:rsidR="00817207">
              <w:rPr>
                <w:noProof/>
                <w:webHidden/>
              </w:rPr>
              <w:tab/>
            </w:r>
            <w:r w:rsidR="00817207">
              <w:rPr>
                <w:noProof/>
                <w:webHidden/>
              </w:rPr>
              <w:fldChar w:fldCharType="begin"/>
            </w:r>
            <w:r w:rsidR="00817207">
              <w:rPr>
                <w:noProof/>
                <w:webHidden/>
              </w:rPr>
              <w:instrText xml:space="preserve"> PAGEREF _Toc415571700 \h </w:instrText>
            </w:r>
            <w:r w:rsidR="00817207">
              <w:rPr>
                <w:noProof/>
                <w:webHidden/>
              </w:rPr>
            </w:r>
            <w:r w:rsidR="00817207">
              <w:rPr>
                <w:noProof/>
                <w:webHidden/>
              </w:rPr>
              <w:fldChar w:fldCharType="separate"/>
            </w:r>
            <w:r w:rsidR="00817207">
              <w:rPr>
                <w:noProof/>
                <w:webHidden/>
              </w:rPr>
              <w:t>2</w:t>
            </w:r>
            <w:r w:rsidR="00817207">
              <w:rPr>
                <w:noProof/>
                <w:webHidden/>
              </w:rPr>
              <w:fldChar w:fldCharType="end"/>
            </w:r>
          </w:hyperlink>
        </w:p>
        <w:p w:rsidR="00817207" w:rsidRDefault="006321E6" w:rsidP="00817207">
          <w:pPr>
            <w:pStyle w:val="Obsah2"/>
            <w:rPr>
              <w:rFonts w:asciiTheme="minorHAnsi" w:eastAsiaTheme="minorEastAsia" w:hAnsiTheme="minorHAnsi" w:cstheme="minorBidi"/>
              <w:noProof/>
              <w:sz w:val="22"/>
              <w:szCs w:val="22"/>
            </w:rPr>
          </w:pPr>
          <w:hyperlink w:anchor="_Toc415571701" w:history="1">
            <w:r w:rsidR="00817207" w:rsidRPr="00AD6612">
              <w:rPr>
                <w:rStyle w:val="Hypertextovprepojenie"/>
                <w:noProof/>
              </w:rPr>
              <w:t>2 Všeobecné ustanovenia</w:t>
            </w:r>
            <w:r w:rsidR="00817207">
              <w:rPr>
                <w:noProof/>
                <w:webHidden/>
              </w:rPr>
              <w:tab/>
            </w:r>
            <w:r w:rsidR="00817207">
              <w:rPr>
                <w:noProof/>
                <w:webHidden/>
              </w:rPr>
              <w:fldChar w:fldCharType="begin"/>
            </w:r>
            <w:r w:rsidR="00817207">
              <w:rPr>
                <w:noProof/>
                <w:webHidden/>
              </w:rPr>
              <w:instrText xml:space="preserve"> PAGEREF _Toc415571701 \h </w:instrText>
            </w:r>
            <w:r w:rsidR="00817207">
              <w:rPr>
                <w:noProof/>
                <w:webHidden/>
              </w:rPr>
            </w:r>
            <w:r w:rsidR="00817207">
              <w:rPr>
                <w:noProof/>
                <w:webHidden/>
              </w:rPr>
              <w:fldChar w:fldCharType="separate"/>
            </w:r>
            <w:r w:rsidR="00817207">
              <w:rPr>
                <w:noProof/>
                <w:webHidden/>
              </w:rPr>
              <w:t>3</w:t>
            </w:r>
            <w:r w:rsidR="00817207">
              <w:rPr>
                <w:noProof/>
                <w:webHidden/>
              </w:rPr>
              <w:fldChar w:fldCharType="end"/>
            </w:r>
          </w:hyperlink>
        </w:p>
        <w:p w:rsidR="00817207" w:rsidRDefault="006321E6" w:rsidP="00817207">
          <w:pPr>
            <w:pStyle w:val="Obsah2"/>
            <w:rPr>
              <w:rFonts w:asciiTheme="minorHAnsi" w:eastAsiaTheme="minorEastAsia" w:hAnsiTheme="minorHAnsi" w:cstheme="minorBidi"/>
              <w:noProof/>
              <w:sz w:val="22"/>
              <w:szCs w:val="22"/>
            </w:rPr>
          </w:pPr>
          <w:hyperlink w:anchor="_Toc415571702" w:history="1">
            <w:r w:rsidR="00817207" w:rsidRPr="00AD6612">
              <w:rPr>
                <w:rStyle w:val="Hypertextovprepojenie"/>
                <w:noProof/>
              </w:rPr>
              <w:t>3 Monitorovanie projektu vo vzťahu k žiadosti o platbu</w:t>
            </w:r>
            <w:r w:rsidR="00817207">
              <w:rPr>
                <w:noProof/>
                <w:webHidden/>
              </w:rPr>
              <w:tab/>
            </w:r>
            <w:r w:rsidR="00817207">
              <w:rPr>
                <w:noProof/>
                <w:webHidden/>
              </w:rPr>
              <w:fldChar w:fldCharType="begin"/>
            </w:r>
            <w:r w:rsidR="00817207">
              <w:rPr>
                <w:noProof/>
                <w:webHidden/>
              </w:rPr>
              <w:instrText xml:space="preserve"> PAGEREF _Toc415571702 \h </w:instrText>
            </w:r>
            <w:r w:rsidR="00817207">
              <w:rPr>
                <w:noProof/>
                <w:webHidden/>
              </w:rPr>
            </w:r>
            <w:r w:rsidR="00817207">
              <w:rPr>
                <w:noProof/>
                <w:webHidden/>
              </w:rPr>
              <w:fldChar w:fldCharType="separate"/>
            </w:r>
            <w:r w:rsidR="00817207">
              <w:rPr>
                <w:noProof/>
                <w:webHidden/>
              </w:rPr>
              <w:t>4</w:t>
            </w:r>
            <w:r w:rsidR="00817207">
              <w:rPr>
                <w:noProof/>
                <w:webHidden/>
              </w:rPr>
              <w:fldChar w:fldCharType="end"/>
            </w:r>
          </w:hyperlink>
        </w:p>
        <w:p w:rsidR="00817207" w:rsidRDefault="006321E6" w:rsidP="00817207">
          <w:pPr>
            <w:pStyle w:val="Obsah2"/>
            <w:rPr>
              <w:rFonts w:asciiTheme="minorHAnsi" w:eastAsiaTheme="minorEastAsia" w:hAnsiTheme="minorHAnsi" w:cstheme="minorBidi"/>
              <w:noProof/>
              <w:sz w:val="22"/>
              <w:szCs w:val="22"/>
            </w:rPr>
          </w:pPr>
          <w:hyperlink w:anchor="_Toc415571703" w:history="1">
            <w:r w:rsidR="00817207" w:rsidRPr="00AD6612">
              <w:rPr>
                <w:rStyle w:val="Hypertextovprepojenie"/>
                <w:noProof/>
              </w:rPr>
              <w:t>4 Výročná a záverečná monitorovacia správa projektu</w:t>
            </w:r>
            <w:r w:rsidR="00817207">
              <w:rPr>
                <w:noProof/>
                <w:webHidden/>
              </w:rPr>
              <w:tab/>
            </w:r>
            <w:r w:rsidR="00817207">
              <w:rPr>
                <w:noProof/>
                <w:webHidden/>
              </w:rPr>
              <w:fldChar w:fldCharType="begin"/>
            </w:r>
            <w:r w:rsidR="00817207">
              <w:rPr>
                <w:noProof/>
                <w:webHidden/>
              </w:rPr>
              <w:instrText xml:space="preserve"> PAGEREF _Toc415571703 \h </w:instrText>
            </w:r>
            <w:r w:rsidR="00817207">
              <w:rPr>
                <w:noProof/>
                <w:webHidden/>
              </w:rPr>
            </w:r>
            <w:r w:rsidR="00817207">
              <w:rPr>
                <w:noProof/>
                <w:webHidden/>
              </w:rPr>
              <w:fldChar w:fldCharType="separate"/>
            </w:r>
            <w:r w:rsidR="00817207">
              <w:rPr>
                <w:noProof/>
                <w:webHidden/>
              </w:rPr>
              <w:t>6</w:t>
            </w:r>
            <w:r w:rsidR="00817207">
              <w:rPr>
                <w:noProof/>
                <w:webHidden/>
              </w:rPr>
              <w:fldChar w:fldCharType="end"/>
            </w:r>
          </w:hyperlink>
        </w:p>
        <w:p w:rsidR="00817207" w:rsidRDefault="006321E6" w:rsidP="00817207">
          <w:pPr>
            <w:pStyle w:val="Obsah2"/>
            <w:rPr>
              <w:rFonts w:asciiTheme="minorHAnsi" w:eastAsiaTheme="minorEastAsia" w:hAnsiTheme="minorHAnsi" w:cstheme="minorBidi"/>
              <w:noProof/>
              <w:sz w:val="22"/>
              <w:szCs w:val="22"/>
            </w:rPr>
          </w:pPr>
          <w:hyperlink w:anchor="_Toc415571704" w:history="1">
            <w:r w:rsidR="00817207" w:rsidRPr="00AD6612">
              <w:rPr>
                <w:rStyle w:val="Hypertextovprepojenie"/>
                <w:noProof/>
              </w:rPr>
              <w:t>5 Následná monitorovacia správa projektu</w:t>
            </w:r>
            <w:r w:rsidR="00817207">
              <w:rPr>
                <w:noProof/>
                <w:webHidden/>
              </w:rPr>
              <w:tab/>
            </w:r>
            <w:r w:rsidR="00817207">
              <w:rPr>
                <w:noProof/>
                <w:webHidden/>
              </w:rPr>
              <w:fldChar w:fldCharType="begin"/>
            </w:r>
            <w:r w:rsidR="00817207">
              <w:rPr>
                <w:noProof/>
                <w:webHidden/>
              </w:rPr>
              <w:instrText xml:space="preserve"> PAGEREF _Toc415571704 \h </w:instrText>
            </w:r>
            <w:r w:rsidR="00817207">
              <w:rPr>
                <w:noProof/>
                <w:webHidden/>
              </w:rPr>
            </w:r>
            <w:r w:rsidR="00817207">
              <w:rPr>
                <w:noProof/>
                <w:webHidden/>
              </w:rPr>
              <w:fldChar w:fldCharType="separate"/>
            </w:r>
            <w:r w:rsidR="00817207">
              <w:rPr>
                <w:noProof/>
                <w:webHidden/>
              </w:rPr>
              <w:t>9</w:t>
            </w:r>
            <w:r w:rsidR="00817207">
              <w:rPr>
                <w:noProof/>
                <w:webHidden/>
              </w:rPr>
              <w:fldChar w:fldCharType="end"/>
            </w:r>
          </w:hyperlink>
        </w:p>
        <w:p w:rsidR="00817207" w:rsidRDefault="006321E6" w:rsidP="00817207">
          <w:pPr>
            <w:pStyle w:val="Obsah2"/>
            <w:rPr>
              <w:rFonts w:asciiTheme="minorHAnsi" w:eastAsiaTheme="minorEastAsia" w:hAnsiTheme="minorHAnsi" w:cstheme="minorBidi"/>
              <w:noProof/>
              <w:sz w:val="22"/>
              <w:szCs w:val="22"/>
            </w:rPr>
          </w:pPr>
          <w:hyperlink w:anchor="_Toc415571705" w:history="1">
            <w:r w:rsidR="00817207" w:rsidRPr="00AD6612">
              <w:rPr>
                <w:rStyle w:val="Hypertextovprepojenie"/>
                <w:noProof/>
              </w:rPr>
              <w:t>6 Osobitné ustanovenia pre vykazovanie účastníkov projektu</w:t>
            </w:r>
            <w:r w:rsidR="00817207">
              <w:rPr>
                <w:noProof/>
                <w:webHidden/>
              </w:rPr>
              <w:tab/>
            </w:r>
            <w:r w:rsidR="00817207">
              <w:rPr>
                <w:noProof/>
                <w:webHidden/>
              </w:rPr>
              <w:fldChar w:fldCharType="begin"/>
            </w:r>
            <w:r w:rsidR="00817207">
              <w:rPr>
                <w:noProof/>
                <w:webHidden/>
              </w:rPr>
              <w:instrText xml:space="preserve"> PAGEREF _Toc415571705 \h </w:instrText>
            </w:r>
            <w:r w:rsidR="00817207">
              <w:rPr>
                <w:noProof/>
                <w:webHidden/>
              </w:rPr>
            </w:r>
            <w:r w:rsidR="00817207">
              <w:rPr>
                <w:noProof/>
                <w:webHidden/>
              </w:rPr>
              <w:fldChar w:fldCharType="separate"/>
            </w:r>
            <w:r w:rsidR="00817207">
              <w:rPr>
                <w:noProof/>
                <w:webHidden/>
              </w:rPr>
              <w:t>12</w:t>
            </w:r>
            <w:r w:rsidR="00817207">
              <w:rPr>
                <w:noProof/>
                <w:webHidden/>
              </w:rPr>
              <w:fldChar w:fldCharType="end"/>
            </w:r>
          </w:hyperlink>
        </w:p>
        <w:p w:rsidR="00817207" w:rsidRDefault="006321E6">
          <w:pPr>
            <w:pStyle w:val="Obsah3"/>
            <w:rPr>
              <w:rFonts w:asciiTheme="minorHAnsi" w:eastAsiaTheme="minorEastAsia" w:hAnsiTheme="minorHAnsi" w:cstheme="minorBidi"/>
              <w:noProof/>
              <w:sz w:val="22"/>
              <w:szCs w:val="22"/>
            </w:rPr>
          </w:pPr>
          <w:hyperlink w:anchor="_Toc415571706" w:history="1">
            <w:r w:rsidR="00817207" w:rsidRPr="00AD6612">
              <w:rPr>
                <w:rStyle w:val="Hypertextovprepojenie"/>
                <w:noProof/>
              </w:rPr>
              <w:t>6.1 Pravidlá vykazovania účastníka podľa jednotlivých kategórií</w:t>
            </w:r>
            <w:r w:rsidR="00817207">
              <w:rPr>
                <w:noProof/>
                <w:webHidden/>
              </w:rPr>
              <w:tab/>
            </w:r>
            <w:r w:rsidR="00817207">
              <w:rPr>
                <w:noProof/>
                <w:webHidden/>
              </w:rPr>
              <w:fldChar w:fldCharType="begin"/>
            </w:r>
            <w:r w:rsidR="00817207">
              <w:rPr>
                <w:noProof/>
                <w:webHidden/>
              </w:rPr>
              <w:instrText xml:space="preserve"> PAGEREF _Toc415571706 \h </w:instrText>
            </w:r>
            <w:r w:rsidR="00817207">
              <w:rPr>
                <w:noProof/>
                <w:webHidden/>
              </w:rPr>
            </w:r>
            <w:r w:rsidR="00817207">
              <w:rPr>
                <w:noProof/>
                <w:webHidden/>
              </w:rPr>
              <w:fldChar w:fldCharType="separate"/>
            </w:r>
            <w:r w:rsidR="00817207">
              <w:rPr>
                <w:noProof/>
                <w:webHidden/>
              </w:rPr>
              <w:t>12</w:t>
            </w:r>
            <w:r w:rsidR="00817207">
              <w:rPr>
                <w:noProof/>
                <w:webHidden/>
              </w:rPr>
              <w:fldChar w:fldCharType="end"/>
            </w:r>
          </w:hyperlink>
        </w:p>
        <w:p w:rsidR="00817207" w:rsidRDefault="006321E6">
          <w:pPr>
            <w:pStyle w:val="Obsah3"/>
            <w:rPr>
              <w:rFonts w:asciiTheme="minorHAnsi" w:eastAsiaTheme="minorEastAsia" w:hAnsiTheme="minorHAnsi" w:cstheme="minorBidi"/>
              <w:noProof/>
              <w:sz w:val="22"/>
              <w:szCs w:val="22"/>
            </w:rPr>
          </w:pPr>
          <w:hyperlink w:anchor="_Toc415571707" w:history="1">
            <w:r w:rsidR="00817207" w:rsidRPr="00AD6612">
              <w:rPr>
                <w:rStyle w:val="Hypertextovprepojenie"/>
                <w:noProof/>
              </w:rPr>
              <w:t>6.2 Pravidlá vykazovania účastníkov podporených v rámci IZM</w:t>
            </w:r>
            <w:r w:rsidR="00817207">
              <w:rPr>
                <w:noProof/>
                <w:webHidden/>
              </w:rPr>
              <w:tab/>
            </w:r>
            <w:r w:rsidR="00817207">
              <w:rPr>
                <w:noProof/>
                <w:webHidden/>
              </w:rPr>
              <w:fldChar w:fldCharType="begin"/>
            </w:r>
            <w:r w:rsidR="00817207">
              <w:rPr>
                <w:noProof/>
                <w:webHidden/>
              </w:rPr>
              <w:instrText xml:space="preserve"> PAGEREF _Toc415571707 \h </w:instrText>
            </w:r>
            <w:r w:rsidR="00817207">
              <w:rPr>
                <w:noProof/>
                <w:webHidden/>
              </w:rPr>
            </w:r>
            <w:r w:rsidR="00817207">
              <w:rPr>
                <w:noProof/>
                <w:webHidden/>
              </w:rPr>
              <w:fldChar w:fldCharType="separate"/>
            </w:r>
            <w:r w:rsidR="00817207">
              <w:rPr>
                <w:noProof/>
                <w:webHidden/>
              </w:rPr>
              <w:t>18</w:t>
            </w:r>
            <w:r w:rsidR="00817207">
              <w:rPr>
                <w:noProof/>
                <w:webHidden/>
              </w:rPr>
              <w:fldChar w:fldCharType="end"/>
            </w:r>
          </w:hyperlink>
        </w:p>
        <w:p w:rsidR="00817207" w:rsidRDefault="006321E6" w:rsidP="00817207">
          <w:pPr>
            <w:pStyle w:val="Obsah2"/>
            <w:rPr>
              <w:rFonts w:asciiTheme="minorHAnsi" w:eastAsiaTheme="minorEastAsia" w:hAnsiTheme="minorHAnsi" w:cstheme="minorBidi"/>
              <w:noProof/>
              <w:sz w:val="22"/>
              <w:szCs w:val="22"/>
            </w:rPr>
          </w:pPr>
          <w:hyperlink w:anchor="_Toc415571708" w:history="1">
            <w:r w:rsidR="00817207" w:rsidRPr="00AD6612">
              <w:rPr>
                <w:rStyle w:val="Hypertextovprepojenie"/>
                <w:noProof/>
              </w:rPr>
              <w:t>7 Záverečné ustanovenia</w:t>
            </w:r>
            <w:r w:rsidR="00817207">
              <w:rPr>
                <w:noProof/>
                <w:webHidden/>
              </w:rPr>
              <w:tab/>
            </w:r>
            <w:r w:rsidR="00817207">
              <w:rPr>
                <w:noProof/>
                <w:webHidden/>
              </w:rPr>
              <w:fldChar w:fldCharType="begin"/>
            </w:r>
            <w:r w:rsidR="00817207">
              <w:rPr>
                <w:noProof/>
                <w:webHidden/>
              </w:rPr>
              <w:instrText xml:space="preserve"> PAGEREF _Toc415571708 \h </w:instrText>
            </w:r>
            <w:r w:rsidR="00817207">
              <w:rPr>
                <w:noProof/>
                <w:webHidden/>
              </w:rPr>
            </w:r>
            <w:r w:rsidR="00817207">
              <w:rPr>
                <w:noProof/>
                <w:webHidden/>
              </w:rPr>
              <w:fldChar w:fldCharType="separate"/>
            </w:r>
            <w:r w:rsidR="00817207">
              <w:rPr>
                <w:noProof/>
                <w:webHidden/>
              </w:rPr>
              <w:t>19</w:t>
            </w:r>
            <w:r w:rsidR="00817207">
              <w:rPr>
                <w:noProof/>
                <w:webHidden/>
              </w:rPr>
              <w:fldChar w:fldCharType="end"/>
            </w:r>
          </w:hyperlink>
        </w:p>
        <w:p w:rsidR="00460F75" w:rsidRPr="00CD3916" w:rsidRDefault="00460F75" w:rsidP="00817207">
          <w:pPr>
            <w:pStyle w:val="Obsah2"/>
            <w:rPr>
              <w:rStyle w:val="Hypertextovprepojenie"/>
              <w:noProof/>
            </w:rPr>
          </w:pPr>
          <w:r w:rsidRPr="000D77A6">
            <w:fldChar w:fldCharType="end"/>
          </w:r>
        </w:p>
      </w:sdtContent>
    </w:sdt>
    <w:p w:rsidR="00364A34" w:rsidRPr="000D77A6" w:rsidRDefault="00364A34" w:rsidP="00364A34">
      <w:pPr>
        <w:pStyle w:val="ZakladnystylChar"/>
        <w:tabs>
          <w:tab w:val="left" w:pos="1440"/>
        </w:tabs>
        <w:spacing w:line="288" w:lineRule="auto"/>
        <w:ind w:left="2160" w:hanging="2160"/>
        <w:rPr>
          <w:b/>
          <w:szCs w:val="22"/>
        </w:rPr>
      </w:pPr>
      <w:r w:rsidRPr="000D77A6">
        <w:rPr>
          <w:b/>
          <w:szCs w:val="22"/>
        </w:rPr>
        <w:t>Skratky:</w:t>
      </w:r>
    </w:p>
    <w:p w:rsidR="00364A34" w:rsidRPr="000D77A6" w:rsidRDefault="00364A34" w:rsidP="00364A34">
      <w:pPr>
        <w:pStyle w:val="ZakladnystylChar"/>
        <w:tabs>
          <w:tab w:val="left" w:pos="1440"/>
        </w:tabs>
        <w:spacing w:line="288" w:lineRule="auto"/>
        <w:ind w:left="2160" w:hanging="2160"/>
        <w:rPr>
          <w:szCs w:val="22"/>
        </w:rPr>
      </w:pPr>
    </w:p>
    <w:p w:rsidR="00364A34" w:rsidRPr="000D77A6" w:rsidRDefault="00364A34" w:rsidP="00364A34">
      <w:pPr>
        <w:pStyle w:val="ZakladnystylChar"/>
        <w:tabs>
          <w:tab w:val="left" w:pos="1440"/>
        </w:tabs>
        <w:spacing w:line="288" w:lineRule="auto"/>
        <w:ind w:left="2160" w:hanging="2160"/>
        <w:rPr>
          <w:szCs w:val="22"/>
        </w:rPr>
      </w:pPr>
      <w:r w:rsidRPr="000D77A6">
        <w:rPr>
          <w:szCs w:val="22"/>
        </w:rPr>
        <w:t xml:space="preserve">CKO </w:t>
      </w:r>
      <w:r w:rsidRPr="000D77A6">
        <w:rPr>
          <w:szCs w:val="22"/>
        </w:rPr>
        <w:tab/>
        <w:t>Centrálny koordinačný orgán</w:t>
      </w:r>
    </w:p>
    <w:p w:rsidR="00026DCF" w:rsidRDefault="00026DCF" w:rsidP="00364A34">
      <w:pPr>
        <w:pStyle w:val="ZakladnystylChar"/>
        <w:tabs>
          <w:tab w:val="left" w:pos="1440"/>
        </w:tabs>
        <w:spacing w:line="288" w:lineRule="auto"/>
        <w:ind w:left="2160" w:hanging="2160"/>
        <w:rPr>
          <w:szCs w:val="22"/>
        </w:rPr>
      </w:pPr>
      <w:r w:rsidRPr="000D77A6">
        <w:rPr>
          <w:szCs w:val="22"/>
        </w:rPr>
        <w:t>CO</w:t>
      </w:r>
      <w:r w:rsidRPr="000D77A6">
        <w:rPr>
          <w:szCs w:val="22"/>
        </w:rPr>
        <w:tab/>
        <w:t xml:space="preserve">Certifikačný orgán </w:t>
      </w:r>
    </w:p>
    <w:p w:rsidR="008A42A5" w:rsidRPr="000D77A6" w:rsidRDefault="008A42A5" w:rsidP="00364A34">
      <w:pPr>
        <w:pStyle w:val="ZakladnystylChar"/>
        <w:tabs>
          <w:tab w:val="left" w:pos="1440"/>
        </w:tabs>
        <w:spacing w:line="288" w:lineRule="auto"/>
        <w:ind w:left="2160" w:hanging="2160"/>
        <w:rPr>
          <w:szCs w:val="22"/>
        </w:rPr>
      </w:pPr>
      <w:r>
        <w:rPr>
          <w:szCs w:val="22"/>
        </w:rPr>
        <w:t>ENRF</w:t>
      </w:r>
      <w:r>
        <w:rPr>
          <w:szCs w:val="22"/>
        </w:rPr>
        <w:tab/>
        <w:t xml:space="preserve">Európsky námorný a rybársky fond </w:t>
      </w:r>
    </w:p>
    <w:p w:rsidR="00C674A6" w:rsidRPr="000D77A6" w:rsidRDefault="00C674A6" w:rsidP="00364A34">
      <w:pPr>
        <w:pStyle w:val="ZakladnystylChar"/>
        <w:tabs>
          <w:tab w:val="left" w:pos="1440"/>
          <w:tab w:val="left" w:pos="5368"/>
        </w:tabs>
        <w:spacing w:line="288" w:lineRule="auto"/>
        <w:ind w:left="2160" w:hanging="2160"/>
        <w:rPr>
          <w:szCs w:val="22"/>
        </w:rPr>
      </w:pPr>
      <w:r w:rsidRPr="000D77A6">
        <w:rPr>
          <w:szCs w:val="22"/>
        </w:rPr>
        <w:t>EŠIF</w:t>
      </w:r>
      <w:r w:rsidRPr="000D77A6">
        <w:rPr>
          <w:szCs w:val="22"/>
        </w:rPr>
        <w:tab/>
        <w:t>Európske štrukturálne a investičné fondy</w:t>
      </w:r>
    </w:p>
    <w:p w:rsidR="00364A34" w:rsidRPr="000D77A6" w:rsidRDefault="00364A34" w:rsidP="00364A34">
      <w:pPr>
        <w:pStyle w:val="ZakladnystylChar"/>
        <w:tabs>
          <w:tab w:val="left" w:pos="1440"/>
        </w:tabs>
        <w:spacing w:line="288" w:lineRule="auto"/>
        <w:ind w:left="2160" w:hanging="2160"/>
        <w:rPr>
          <w:szCs w:val="22"/>
        </w:rPr>
      </w:pPr>
      <w:r w:rsidRPr="000D77A6">
        <w:rPr>
          <w:szCs w:val="22"/>
        </w:rPr>
        <w:t>EÚ</w:t>
      </w:r>
      <w:r w:rsidRPr="000D77A6">
        <w:rPr>
          <w:szCs w:val="22"/>
        </w:rPr>
        <w:tab/>
        <w:t>Európska únia</w:t>
      </w:r>
    </w:p>
    <w:p w:rsidR="002D69BC" w:rsidRPr="000D77A6" w:rsidRDefault="002D69BC" w:rsidP="00364A34">
      <w:pPr>
        <w:pStyle w:val="ZakladnystylChar"/>
        <w:tabs>
          <w:tab w:val="left" w:pos="1440"/>
        </w:tabs>
        <w:spacing w:line="288" w:lineRule="auto"/>
        <w:ind w:left="2160" w:hanging="2160"/>
        <w:rPr>
          <w:szCs w:val="22"/>
        </w:rPr>
      </w:pPr>
      <w:r w:rsidRPr="000D77A6">
        <w:rPr>
          <w:szCs w:val="22"/>
        </w:rPr>
        <w:t>HP</w:t>
      </w:r>
      <w:r w:rsidRPr="000D77A6">
        <w:rPr>
          <w:szCs w:val="22"/>
        </w:rPr>
        <w:tab/>
        <w:t>Horizontálny princíp</w:t>
      </w:r>
    </w:p>
    <w:p w:rsidR="002F3E1B" w:rsidRDefault="002F3E1B" w:rsidP="00364A34">
      <w:pPr>
        <w:pStyle w:val="ZakladnystylChar"/>
        <w:tabs>
          <w:tab w:val="left" w:pos="1440"/>
        </w:tabs>
        <w:spacing w:line="288" w:lineRule="auto"/>
        <w:ind w:left="2160" w:hanging="2160"/>
        <w:rPr>
          <w:szCs w:val="22"/>
        </w:rPr>
      </w:pPr>
      <w:r w:rsidRPr="000D77A6">
        <w:rPr>
          <w:szCs w:val="22"/>
        </w:rPr>
        <w:t>IZM</w:t>
      </w:r>
      <w:r w:rsidRPr="000D77A6">
        <w:rPr>
          <w:szCs w:val="22"/>
        </w:rPr>
        <w:tab/>
        <w:t xml:space="preserve">Iniciatíva </w:t>
      </w:r>
      <w:r w:rsidR="002E063C">
        <w:rPr>
          <w:szCs w:val="22"/>
        </w:rPr>
        <w:t xml:space="preserve">na podporu </w:t>
      </w:r>
      <w:r w:rsidRPr="000D77A6">
        <w:rPr>
          <w:szCs w:val="22"/>
        </w:rPr>
        <w:t xml:space="preserve"> zamestnanos</w:t>
      </w:r>
      <w:r w:rsidR="002E063C">
        <w:rPr>
          <w:szCs w:val="22"/>
        </w:rPr>
        <w:t>ti</w:t>
      </w:r>
      <w:r w:rsidRPr="000D77A6">
        <w:rPr>
          <w:szCs w:val="22"/>
        </w:rPr>
        <w:t xml:space="preserve"> mladých</w:t>
      </w:r>
    </w:p>
    <w:p w:rsidR="008A42A5" w:rsidRPr="000D77A6" w:rsidRDefault="008A42A5" w:rsidP="00364A34">
      <w:pPr>
        <w:pStyle w:val="ZakladnystylChar"/>
        <w:tabs>
          <w:tab w:val="left" w:pos="1440"/>
        </w:tabs>
        <w:spacing w:line="288" w:lineRule="auto"/>
        <w:ind w:left="2160" w:hanging="2160"/>
        <w:rPr>
          <w:szCs w:val="22"/>
        </w:rPr>
      </w:pPr>
      <w:r>
        <w:rPr>
          <w:szCs w:val="22"/>
        </w:rPr>
        <w:t>KF</w:t>
      </w:r>
      <w:r>
        <w:rPr>
          <w:szCs w:val="22"/>
        </w:rPr>
        <w:tab/>
        <w:t>Kohézny fond</w:t>
      </w:r>
    </w:p>
    <w:p w:rsidR="00364A34" w:rsidRPr="000D77A6" w:rsidRDefault="00364A34" w:rsidP="00364A34">
      <w:pPr>
        <w:pStyle w:val="ZakladnystylChar"/>
        <w:tabs>
          <w:tab w:val="left" w:pos="1440"/>
        </w:tabs>
        <w:spacing w:line="288" w:lineRule="auto"/>
        <w:ind w:left="2160" w:hanging="2160"/>
        <w:rPr>
          <w:szCs w:val="22"/>
        </w:rPr>
      </w:pPr>
      <w:r w:rsidRPr="000D77A6">
        <w:rPr>
          <w:szCs w:val="22"/>
        </w:rPr>
        <w:t>NFP</w:t>
      </w:r>
      <w:r w:rsidRPr="000D77A6">
        <w:rPr>
          <w:szCs w:val="22"/>
        </w:rPr>
        <w:tab/>
        <w:t>Nenávratný finančný príspevok</w:t>
      </w:r>
    </w:p>
    <w:p w:rsidR="006F122F" w:rsidRPr="000D77A6" w:rsidRDefault="006F122F" w:rsidP="00364A34">
      <w:pPr>
        <w:pStyle w:val="ZakladnystylChar"/>
        <w:tabs>
          <w:tab w:val="left" w:pos="1440"/>
        </w:tabs>
        <w:spacing w:line="288" w:lineRule="auto"/>
        <w:ind w:left="2160" w:hanging="2160"/>
        <w:rPr>
          <w:szCs w:val="22"/>
        </w:rPr>
      </w:pPr>
      <w:r w:rsidRPr="000D77A6">
        <w:rPr>
          <w:szCs w:val="22"/>
        </w:rPr>
        <w:t>P</w:t>
      </w:r>
      <w:r w:rsidR="00B4035A">
        <w:rPr>
          <w:szCs w:val="22"/>
        </w:rPr>
        <w:t>O</w:t>
      </w:r>
      <w:r w:rsidRPr="000D77A6">
        <w:rPr>
          <w:szCs w:val="22"/>
        </w:rPr>
        <w:tab/>
      </w:r>
      <w:r w:rsidR="00B4035A">
        <w:rPr>
          <w:szCs w:val="22"/>
        </w:rPr>
        <w:t>Programové obdobie</w:t>
      </w:r>
    </w:p>
    <w:p w:rsidR="00026DCF" w:rsidRPr="000D77A6" w:rsidRDefault="00026DCF" w:rsidP="00364A34">
      <w:pPr>
        <w:pStyle w:val="ZakladnystylChar"/>
        <w:tabs>
          <w:tab w:val="left" w:pos="1440"/>
        </w:tabs>
        <w:spacing w:line="288" w:lineRule="auto"/>
        <w:ind w:left="2160" w:hanging="2160"/>
        <w:rPr>
          <w:szCs w:val="22"/>
        </w:rPr>
      </w:pPr>
      <w:r w:rsidRPr="000D77A6">
        <w:rPr>
          <w:szCs w:val="22"/>
        </w:rPr>
        <w:t>PJ</w:t>
      </w:r>
      <w:r w:rsidRPr="000D77A6">
        <w:rPr>
          <w:szCs w:val="22"/>
        </w:rPr>
        <w:tab/>
        <w:t>Platobná jednotka</w:t>
      </w:r>
    </w:p>
    <w:p w:rsidR="00364A34" w:rsidRPr="000D77A6" w:rsidRDefault="00364A34" w:rsidP="00364A34">
      <w:pPr>
        <w:pStyle w:val="ZakladnystylChar"/>
        <w:tabs>
          <w:tab w:val="left" w:pos="1440"/>
        </w:tabs>
        <w:spacing w:line="288" w:lineRule="auto"/>
        <w:ind w:left="2160" w:hanging="2160"/>
        <w:rPr>
          <w:szCs w:val="22"/>
        </w:rPr>
      </w:pPr>
      <w:r w:rsidRPr="000D77A6">
        <w:rPr>
          <w:szCs w:val="22"/>
        </w:rPr>
        <w:t>RO</w:t>
      </w:r>
      <w:r w:rsidRPr="000D77A6">
        <w:rPr>
          <w:szCs w:val="22"/>
        </w:rPr>
        <w:tab/>
        <w:t>Riadiaci orgán</w:t>
      </w:r>
    </w:p>
    <w:p w:rsidR="00364A34" w:rsidRPr="000D77A6" w:rsidRDefault="00364A34" w:rsidP="00364A34">
      <w:pPr>
        <w:pStyle w:val="ZakladnystylChar"/>
        <w:tabs>
          <w:tab w:val="left" w:pos="1440"/>
        </w:tabs>
        <w:spacing w:line="288" w:lineRule="auto"/>
        <w:ind w:left="2160" w:hanging="2160"/>
        <w:jc w:val="both"/>
        <w:rPr>
          <w:szCs w:val="22"/>
        </w:rPr>
      </w:pPr>
      <w:r w:rsidRPr="000D77A6">
        <w:rPr>
          <w:szCs w:val="22"/>
        </w:rPr>
        <w:t>SO</w:t>
      </w:r>
      <w:r w:rsidRPr="000D77A6">
        <w:rPr>
          <w:szCs w:val="22"/>
        </w:rPr>
        <w:tab/>
        <w:t xml:space="preserve">Sprostredkovateľský orgán </w:t>
      </w:r>
    </w:p>
    <w:p w:rsidR="002F3E1B" w:rsidRDefault="002F3E1B" w:rsidP="00364A34">
      <w:pPr>
        <w:pStyle w:val="ZakladnystylChar"/>
        <w:tabs>
          <w:tab w:val="left" w:pos="1440"/>
        </w:tabs>
        <w:spacing w:line="288" w:lineRule="auto"/>
        <w:ind w:left="2160" w:hanging="2160"/>
        <w:jc w:val="both"/>
        <w:rPr>
          <w:szCs w:val="22"/>
        </w:rPr>
      </w:pPr>
      <w:r w:rsidRPr="000D77A6">
        <w:rPr>
          <w:szCs w:val="22"/>
        </w:rPr>
        <w:t xml:space="preserve">SZČO </w:t>
      </w:r>
      <w:r w:rsidRPr="000D77A6">
        <w:rPr>
          <w:szCs w:val="22"/>
        </w:rPr>
        <w:tab/>
        <w:t>Samostatne zárobkovo činná osoba</w:t>
      </w:r>
    </w:p>
    <w:p w:rsidR="008A42A5" w:rsidRPr="000D77A6" w:rsidRDefault="008A42A5" w:rsidP="00364A34">
      <w:pPr>
        <w:pStyle w:val="ZakladnystylChar"/>
        <w:tabs>
          <w:tab w:val="left" w:pos="1440"/>
        </w:tabs>
        <w:spacing w:line="288" w:lineRule="auto"/>
        <w:ind w:left="2160" w:hanging="2160"/>
        <w:jc w:val="both"/>
        <w:rPr>
          <w:szCs w:val="22"/>
        </w:rPr>
      </w:pPr>
      <w:r>
        <w:rPr>
          <w:szCs w:val="22"/>
        </w:rPr>
        <w:t>ŠF</w:t>
      </w:r>
      <w:r>
        <w:rPr>
          <w:szCs w:val="22"/>
        </w:rPr>
        <w:tab/>
        <w:t>Štrukturálne fondy</w:t>
      </w:r>
    </w:p>
    <w:p w:rsidR="00026DCF" w:rsidRPr="000D77A6" w:rsidRDefault="00026DCF" w:rsidP="00364A34">
      <w:pPr>
        <w:pStyle w:val="ZakladnystylChar"/>
        <w:tabs>
          <w:tab w:val="left" w:pos="1440"/>
        </w:tabs>
        <w:spacing w:line="288" w:lineRule="auto"/>
        <w:ind w:left="2160" w:hanging="2160"/>
        <w:jc w:val="both"/>
        <w:rPr>
          <w:szCs w:val="22"/>
        </w:rPr>
      </w:pPr>
      <w:r w:rsidRPr="000D77A6">
        <w:rPr>
          <w:szCs w:val="22"/>
        </w:rPr>
        <w:t>VŠ</w:t>
      </w:r>
      <w:r w:rsidRPr="000D77A6">
        <w:rPr>
          <w:szCs w:val="22"/>
        </w:rPr>
        <w:tab/>
        <w:t>Vysoká škola</w:t>
      </w:r>
    </w:p>
    <w:p w:rsidR="00113A7F" w:rsidRPr="000D77A6" w:rsidRDefault="00113A7F" w:rsidP="00364A34">
      <w:pPr>
        <w:pStyle w:val="ZakladnystylChar"/>
        <w:tabs>
          <w:tab w:val="left" w:pos="1440"/>
        </w:tabs>
        <w:spacing w:line="288" w:lineRule="auto"/>
        <w:ind w:left="2160" w:hanging="2160"/>
        <w:jc w:val="both"/>
        <w:rPr>
          <w:szCs w:val="22"/>
        </w:rPr>
      </w:pPr>
      <w:r w:rsidRPr="000D77A6">
        <w:rPr>
          <w:szCs w:val="22"/>
        </w:rPr>
        <w:t>ŽoP</w:t>
      </w:r>
      <w:r w:rsidRPr="000D77A6">
        <w:rPr>
          <w:szCs w:val="22"/>
        </w:rPr>
        <w:tab/>
        <w:t>Žiadosť o platbu</w:t>
      </w:r>
    </w:p>
    <w:p w:rsidR="006F122F" w:rsidRPr="000D77A6" w:rsidRDefault="006F122F" w:rsidP="00364A34">
      <w:pPr>
        <w:pStyle w:val="ZakladnystylChar"/>
        <w:tabs>
          <w:tab w:val="left" w:pos="1440"/>
        </w:tabs>
        <w:spacing w:line="288" w:lineRule="auto"/>
        <w:ind w:left="2160" w:hanging="2160"/>
        <w:jc w:val="both"/>
        <w:rPr>
          <w:szCs w:val="22"/>
        </w:rPr>
      </w:pPr>
    </w:p>
    <w:p w:rsidR="007A0A10" w:rsidRPr="001C61D0" w:rsidRDefault="00817207" w:rsidP="001C61D0">
      <w:pPr>
        <w:pStyle w:val="MPCKO1"/>
      </w:pPr>
      <w:bookmarkStart w:id="3" w:name="_Toc415571700"/>
      <w:r>
        <w:t xml:space="preserve">1 </w:t>
      </w:r>
      <w:r w:rsidR="00850467" w:rsidRPr="001C61D0">
        <w:t>Úvod</w:t>
      </w:r>
      <w:bookmarkEnd w:id="3"/>
      <w:bookmarkEnd w:id="2"/>
      <w:bookmarkEnd w:id="1"/>
    </w:p>
    <w:p w:rsidR="00B527E3" w:rsidRPr="000D77A6" w:rsidRDefault="004119D0" w:rsidP="00C22D4C">
      <w:pPr>
        <w:numPr>
          <w:ilvl w:val="0"/>
          <w:numId w:val="4"/>
        </w:numPr>
        <w:spacing w:before="120" w:after="120"/>
        <w:ind w:left="425" w:hanging="425"/>
        <w:jc w:val="both"/>
        <w:rPr>
          <w:szCs w:val="22"/>
        </w:rPr>
      </w:pPr>
      <w:r w:rsidRPr="000D77A6">
        <w:rPr>
          <w:szCs w:val="22"/>
        </w:rPr>
        <w:t xml:space="preserve">Úrad vlády SR ako Centrálny koordinačný orgán pre koordináciu riadenia operačných programov/programov cezhraničnej spolupráce v rámci Partnerskej dohody na roky 2014 – 2020 vydáva tento Metodický pokyn k monitorovaniu projektov (ďalej aj „metodický pokyn“). V prípade projektov, u ktorých sa neuzatvára zmluva o poskytnutí NFP a NFP sa poskytuje len na základe rozhodnutia o schválení žiadosti o NFP (t.j. v prípadoch, kedy </w:t>
      </w:r>
      <w:r w:rsidRPr="000D77A6">
        <w:rPr>
          <w:szCs w:val="22"/>
        </w:rPr>
        <w:lastRenderedPageBreak/>
        <w:t xml:space="preserve">prijímateľ a poskytovateľ je tá istá osoba) postupuje RO obdobne ako v prípade zmluvy o poskytnutí NFP. </w:t>
      </w:r>
    </w:p>
    <w:p w:rsidR="004119D0" w:rsidRPr="000D77A6" w:rsidRDefault="004119D0" w:rsidP="00C22D4C">
      <w:pPr>
        <w:numPr>
          <w:ilvl w:val="0"/>
          <w:numId w:val="4"/>
        </w:numPr>
        <w:spacing w:before="120" w:after="120"/>
        <w:ind w:left="425" w:hanging="425"/>
        <w:jc w:val="both"/>
        <w:rPr>
          <w:szCs w:val="22"/>
        </w:rPr>
      </w:pPr>
      <w:r w:rsidRPr="000D77A6">
        <w:rPr>
          <w:szCs w:val="22"/>
        </w:rPr>
        <w:t>Cieľom tohto metodického pokynu je definovať základné pravidlá, ktorými sú prijímatelia povinní riadiť sa pri monitorovaní projektov, pričom RO, ktoré sú zodpovedné za implementáciu operačných programov v rámci P</w:t>
      </w:r>
      <w:r w:rsidR="003D0D92">
        <w:rPr>
          <w:szCs w:val="22"/>
        </w:rPr>
        <w:t>O</w:t>
      </w:r>
      <w:r w:rsidRPr="000D77A6">
        <w:rPr>
          <w:szCs w:val="22"/>
        </w:rPr>
        <w:t xml:space="preserve"> 2014 -</w:t>
      </w:r>
      <w:r w:rsidR="0004505D">
        <w:rPr>
          <w:szCs w:val="22"/>
        </w:rPr>
        <w:t xml:space="preserve"> </w:t>
      </w:r>
      <w:r w:rsidRPr="000D77A6">
        <w:rPr>
          <w:szCs w:val="22"/>
        </w:rPr>
        <w:t>2020, sú povinné zapracovať tieto pravidlá do svojej riadiacej dokumentácie a pri výkone monitorovania projektov postupovať v súlade s nimi. Tieto pravidlá sa vzťahujú rovnako aj na prijímateľov, ktorí sú súčasne aj RO, t.j. v prípadoch kedy je prijímateľ a poskytovateľ tá istá osoba.</w:t>
      </w:r>
    </w:p>
    <w:p w:rsidR="004E639D" w:rsidRPr="000D77A6" w:rsidRDefault="004119D0" w:rsidP="00C22D4C">
      <w:pPr>
        <w:numPr>
          <w:ilvl w:val="0"/>
          <w:numId w:val="4"/>
        </w:numPr>
        <w:spacing w:before="120" w:after="120"/>
        <w:ind w:left="425" w:hanging="425"/>
        <w:jc w:val="both"/>
        <w:rPr>
          <w:szCs w:val="22"/>
        </w:rPr>
      </w:pPr>
      <w:r w:rsidRPr="000D77A6">
        <w:rPr>
          <w:szCs w:val="22"/>
        </w:rPr>
        <w:t>Cieľom tohto metodického pokynu je harmonizácia postupov pri monitorovaní projektov tak, aby nedochádzalo k rôznemu pohľadu a výkladu jednotlivých častí, z ktorých monito</w:t>
      </w:r>
      <w:r w:rsidR="00C25749" w:rsidRPr="000D77A6">
        <w:rPr>
          <w:szCs w:val="22"/>
        </w:rPr>
        <w:t>rovanie pozostáva</w:t>
      </w:r>
      <w:r w:rsidRPr="000D77A6">
        <w:rPr>
          <w:szCs w:val="22"/>
        </w:rPr>
        <w:t xml:space="preserve">. </w:t>
      </w:r>
    </w:p>
    <w:p w:rsidR="004119D0" w:rsidRPr="000D77A6" w:rsidRDefault="004119D0" w:rsidP="00C22D4C">
      <w:pPr>
        <w:numPr>
          <w:ilvl w:val="0"/>
          <w:numId w:val="4"/>
        </w:numPr>
        <w:spacing w:before="120" w:after="120"/>
        <w:ind w:left="425" w:hanging="425"/>
        <w:jc w:val="both"/>
        <w:rPr>
          <w:szCs w:val="22"/>
        </w:rPr>
      </w:pPr>
      <w:r w:rsidRPr="000D77A6">
        <w:rPr>
          <w:szCs w:val="22"/>
        </w:rPr>
        <w:t xml:space="preserve">V prípade </w:t>
      </w:r>
      <w:r w:rsidR="00FD09E6">
        <w:rPr>
          <w:szCs w:val="22"/>
        </w:rPr>
        <w:t xml:space="preserve">písomného </w:t>
      </w:r>
      <w:r w:rsidRPr="000D77A6">
        <w:rPr>
          <w:szCs w:val="22"/>
        </w:rPr>
        <w:t xml:space="preserve">splnomocnenia </w:t>
      </w:r>
      <w:r w:rsidR="00FD09E6">
        <w:rPr>
          <w:szCs w:val="22"/>
        </w:rPr>
        <w:t xml:space="preserve">SO vykonávaním časti úloh RO </w:t>
      </w:r>
      <w:r w:rsidRPr="000D77A6">
        <w:rPr>
          <w:szCs w:val="22"/>
        </w:rPr>
        <w:t>je RO povinný zabezpečiť plnenie tohto metodického pokynu zo strany SO v rozsahu danom Zmluvou o vykonávaní časti úloh riadiaceho orgánu sprostredkovateľským orgánom.</w:t>
      </w:r>
    </w:p>
    <w:p w:rsidR="000E2E4D" w:rsidRPr="001C61D0" w:rsidRDefault="00963C20" w:rsidP="001C61D0">
      <w:pPr>
        <w:pStyle w:val="MPCKO1"/>
      </w:pPr>
      <w:bookmarkStart w:id="4" w:name="_Toc415571701"/>
      <w:bookmarkStart w:id="5" w:name="_Toc404872046"/>
      <w:bookmarkStart w:id="6" w:name="_Toc404872121"/>
      <w:r w:rsidRPr="001C61D0">
        <w:t xml:space="preserve">2 </w:t>
      </w:r>
      <w:r w:rsidR="000E2E4D" w:rsidRPr="001C61D0">
        <w:t>Všeobecné ustanovenia</w:t>
      </w:r>
      <w:bookmarkEnd w:id="4"/>
      <w:r w:rsidR="000E2E4D" w:rsidRPr="001C61D0">
        <w:t xml:space="preserve"> </w:t>
      </w:r>
    </w:p>
    <w:p w:rsidR="000E2E4D" w:rsidRPr="000D77A6" w:rsidRDefault="006B03B2" w:rsidP="00C22D4C">
      <w:pPr>
        <w:numPr>
          <w:ilvl w:val="0"/>
          <w:numId w:val="18"/>
        </w:numPr>
        <w:spacing w:before="120" w:after="120"/>
        <w:ind w:left="425" w:hanging="425"/>
        <w:jc w:val="both"/>
        <w:rPr>
          <w:szCs w:val="22"/>
        </w:rPr>
      </w:pPr>
      <w:r w:rsidRPr="000D77A6">
        <w:rPr>
          <w:szCs w:val="22"/>
        </w:rPr>
        <w:t xml:space="preserve">Úlohou monitorovania projektov je včasné získavanie informácií o stave realizácie jednotlivých projektov vrátane dosahovania plánovaných hodnôt merateľných ukazovateľov a je nástrojom na získanie potrebných údajov pre RO za účelom monitorovania a hodnotenia OP. </w:t>
      </w:r>
    </w:p>
    <w:p w:rsidR="009A7C4F" w:rsidRPr="000D77A6" w:rsidRDefault="00B527E3" w:rsidP="00C22D4C">
      <w:pPr>
        <w:numPr>
          <w:ilvl w:val="0"/>
          <w:numId w:val="18"/>
        </w:numPr>
        <w:spacing w:before="120" w:after="120"/>
        <w:ind w:left="425" w:hanging="425"/>
        <w:jc w:val="both"/>
        <w:rPr>
          <w:szCs w:val="22"/>
        </w:rPr>
      </w:pPr>
      <w:r w:rsidRPr="00D877C4">
        <w:rPr>
          <w:szCs w:val="22"/>
        </w:rPr>
        <w:t xml:space="preserve">Monitorovanie projektu </w:t>
      </w:r>
      <w:r w:rsidR="00817664">
        <w:rPr>
          <w:szCs w:val="22"/>
        </w:rPr>
        <w:t>sa vykonáva v rámci</w:t>
      </w:r>
      <w:r w:rsidRPr="00D877C4">
        <w:rPr>
          <w:szCs w:val="22"/>
        </w:rPr>
        <w:t xml:space="preserve"> dvoch základných etáp </w:t>
      </w:r>
      <w:r w:rsidR="005C4CB4">
        <w:rPr>
          <w:szCs w:val="22"/>
        </w:rPr>
        <w:t>projektového cyklu</w:t>
      </w:r>
      <w:r w:rsidRPr="00D877C4">
        <w:rPr>
          <w:szCs w:val="22"/>
        </w:rPr>
        <w:t xml:space="preserve"> a to je </w:t>
      </w:r>
      <w:r w:rsidR="009A7C4F" w:rsidRPr="00D877C4">
        <w:rPr>
          <w:szCs w:val="22"/>
        </w:rPr>
        <w:t xml:space="preserve">obdobie </w:t>
      </w:r>
      <w:r w:rsidRPr="00D877C4">
        <w:rPr>
          <w:szCs w:val="22"/>
        </w:rPr>
        <w:t>realizáci</w:t>
      </w:r>
      <w:r w:rsidR="009A7C4F" w:rsidRPr="00D877C4">
        <w:rPr>
          <w:szCs w:val="22"/>
        </w:rPr>
        <w:t>e</w:t>
      </w:r>
      <w:r w:rsidRPr="00D877C4">
        <w:rPr>
          <w:szCs w:val="22"/>
        </w:rPr>
        <w:t xml:space="preserve"> projektu </w:t>
      </w:r>
      <w:r w:rsidR="009A7C4F" w:rsidRPr="00D877C4">
        <w:rPr>
          <w:szCs w:val="22"/>
        </w:rPr>
        <w:t xml:space="preserve">a obdobie udržateľnosti projektu. </w:t>
      </w:r>
      <w:r w:rsidR="00760B25" w:rsidRPr="00D877C4">
        <w:rPr>
          <w:szCs w:val="22"/>
        </w:rPr>
        <w:t>Obdobie realizácie projektu je ukončené momentom fyzického a finančného ukončenia projektu, t.j. zúčtovaním/preplatením poslednej žiadosti o platbu (s príznakom záverečná)</w:t>
      </w:r>
      <w:r w:rsidR="008A42A5">
        <w:rPr>
          <w:szCs w:val="22"/>
        </w:rPr>
        <w:t xml:space="preserve"> v súlade so Systémom finančného riadenia ŠF, KF a ENRF na PO 2014-2020</w:t>
      </w:r>
      <w:r w:rsidR="00760B25" w:rsidRPr="00D877C4">
        <w:rPr>
          <w:szCs w:val="22"/>
        </w:rPr>
        <w:t xml:space="preserve">. </w:t>
      </w:r>
      <w:r w:rsidR="001D2DED" w:rsidRPr="00D877C4">
        <w:rPr>
          <w:szCs w:val="22"/>
        </w:rPr>
        <w:t>Obdobie udržateľnosti projektu začína</w:t>
      </w:r>
      <w:r w:rsidR="00557F6E">
        <w:rPr>
          <w:szCs w:val="22"/>
        </w:rPr>
        <w:t xml:space="preserve"> </w:t>
      </w:r>
      <w:r w:rsidR="00F00D13">
        <w:rPr>
          <w:szCs w:val="22"/>
        </w:rPr>
        <w:t xml:space="preserve">kalendárny </w:t>
      </w:r>
      <w:r w:rsidR="00557F6E">
        <w:rPr>
          <w:szCs w:val="22"/>
        </w:rPr>
        <w:t>deň nasledujúci po dni</w:t>
      </w:r>
      <w:r w:rsidR="00333977">
        <w:rPr>
          <w:szCs w:val="22"/>
        </w:rPr>
        <w:t xml:space="preserve"> </w:t>
      </w:r>
      <w:r w:rsidR="00A7219D">
        <w:rPr>
          <w:szCs w:val="22"/>
        </w:rPr>
        <w:t xml:space="preserve">finančného </w:t>
      </w:r>
      <w:r w:rsidR="001D2DED" w:rsidRPr="00D877C4">
        <w:rPr>
          <w:szCs w:val="22"/>
        </w:rPr>
        <w:t>ukončenia projektu</w:t>
      </w:r>
      <w:r w:rsidR="00557F6E">
        <w:rPr>
          <w:szCs w:val="22"/>
        </w:rPr>
        <w:t xml:space="preserve">. </w:t>
      </w:r>
    </w:p>
    <w:p w:rsidR="00C74B4E" w:rsidRPr="000D77A6" w:rsidRDefault="00EA1156" w:rsidP="00C22D4C">
      <w:pPr>
        <w:numPr>
          <w:ilvl w:val="0"/>
          <w:numId w:val="18"/>
        </w:numPr>
        <w:spacing w:before="120" w:after="120"/>
        <w:ind w:left="425" w:hanging="425"/>
        <w:jc w:val="both"/>
        <w:rPr>
          <w:szCs w:val="22"/>
        </w:rPr>
      </w:pPr>
      <w:r w:rsidRPr="000D77A6">
        <w:rPr>
          <w:szCs w:val="22"/>
        </w:rPr>
        <w:t xml:space="preserve">Vo vzťahu k obdobiu realizácie projektu </w:t>
      </w:r>
      <w:r w:rsidR="005C026F">
        <w:rPr>
          <w:szCs w:val="22"/>
        </w:rPr>
        <w:t xml:space="preserve">a obdobiu udržateľnosti projektu </w:t>
      </w:r>
      <w:r w:rsidRPr="000D77A6">
        <w:rPr>
          <w:szCs w:val="22"/>
        </w:rPr>
        <w:t>sú kľúčovými nástrojmi na získavanie relevantných údajov jednak údaje získavané v rámci prílohy vybraných typov žiadosti o</w:t>
      </w:r>
      <w:r w:rsidR="00D510BC" w:rsidRPr="000D77A6">
        <w:rPr>
          <w:szCs w:val="22"/>
        </w:rPr>
        <w:t> platbu a jednak údaje získané prostredníctvom Výročnej a Záverečnej monitorovacej správy projektu</w:t>
      </w:r>
      <w:r w:rsidR="00B1346B">
        <w:rPr>
          <w:szCs w:val="22"/>
        </w:rPr>
        <w:t xml:space="preserve"> </w:t>
      </w:r>
      <w:r w:rsidR="00B1346B" w:rsidRPr="00766A0D">
        <w:t>a Následnej monitorovacej správy projektu</w:t>
      </w:r>
      <w:r w:rsidR="00D510BC" w:rsidRPr="000D77A6">
        <w:rPr>
          <w:szCs w:val="22"/>
        </w:rPr>
        <w:t>, ktorých vzory vydáva CKO (Vzor – Doplňujúce monitorovacie údaje k žiadosti o</w:t>
      </w:r>
      <w:r w:rsidR="00B1346B">
        <w:rPr>
          <w:szCs w:val="22"/>
        </w:rPr>
        <w:t> </w:t>
      </w:r>
      <w:r w:rsidR="00D510BC" w:rsidRPr="000D77A6">
        <w:rPr>
          <w:szCs w:val="22"/>
        </w:rPr>
        <w:t>platbu</w:t>
      </w:r>
      <w:r w:rsidR="00B1346B">
        <w:rPr>
          <w:szCs w:val="22"/>
        </w:rPr>
        <w:t>,</w:t>
      </w:r>
      <w:r w:rsidR="00D510BC" w:rsidRPr="000D77A6">
        <w:rPr>
          <w:szCs w:val="22"/>
        </w:rPr>
        <w:t> Vzor –</w:t>
      </w:r>
      <w:r w:rsidR="00C74B4E" w:rsidRPr="000D77A6">
        <w:rPr>
          <w:szCs w:val="22"/>
        </w:rPr>
        <w:t xml:space="preserve"> Monitorovacia</w:t>
      </w:r>
      <w:r w:rsidR="00D510BC" w:rsidRPr="000D77A6">
        <w:rPr>
          <w:szCs w:val="22"/>
        </w:rPr>
        <w:t xml:space="preserve"> správa projektu</w:t>
      </w:r>
      <w:r w:rsidR="00B1346B">
        <w:rPr>
          <w:szCs w:val="22"/>
        </w:rPr>
        <w:t xml:space="preserve">, Vzor - </w:t>
      </w:r>
      <w:r w:rsidR="00B1346B" w:rsidRPr="00766A0D">
        <w:t>Následná monitorovacia správa projektu</w:t>
      </w:r>
      <w:r w:rsidR="00D510BC" w:rsidRPr="000D77A6">
        <w:rPr>
          <w:szCs w:val="22"/>
        </w:rPr>
        <w:t xml:space="preserve">). </w:t>
      </w:r>
    </w:p>
    <w:p w:rsidR="006B03B2" w:rsidRPr="000D77A6" w:rsidRDefault="00C74B4E" w:rsidP="00C22D4C">
      <w:pPr>
        <w:numPr>
          <w:ilvl w:val="0"/>
          <w:numId w:val="18"/>
        </w:numPr>
        <w:spacing w:before="120" w:after="120"/>
        <w:ind w:left="425" w:hanging="425"/>
        <w:jc w:val="both"/>
        <w:rPr>
          <w:szCs w:val="22"/>
        </w:rPr>
      </w:pPr>
      <w:r w:rsidRPr="000D77A6">
        <w:rPr>
          <w:szCs w:val="22"/>
        </w:rPr>
        <w:t>Ďalšími podpornými nástroj</w:t>
      </w:r>
      <w:r w:rsidR="00760B25" w:rsidRPr="000D77A6">
        <w:rPr>
          <w:szCs w:val="22"/>
        </w:rPr>
        <w:t xml:space="preserve">mi slúžiacimi na monitorovanie projektu sú najmä informácie predkladané prijímateľmi na základe požiadaviek RO a to v rozsahu a termínoch určených RO. Prijímateľ </w:t>
      </w:r>
      <w:r w:rsidR="00C72B72" w:rsidRPr="000D77A6">
        <w:rPr>
          <w:szCs w:val="22"/>
        </w:rPr>
        <w:t xml:space="preserve">je v tomto prípade </w:t>
      </w:r>
      <w:r w:rsidR="00760B25" w:rsidRPr="000D77A6">
        <w:rPr>
          <w:szCs w:val="22"/>
        </w:rPr>
        <w:t xml:space="preserve">povinný </w:t>
      </w:r>
      <w:r w:rsidR="00C72B72" w:rsidRPr="000D77A6">
        <w:rPr>
          <w:szCs w:val="22"/>
        </w:rPr>
        <w:t>b</w:t>
      </w:r>
      <w:r w:rsidR="00760B25" w:rsidRPr="000D77A6">
        <w:rPr>
          <w:szCs w:val="22"/>
        </w:rPr>
        <w:t xml:space="preserve">ezodkladne alebo v inom termíne určenom </w:t>
      </w:r>
      <w:r w:rsidR="00C72B72" w:rsidRPr="000D77A6">
        <w:rPr>
          <w:szCs w:val="22"/>
        </w:rPr>
        <w:t>RO</w:t>
      </w:r>
      <w:r w:rsidR="00760B25" w:rsidRPr="000D77A6">
        <w:rPr>
          <w:szCs w:val="22"/>
        </w:rPr>
        <w:t xml:space="preserve"> predložiť </w:t>
      </w:r>
      <w:r w:rsidR="00C72B72" w:rsidRPr="000D77A6">
        <w:rPr>
          <w:szCs w:val="22"/>
        </w:rPr>
        <w:t>akékoľvek</w:t>
      </w:r>
      <w:r w:rsidR="00760B25" w:rsidRPr="000D77A6">
        <w:rPr>
          <w:szCs w:val="22"/>
        </w:rPr>
        <w:t xml:space="preserve"> informácie</w:t>
      </w:r>
      <w:r w:rsidR="004D3BB1" w:rsidRPr="000D77A6">
        <w:rPr>
          <w:szCs w:val="22"/>
        </w:rPr>
        <w:t xml:space="preserve"> vo vzťahu k projektu (napr.</w:t>
      </w:r>
      <w:r w:rsidR="00760B25" w:rsidRPr="000D77A6">
        <w:rPr>
          <w:szCs w:val="22"/>
        </w:rPr>
        <w:t xml:space="preserve"> dokum</w:t>
      </w:r>
      <w:r w:rsidR="00945CF9" w:rsidRPr="000D77A6">
        <w:rPr>
          <w:szCs w:val="22"/>
        </w:rPr>
        <w:t xml:space="preserve">entáciu súvisiacu s charakterom </w:t>
      </w:r>
      <w:r w:rsidR="00760B25" w:rsidRPr="000D77A6">
        <w:rPr>
          <w:szCs w:val="22"/>
        </w:rPr>
        <w:t>a postave</w:t>
      </w:r>
      <w:r w:rsidR="00C72B72" w:rsidRPr="000D77A6">
        <w:rPr>
          <w:szCs w:val="22"/>
        </w:rPr>
        <w:t>ním prijímateľa, s realizáciou projektu, účelom p</w:t>
      </w:r>
      <w:r w:rsidR="00760B25" w:rsidRPr="000D77A6">
        <w:rPr>
          <w:szCs w:val="22"/>
        </w:rPr>
        <w:t>rojektu, s </w:t>
      </w:r>
      <w:r w:rsidR="00C72B72" w:rsidRPr="000D77A6">
        <w:rPr>
          <w:szCs w:val="22"/>
        </w:rPr>
        <w:t>a</w:t>
      </w:r>
      <w:r w:rsidR="00760B25" w:rsidRPr="000D77A6">
        <w:rPr>
          <w:szCs w:val="22"/>
        </w:rPr>
        <w:t xml:space="preserve">ktivitami </w:t>
      </w:r>
      <w:r w:rsidR="00C72B72" w:rsidRPr="000D77A6">
        <w:rPr>
          <w:szCs w:val="22"/>
        </w:rPr>
        <w:t>p</w:t>
      </w:r>
      <w:r w:rsidR="00760B25" w:rsidRPr="000D77A6">
        <w:rPr>
          <w:szCs w:val="22"/>
        </w:rPr>
        <w:t>rijímateľa súvisiacimi s</w:t>
      </w:r>
      <w:r w:rsidR="00C72B72" w:rsidRPr="000D77A6">
        <w:rPr>
          <w:szCs w:val="22"/>
        </w:rPr>
        <w:t> </w:t>
      </w:r>
      <w:r w:rsidR="00760B25" w:rsidRPr="000D77A6">
        <w:rPr>
          <w:szCs w:val="22"/>
        </w:rPr>
        <w:t>účelom</w:t>
      </w:r>
      <w:r w:rsidR="00C72B72" w:rsidRPr="000D77A6">
        <w:rPr>
          <w:szCs w:val="22"/>
        </w:rPr>
        <w:t xml:space="preserve"> projektu</w:t>
      </w:r>
      <w:r w:rsidR="00760B25" w:rsidRPr="000D77A6">
        <w:rPr>
          <w:szCs w:val="22"/>
        </w:rPr>
        <w:t>,</w:t>
      </w:r>
      <w:r w:rsidR="004D3BB1" w:rsidRPr="000D77A6">
        <w:rPr>
          <w:szCs w:val="22"/>
        </w:rPr>
        <w:t xml:space="preserve"> s vedením účtovníctva</w:t>
      </w:r>
      <w:r w:rsidR="00A7219D">
        <w:rPr>
          <w:szCs w:val="22"/>
        </w:rPr>
        <w:t>, údaje o účastníkoch projektu, údaje o začatí a ukončení každej hlavnej aktivity projektu a pod.</w:t>
      </w:r>
      <w:r w:rsidR="004D3BB1" w:rsidRPr="000D77A6">
        <w:rPr>
          <w:szCs w:val="22"/>
        </w:rPr>
        <w:t>)</w:t>
      </w:r>
      <w:r w:rsidR="00760B25" w:rsidRPr="000D77A6">
        <w:rPr>
          <w:szCs w:val="22"/>
        </w:rPr>
        <w:t xml:space="preserve"> a to aj mimo poskytovania </w:t>
      </w:r>
      <w:r w:rsidR="00945CF9" w:rsidRPr="000D77A6">
        <w:rPr>
          <w:szCs w:val="22"/>
        </w:rPr>
        <w:t>doplňujúcich</w:t>
      </w:r>
      <w:r w:rsidR="00760B25" w:rsidRPr="000D77A6">
        <w:rPr>
          <w:szCs w:val="22"/>
        </w:rPr>
        <w:t xml:space="preserve"> monitorovacích údajov k </w:t>
      </w:r>
      <w:r w:rsidR="00054CF1" w:rsidRPr="000D77A6">
        <w:rPr>
          <w:szCs w:val="22"/>
        </w:rPr>
        <w:t>ž</w:t>
      </w:r>
      <w:r w:rsidR="00760B25" w:rsidRPr="000D77A6">
        <w:rPr>
          <w:szCs w:val="22"/>
        </w:rPr>
        <w:t>iadosti o platbu,</w:t>
      </w:r>
      <w:r w:rsidR="00054CF1" w:rsidRPr="000D77A6">
        <w:rPr>
          <w:szCs w:val="22"/>
        </w:rPr>
        <w:t xml:space="preserve"> resp.</w:t>
      </w:r>
      <w:r w:rsidR="00760B25" w:rsidRPr="000D77A6">
        <w:rPr>
          <w:szCs w:val="22"/>
        </w:rPr>
        <w:t xml:space="preserve"> pre</w:t>
      </w:r>
      <w:r w:rsidR="004D3BB1" w:rsidRPr="000D77A6">
        <w:rPr>
          <w:szCs w:val="22"/>
        </w:rPr>
        <w:t xml:space="preserve">dkladania </w:t>
      </w:r>
      <w:r w:rsidR="000C1C20">
        <w:rPr>
          <w:szCs w:val="22"/>
        </w:rPr>
        <w:t xml:space="preserve">jednotlivých </w:t>
      </w:r>
      <w:r w:rsidR="004D3BB1" w:rsidRPr="000D77A6">
        <w:rPr>
          <w:szCs w:val="22"/>
        </w:rPr>
        <w:t>monitorovacích správ p</w:t>
      </w:r>
      <w:r w:rsidR="00760B25" w:rsidRPr="000D77A6">
        <w:rPr>
          <w:szCs w:val="22"/>
        </w:rPr>
        <w:t xml:space="preserve">rojektu alebo poskytovania informácií o monitorovaných </w:t>
      </w:r>
      <w:r w:rsidR="00113A7F" w:rsidRPr="000D77A6">
        <w:rPr>
          <w:szCs w:val="22"/>
        </w:rPr>
        <w:t>údajoch</w:t>
      </w:r>
      <w:r w:rsidR="00760B25" w:rsidRPr="000D77A6">
        <w:rPr>
          <w:szCs w:val="22"/>
        </w:rPr>
        <w:t xml:space="preserve"> na úrovni </w:t>
      </w:r>
      <w:r w:rsidR="004D3BB1" w:rsidRPr="000D77A6">
        <w:rPr>
          <w:szCs w:val="22"/>
        </w:rPr>
        <w:t>p</w:t>
      </w:r>
      <w:r w:rsidR="00760B25" w:rsidRPr="000D77A6">
        <w:rPr>
          <w:szCs w:val="22"/>
        </w:rPr>
        <w:t xml:space="preserve">rojektu.   </w:t>
      </w:r>
      <w:r w:rsidR="00D510BC" w:rsidRPr="000D77A6">
        <w:rPr>
          <w:szCs w:val="22"/>
        </w:rPr>
        <w:t xml:space="preserve">  </w:t>
      </w:r>
      <w:r w:rsidR="00EA1156" w:rsidRPr="000D77A6">
        <w:rPr>
          <w:szCs w:val="22"/>
        </w:rPr>
        <w:t xml:space="preserve"> </w:t>
      </w:r>
      <w:r w:rsidR="009A7C4F" w:rsidRPr="000D77A6">
        <w:rPr>
          <w:szCs w:val="22"/>
        </w:rPr>
        <w:t xml:space="preserve">  </w:t>
      </w:r>
    </w:p>
    <w:p w:rsidR="000E2E4D" w:rsidRPr="00CC5171" w:rsidRDefault="000D77A6" w:rsidP="000D77A6">
      <w:pPr>
        <w:pStyle w:val="MPCKO1"/>
        <w:jc w:val="both"/>
      </w:pPr>
      <w:bookmarkStart w:id="7" w:name="_Toc415571702"/>
      <w:r>
        <w:lastRenderedPageBreak/>
        <w:t xml:space="preserve">3 </w:t>
      </w:r>
      <w:r w:rsidR="00323A29">
        <w:t xml:space="preserve">Monitorovanie </w:t>
      </w:r>
      <w:r w:rsidR="004D3BB1">
        <w:t xml:space="preserve">projektu </w:t>
      </w:r>
      <w:r w:rsidR="00323A29">
        <w:t>vo vzťahu k žiadosti o platbu</w:t>
      </w:r>
      <w:bookmarkEnd w:id="7"/>
      <w:r w:rsidR="001E01AB" w:rsidRPr="00CC5171">
        <w:t xml:space="preserve"> </w:t>
      </w:r>
    </w:p>
    <w:p w:rsidR="004D3BB1" w:rsidRPr="000D77A6" w:rsidRDefault="004D3BB1"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Monitorovanie projektu vo vzťahu k žiadosti o platbu je kľúčovou časťou monitorovania projektu. Rozsah údajov poskytovaných na úrovni prijímateľa je stanovený vo vzore CKO (Vzor – Doplňujúce monitorovacie údaje k žiadosti o platbu). Tento vzor je pre RO záväzný, pričom RO </w:t>
      </w:r>
      <w:r w:rsidR="00892323">
        <w:rPr>
          <w:szCs w:val="22"/>
        </w:rPr>
        <w:t>ne</w:t>
      </w:r>
      <w:r w:rsidRPr="000D77A6">
        <w:rPr>
          <w:szCs w:val="22"/>
        </w:rPr>
        <w:t>môže tento vzor doplniť</w:t>
      </w:r>
      <w:r w:rsidR="00892323">
        <w:rPr>
          <w:szCs w:val="22"/>
        </w:rPr>
        <w:t xml:space="preserve">. </w:t>
      </w:r>
      <w:r w:rsidR="00506D67" w:rsidRPr="00506D67">
        <w:rPr>
          <w:szCs w:val="22"/>
        </w:rPr>
        <w:t>Informácie nad rámec predmetného vzoru a</w:t>
      </w:r>
      <w:r w:rsidR="00506D67" w:rsidRPr="00E06CAD">
        <w:rPr>
          <w:szCs w:val="22"/>
        </w:rPr>
        <w:t> v nadväznosti na potreby OP je RO oprávnený požadovať od prijímateľa prostredníctvom ďalšej prílohy k</w:t>
      </w:r>
      <w:r w:rsidR="00506D67">
        <w:rPr>
          <w:szCs w:val="22"/>
        </w:rPr>
        <w:t> </w:t>
      </w:r>
      <w:r w:rsidR="00506D67" w:rsidRPr="00892323">
        <w:rPr>
          <w:szCs w:val="22"/>
        </w:rPr>
        <w:t>ŽoP</w:t>
      </w:r>
      <w:r w:rsidR="00506D67">
        <w:rPr>
          <w:szCs w:val="22"/>
        </w:rPr>
        <w:t>, ktorej rozsah a obsah si RO určí vopred do svojich interných predpisov a v závislosti od komunikácie s prijímateľom o tom oboznámi aj prijímateľa (napr. prostredníctvom príručky pre prijímateľa)</w:t>
      </w:r>
      <w:r w:rsidR="00506D67" w:rsidRPr="00892323">
        <w:rPr>
          <w:szCs w:val="22"/>
        </w:rPr>
        <w:t xml:space="preserve">. </w:t>
      </w:r>
      <w:r w:rsidRPr="000D77A6">
        <w:rPr>
          <w:szCs w:val="22"/>
        </w:rPr>
        <w:t xml:space="preserve"> </w:t>
      </w:r>
    </w:p>
    <w:p w:rsidR="00D90DCB" w:rsidRPr="000D77A6" w:rsidRDefault="004D3BB1"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Cieľom zaveden</w:t>
      </w:r>
      <w:r w:rsidR="00D90DCB" w:rsidRPr="000D77A6">
        <w:rPr>
          <w:szCs w:val="22"/>
        </w:rPr>
        <w:t>ia</w:t>
      </w:r>
      <w:r w:rsidRPr="000D77A6">
        <w:rPr>
          <w:szCs w:val="22"/>
        </w:rPr>
        <w:t xml:space="preserve"> novej formy </w:t>
      </w:r>
      <w:r w:rsidR="00D90DCB" w:rsidRPr="000D77A6">
        <w:rPr>
          <w:szCs w:val="22"/>
        </w:rPr>
        <w:t xml:space="preserve">v rámci </w:t>
      </w:r>
      <w:r w:rsidRPr="000D77A6">
        <w:rPr>
          <w:szCs w:val="22"/>
        </w:rPr>
        <w:t>monitorovania projektov na PO 2014</w:t>
      </w:r>
      <w:r w:rsidR="0004505D">
        <w:rPr>
          <w:szCs w:val="22"/>
        </w:rPr>
        <w:t xml:space="preserve"> </w:t>
      </w:r>
      <w:r w:rsidRPr="000D77A6">
        <w:rPr>
          <w:szCs w:val="22"/>
        </w:rPr>
        <w:t>-</w:t>
      </w:r>
      <w:r w:rsidR="0004505D">
        <w:rPr>
          <w:szCs w:val="22"/>
        </w:rPr>
        <w:t xml:space="preserve"> </w:t>
      </w:r>
      <w:r w:rsidRPr="000D77A6">
        <w:rPr>
          <w:szCs w:val="22"/>
        </w:rPr>
        <w:t xml:space="preserve">2020 je väčšia prepojenosť medzi finančnou a realizačnou </w:t>
      </w:r>
      <w:r w:rsidR="00D90DCB" w:rsidRPr="000D77A6">
        <w:rPr>
          <w:szCs w:val="22"/>
        </w:rPr>
        <w:t xml:space="preserve">stránkou projektu už počas kontroly žiadosti o platbu. Realizovať finančnú stránku projektu bez napĺňania realizačnej stránky projektu (t.j. uskutočňovanie aktivít projektu, napĺňanie merateľných ukazovateľov a pod.) nie je možné a preto </w:t>
      </w:r>
      <w:r w:rsidR="0034240F" w:rsidRPr="00BA2981">
        <w:rPr>
          <w:szCs w:val="22"/>
        </w:rPr>
        <w:t>je potrebné, aby aj kontrola žiadosti o platbu  z</w:t>
      </w:r>
      <w:r w:rsidR="0034240F">
        <w:rPr>
          <w:szCs w:val="22"/>
        </w:rPr>
        <w:t xml:space="preserve">ahŕňala túto realizačnú stránku. </w:t>
      </w:r>
      <w:r w:rsidR="00D90DCB" w:rsidRPr="000D77A6">
        <w:rPr>
          <w:szCs w:val="22"/>
        </w:rPr>
        <w:t xml:space="preserve"> </w:t>
      </w:r>
    </w:p>
    <w:p w:rsidR="001217AF" w:rsidRPr="000D77A6" w:rsidRDefault="00D90DCB"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Doplňujúce monitorovacie údaje sú poskytované len vo vzťahu k</w:t>
      </w:r>
      <w:r w:rsidR="005B3B3B" w:rsidRPr="000D77A6">
        <w:rPr>
          <w:szCs w:val="22"/>
        </w:rPr>
        <w:t> </w:t>
      </w:r>
      <w:r w:rsidRPr="000D77A6">
        <w:rPr>
          <w:szCs w:val="22"/>
        </w:rPr>
        <w:t>vy</w:t>
      </w:r>
      <w:r w:rsidR="005B3B3B" w:rsidRPr="000D77A6">
        <w:rPr>
          <w:szCs w:val="22"/>
        </w:rPr>
        <w:t>braným typom žiadostí o platbu. Uvedená povinnosť sa vzťahuje na priebežnú platbu, zúčtovanie zálohovej platby a poskytnutie predfinancovania</w:t>
      </w:r>
      <w:r w:rsidR="0083026B" w:rsidRPr="000D77A6">
        <w:rPr>
          <w:szCs w:val="22"/>
        </w:rPr>
        <w:t xml:space="preserve"> (ďalej len „relevantn</w:t>
      </w:r>
      <w:r w:rsidR="009C64E2" w:rsidRPr="000D77A6">
        <w:rPr>
          <w:szCs w:val="22"/>
        </w:rPr>
        <w:t>á</w:t>
      </w:r>
      <w:r w:rsidR="0083026B" w:rsidRPr="000D77A6">
        <w:rPr>
          <w:szCs w:val="22"/>
        </w:rPr>
        <w:t xml:space="preserve"> ŽoP“)</w:t>
      </w:r>
      <w:r w:rsidR="005B3B3B" w:rsidRPr="000D77A6">
        <w:rPr>
          <w:szCs w:val="22"/>
        </w:rPr>
        <w:t>.</w:t>
      </w:r>
      <w:r w:rsidR="004D3BB1" w:rsidRPr="000D77A6">
        <w:rPr>
          <w:szCs w:val="22"/>
        </w:rPr>
        <w:t xml:space="preserve"> </w:t>
      </w:r>
      <w:r w:rsidR="005B3B3B" w:rsidRPr="000D77A6">
        <w:rPr>
          <w:szCs w:val="22"/>
        </w:rPr>
        <w:t xml:space="preserve">Pri ostatných typoch žiadosti o platbu (t.j. žiadosť o zálohovú platbu a zúčtovanie predfinancovania) nie je RO povinný vyžadovať doplňujúce monitorovacie údaje. </w:t>
      </w:r>
    </w:p>
    <w:p w:rsidR="001217AF" w:rsidRPr="000D77A6" w:rsidRDefault="00CB2F7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Ak p</w:t>
      </w:r>
      <w:r w:rsidR="0083026B" w:rsidRPr="000D77A6">
        <w:rPr>
          <w:szCs w:val="22"/>
        </w:rPr>
        <w:t xml:space="preserve">rijímateľ nepredkladá žiadnu relevantnú ŽoP do 6 mesiacov od nadobudnutia účinnosti Zmluvy o poskytnutí NFP a zároveň ešte neboli naplnené podmienky na zaslanie monitorovacej správy </w:t>
      </w:r>
      <w:r w:rsidR="00795383">
        <w:rPr>
          <w:szCs w:val="22"/>
        </w:rPr>
        <w:t>p</w:t>
      </w:r>
      <w:r w:rsidR="0083026B" w:rsidRPr="000D77A6">
        <w:rPr>
          <w:szCs w:val="22"/>
        </w:rPr>
        <w:t xml:space="preserve">rojektu (s príznakom ,,výročná“), </w:t>
      </w:r>
      <w:r w:rsidR="00244A17">
        <w:rPr>
          <w:szCs w:val="22"/>
        </w:rPr>
        <w:t xml:space="preserve">je </w:t>
      </w:r>
      <w:r w:rsidR="00244A17">
        <w:t>prijímateľ</w:t>
      </w:r>
      <w:r w:rsidR="00244A17" w:rsidRPr="00A91910">
        <w:t xml:space="preserve"> </w:t>
      </w:r>
      <w:r w:rsidR="00244A17">
        <w:t>p</w:t>
      </w:r>
      <w:r w:rsidR="00244A17" w:rsidRPr="00A91910">
        <w:t xml:space="preserve">ovinný predložiť </w:t>
      </w:r>
      <w:r w:rsidR="00244A17">
        <w:t>RO</w:t>
      </w:r>
      <w:r w:rsidR="00DE0B98">
        <w:t xml:space="preserve"> </w:t>
      </w:r>
      <w:r w:rsidR="00136194">
        <w:t>informácie</w:t>
      </w:r>
      <w:r w:rsidR="00136194" w:rsidRPr="00A91910">
        <w:t xml:space="preserve"> </w:t>
      </w:r>
      <w:r w:rsidR="00244A17" w:rsidRPr="00A91910">
        <w:t xml:space="preserve">o stave </w:t>
      </w:r>
      <w:r w:rsidR="00244A17">
        <w:t>r</w:t>
      </w:r>
      <w:r w:rsidR="00244A17" w:rsidRPr="00A91910">
        <w:t xml:space="preserve">ealizácie </w:t>
      </w:r>
      <w:r w:rsidR="00244A17">
        <w:t>a</w:t>
      </w:r>
      <w:r w:rsidR="00244A17" w:rsidRPr="00A91910">
        <w:t>ktivít</w:t>
      </w:r>
      <w:r w:rsidR="00244A17">
        <w:t xml:space="preserve"> projektu</w:t>
      </w:r>
      <w:r w:rsidR="00244A17" w:rsidRPr="00A91910">
        <w:t xml:space="preserve">, </w:t>
      </w:r>
      <w:r w:rsidR="00F00D13">
        <w:t xml:space="preserve">pokroku projektu, </w:t>
      </w:r>
      <w:r w:rsidR="00244A17">
        <w:t>identifikovaných problémoch a rizikách na projekte</w:t>
      </w:r>
      <w:r w:rsidR="00DE0B98">
        <w:t>,</w:t>
      </w:r>
      <w:r w:rsidR="00244A17">
        <w:t xml:space="preserve"> ako aj o ďalších informáciách v súvislosti s realizáciou projektu </w:t>
      </w:r>
      <w:r w:rsidR="00DE5E3E">
        <w:t xml:space="preserve">(doplňujúce monitorovacie údaje) </w:t>
      </w:r>
      <w:r w:rsidR="00244A17">
        <w:t xml:space="preserve">vo formáte stanovenom </w:t>
      </w:r>
      <w:r w:rsidR="00F32794">
        <w:t>CKO</w:t>
      </w:r>
      <w:r w:rsidR="00DE5E3E">
        <w:t xml:space="preserve"> </w:t>
      </w:r>
      <w:r w:rsidR="00244A17">
        <w:t>a to bezodkladne od uplynutia 6 mesačnej lehoty</w:t>
      </w:r>
      <w:r w:rsidR="00244A17" w:rsidRPr="00A91910">
        <w:t xml:space="preserve">. </w:t>
      </w:r>
      <w:r w:rsidR="00136194" w:rsidRPr="00136194">
        <w:rPr>
          <w:szCs w:val="22"/>
        </w:rPr>
        <w:t>V prípade predkladania informáci</w:t>
      </w:r>
      <w:r w:rsidR="00136194">
        <w:rPr>
          <w:szCs w:val="22"/>
        </w:rPr>
        <w:t xml:space="preserve">í uvedených v predchádzajúcej vete </w:t>
      </w:r>
      <w:r w:rsidR="00136194" w:rsidRPr="000D77A6">
        <w:rPr>
          <w:szCs w:val="22"/>
        </w:rPr>
        <w:t xml:space="preserve">je na rozhodnutí RO akú formu kontroly </w:t>
      </w:r>
      <w:r w:rsidR="00136194">
        <w:rPr>
          <w:szCs w:val="22"/>
        </w:rPr>
        <w:t xml:space="preserve">týchto informácií </w:t>
      </w:r>
      <w:r w:rsidR="00136194" w:rsidRPr="000D77A6">
        <w:rPr>
          <w:szCs w:val="22"/>
        </w:rPr>
        <w:t xml:space="preserve">zvolí (t.j. buď kontrolu formou administratívnej </w:t>
      </w:r>
      <w:r w:rsidR="00FD1E3D">
        <w:rPr>
          <w:szCs w:val="22"/>
        </w:rPr>
        <w:t xml:space="preserve">finančnej </w:t>
      </w:r>
      <w:r w:rsidR="00136194" w:rsidRPr="000D77A6">
        <w:rPr>
          <w:szCs w:val="22"/>
        </w:rPr>
        <w:t xml:space="preserve">kontroly v zmysle § </w:t>
      </w:r>
      <w:r w:rsidR="00FD1E3D">
        <w:rPr>
          <w:szCs w:val="22"/>
        </w:rPr>
        <w:t>8</w:t>
      </w:r>
      <w:r w:rsidR="00136194" w:rsidRPr="000D77A6">
        <w:rPr>
          <w:szCs w:val="22"/>
        </w:rPr>
        <w:t xml:space="preserve">, formou </w:t>
      </w:r>
      <w:r w:rsidR="00FD1E3D">
        <w:rPr>
          <w:szCs w:val="22"/>
        </w:rPr>
        <w:t xml:space="preserve">finančnej </w:t>
      </w:r>
      <w:r w:rsidR="00136194" w:rsidRPr="000D77A6">
        <w:rPr>
          <w:szCs w:val="22"/>
        </w:rPr>
        <w:t xml:space="preserve">kontroly na mieste v zmysle § 9 zákona o finančnej kontrole alebo formou inej kontroly, ktorú má vopred stanovenú v interných predpisoch). </w:t>
      </w:r>
      <w:r w:rsidR="002F5506" w:rsidRPr="000D77A6">
        <w:rPr>
          <w:szCs w:val="22"/>
        </w:rPr>
        <w:t>Uvedenou povinnosťou nie je dotknuté oprávnenie RO vyžadovať i</w:t>
      </w:r>
      <w:r w:rsidR="0083026B" w:rsidRPr="000D77A6">
        <w:rPr>
          <w:szCs w:val="22"/>
        </w:rPr>
        <w:t xml:space="preserve">nformácie v rozsahu </w:t>
      </w:r>
      <w:r w:rsidR="002F5506" w:rsidRPr="000D77A6">
        <w:rPr>
          <w:szCs w:val="22"/>
        </w:rPr>
        <w:t xml:space="preserve">uvedenom v doplňujúcich monitorovacích údajoch </w:t>
      </w:r>
      <w:r w:rsidR="001217AF" w:rsidRPr="000D77A6">
        <w:rPr>
          <w:szCs w:val="22"/>
        </w:rPr>
        <w:t xml:space="preserve">k ŽoP </w:t>
      </w:r>
      <w:r w:rsidR="002F5506" w:rsidRPr="000D77A6">
        <w:rPr>
          <w:szCs w:val="22"/>
        </w:rPr>
        <w:t>aj mimo stanovených termínov, príp. informácie nad rámec rozsahu stanovenom v doplňujúcich monitorovacích údajoch k</w:t>
      </w:r>
      <w:r w:rsidR="001217AF" w:rsidRPr="000D77A6">
        <w:rPr>
          <w:szCs w:val="22"/>
        </w:rPr>
        <w:t xml:space="preserve"> ŽoP</w:t>
      </w:r>
      <w:r w:rsidR="0083026B" w:rsidRPr="000D77A6">
        <w:rPr>
          <w:szCs w:val="22"/>
        </w:rPr>
        <w:t xml:space="preserve">. </w:t>
      </w:r>
    </w:p>
    <w:p w:rsidR="00CB2F76" w:rsidRPr="00BF1D4F" w:rsidRDefault="00CB2F7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Periodicita predkladania doplňujúcich monitorovacích údajov k ŽoP je totožná s periodicitou predkladania relevantnej ŽoP</w:t>
      </w:r>
      <w:r w:rsidR="00AF180D">
        <w:rPr>
          <w:szCs w:val="22"/>
        </w:rPr>
        <w:t xml:space="preserve"> a</w:t>
      </w:r>
      <w:r w:rsidRPr="000D77A6">
        <w:rPr>
          <w:szCs w:val="22"/>
        </w:rPr>
        <w:t xml:space="preserve"> je stanovená v zmluve o poskytnutí NFP. Uvedenou povinnosťou nie je dotknutá povinnosť stanovená v bode 4 (t. j. prípady, ak prijímateľ do 6 mesiacov od účinnosti zmluvy o poskytnutí NFP nepredloží relevantnú </w:t>
      </w:r>
      <w:r w:rsidRPr="00BF1D4F">
        <w:rPr>
          <w:szCs w:val="22"/>
        </w:rPr>
        <w:t xml:space="preserve">ŽoP, resp. nezašle monitorovaciu správu s príznakom „výročná“). </w:t>
      </w:r>
    </w:p>
    <w:p w:rsidR="002A206B" w:rsidRPr="00BF1D4F" w:rsidRDefault="00CB2F76" w:rsidP="00BF1D4F">
      <w:pPr>
        <w:pStyle w:val="Odsekzoznamu"/>
        <w:numPr>
          <w:ilvl w:val="0"/>
          <w:numId w:val="7"/>
        </w:numPr>
        <w:autoSpaceDE w:val="0"/>
        <w:autoSpaceDN w:val="0"/>
        <w:adjustRightInd w:val="0"/>
        <w:spacing w:before="120" w:after="120"/>
        <w:ind w:left="426" w:hanging="426"/>
        <w:contextualSpacing w:val="0"/>
        <w:jc w:val="both"/>
        <w:rPr>
          <w:szCs w:val="22"/>
        </w:rPr>
      </w:pPr>
      <w:r w:rsidRPr="00BF1D4F">
        <w:rPr>
          <w:szCs w:val="22"/>
        </w:rPr>
        <w:t xml:space="preserve">Kontrola doplňujúcich monitorovacích údajov k ŽoP prebieha v rámci kontroly </w:t>
      </w:r>
      <w:r w:rsidR="000F52C6" w:rsidRPr="00BF1D4F">
        <w:rPr>
          <w:szCs w:val="22"/>
        </w:rPr>
        <w:t xml:space="preserve">správnosti </w:t>
      </w:r>
      <w:r w:rsidRPr="00BF1D4F">
        <w:rPr>
          <w:szCs w:val="22"/>
        </w:rPr>
        <w:t>ŽoP, nakoľko príloha ŽoP je neoddeliteľnou súčasťou samotnej ŽoP</w:t>
      </w:r>
      <w:r w:rsidR="000F52C6" w:rsidRPr="00BF1D4F">
        <w:rPr>
          <w:szCs w:val="22"/>
        </w:rPr>
        <w:t xml:space="preserve">. Uvedená kontrola prebieha </w:t>
      </w:r>
      <w:r w:rsidR="0061050D" w:rsidRPr="00BF1D4F">
        <w:rPr>
          <w:szCs w:val="22"/>
        </w:rPr>
        <w:t xml:space="preserve">vždy minimálne </w:t>
      </w:r>
      <w:r w:rsidR="000F52C6" w:rsidRPr="00BF1D4F">
        <w:rPr>
          <w:szCs w:val="22"/>
        </w:rPr>
        <w:t>formou administratívnej</w:t>
      </w:r>
      <w:r w:rsidR="00FD1E3D" w:rsidRPr="00BF1D4F">
        <w:rPr>
          <w:szCs w:val="22"/>
        </w:rPr>
        <w:t xml:space="preserve"> finančnej</w:t>
      </w:r>
      <w:r w:rsidR="000F52C6" w:rsidRPr="00BF1D4F">
        <w:rPr>
          <w:szCs w:val="22"/>
        </w:rPr>
        <w:t xml:space="preserve"> kontroly žiadosti o platbu v</w:t>
      </w:r>
      <w:r w:rsidR="000F52C6" w:rsidRPr="00D21D19">
        <w:rPr>
          <w:szCs w:val="22"/>
        </w:rPr>
        <w:t xml:space="preserve"> zmysle § </w:t>
      </w:r>
      <w:r w:rsidR="00FD1E3D" w:rsidRPr="00D21D19">
        <w:rPr>
          <w:szCs w:val="22"/>
        </w:rPr>
        <w:t>8</w:t>
      </w:r>
      <w:r w:rsidR="000F52C6" w:rsidRPr="00D21D19">
        <w:rPr>
          <w:szCs w:val="22"/>
        </w:rPr>
        <w:t xml:space="preserve"> zákona</w:t>
      </w:r>
      <w:r w:rsidR="0061050D" w:rsidRPr="00D21D19">
        <w:rPr>
          <w:szCs w:val="22"/>
        </w:rPr>
        <w:t xml:space="preserve"> č. </w:t>
      </w:r>
      <w:r w:rsidR="00FD1E3D" w:rsidRPr="00D21D19">
        <w:rPr>
          <w:szCs w:val="22"/>
        </w:rPr>
        <w:t>3</w:t>
      </w:r>
      <w:r w:rsidR="0061050D" w:rsidRPr="00D21D19">
        <w:rPr>
          <w:szCs w:val="22"/>
        </w:rPr>
        <w:t>5</w:t>
      </w:r>
      <w:r w:rsidR="00FD1E3D" w:rsidRPr="006321E6">
        <w:rPr>
          <w:szCs w:val="22"/>
        </w:rPr>
        <w:t>7</w:t>
      </w:r>
      <w:r w:rsidR="0061050D" w:rsidRPr="006321E6">
        <w:rPr>
          <w:szCs w:val="22"/>
        </w:rPr>
        <w:t>/20</w:t>
      </w:r>
      <w:r w:rsidR="00FD1E3D" w:rsidRPr="006321E6">
        <w:rPr>
          <w:szCs w:val="22"/>
        </w:rPr>
        <w:t>15</w:t>
      </w:r>
      <w:r w:rsidR="0061050D" w:rsidRPr="006321E6">
        <w:rPr>
          <w:szCs w:val="22"/>
        </w:rPr>
        <w:t xml:space="preserve"> Z. z. </w:t>
      </w:r>
      <w:r w:rsidR="000F52C6" w:rsidRPr="006321E6">
        <w:rPr>
          <w:szCs w:val="22"/>
        </w:rPr>
        <w:t>o finančnej kontrole</w:t>
      </w:r>
      <w:r w:rsidR="0061050D" w:rsidRPr="006321E6">
        <w:rPr>
          <w:szCs w:val="22"/>
        </w:rPr>
        <w:t xml:space="preserve"> a  audite a o zmene a doplnení niektorých zákonov v znení neskorších predpisov (ďalej len „zákon </w:t>
      </w:r>
      <w:r w:rsidR="0061050D" w:rsidRPr="006321E6">
        <w:rPr>
          <w:szCs w:val="22"/>
        </w:rPr>
        <w:lastRenderedPageBreak/>
        <w:t xml:space="preserve">o finančnej kontrole“), pričom môže byť doplnená aj kontrolou vo forme </w:t>
      </w:r>
      <w:r w:rsidR="00FD1E3D" w:rsidRPr="006321E6">
        <w:rPr>
          <w:szCs w:val="22"/>
        </w:rPr>
        <w:t xml:space="preserve">finančnej </w:t>
      </w:r>
      <w:r w:rsidR="0061050D" w:rsidRPr="006321E6">
        <w:rPr>
          <w:szCs w:val="22"/>
        </w:rPr>
        <w:t>kontroly na mieste v zmysle § 9 zákona o finančnej kontrole</w:t>
      </w:r>
      <w:r w:rsidR="000F52C6" w:rsidRPr="006321E6">
        <w:rPr>
          <w:szCs w:val="22"/>
        </w:rPr>
        <w:t>.</w:t>
      </w:r>
      <w:r w:rsidR="0061050D" w:rsidRPr="006321E6">
        <w:rPr>
          <w:szCs w:val="22"/>
        </w:rPr>
        <w:t xml:space="preserve"> </w:t>
      </w:r>
      <w:r w:rsidR="00D00641" w:rsidRPr="006321E6">
        <w:rPr>
          <w:szCs w:val="22"/>
        </w:rPr>
        <w:t xml:space="preserve">V prípade zistenia nedostatkov v rámci výkonu kontroly projektu podľa § </w:t>
      </w:r>
      <w:r w:rsidR="00FD1E3D" w:rsidRPr="006321E6">
        <w:rPr>
          <w:szCs w:val="22"/>
        </w:rPr>
        <w:t>8</w:t>
      </w:r>
      <w:r w:rsidR="00D00641" w:rsidRPr="006321E6">
        <w:rPr>
          <w:szCs w:val="22"/>
        </w:rPr>
        <w:t xml:space="preserve"> a § 9 zákona o finančnej kontrole je RO povinný doručiť prijímateľovi návrh</w:t>
      </w:r>
      <w:r w:rsidR="00FD1E3D" w:rsidRPr="006321E6">
        <w:rPr>
          <w:szCs w:val="22"/>
        </w:rPr>
        <w:t xml:space="preserve"> čiastkovej správy z kontroly/návrh</w:t>
      </w:r>
      <w:r w:rsidR="00D00641" w:rsidRPr="006321E6">
        <w:rPr>
          <w:szCs w:val="22"/>
        </w:rPr>
        <w:t xml:space="preserve"> správy z kontroly na jeho prípadné námietky a po posúdení opodstatnenosti predložených námietok zaslať </w:t>
      </w:r>
      <w:r w:rsidR="00FD1E3D" w:rsidRPr="006321E6">
        <w:rPr>
          <w:szCs w:val="22"/>
        </w:rPr>
        <w:t>čiastkovú správu z kontroly/</w:t>
      </w:r>
      <w:r w:rsidR="00D00641" w:rsidRPr="006321E6">
        <w:rPr>
          <w:szCs w:val="22"/>
        </w:rPr>
        <w:t>správu z</w:t>
      </w:r>
      <w:r w:rsidR="0001163D" w:rsidRPr="006321E6">
        <w:rPr>
          <w:szCs w:val="22"/>
        </w:rPr>
        <w:t> </w:t>
      </w:r>
      <w:r w:rsidR="00D00641" w:rsidRPr="006321E6">
        <w:rPr>
          <w:szCs w:val="22"/>
        </w:rPr>
        <w:t>kontroly</w:t>
      </w:r>
      <w:r w:rsidR="0001163D" w:rsidRPr="006321E6">
        <w:rPr>
          <w:szCs w:val="22"/>
        </w:rPr>
        <w:t xml:space="preserve"> prijímateľovi</w:t>
      </w:r>
      <w:r w:rsidR="00D00641" w:rsidRPr="006321E6">
        <w:rPr>
          <w:szCs w:val="22"/>
        </w:rPr>
        <w:t>.</w:t>
      </w:r>
      <w:r w:rsidR="0001163D" w:rsidRPr="006321E6">
        <w:rPr>
          <w:szCs w:val="22"/>
        </w:rPr>
        <w:t xml:space="preserve"> </w:t>
      </w:r>
      <w:r w:rsidR="003D0D92" w:rsidRPr="006321E6">
        <w:rPr>
          <w:szCs w:val="22"/>
        </w:rPr>
        <w:t xml:space="preserve">Dňom </w:t>
      </w:r>
      <w:r w:rsidR="0001163D" w:rsidRPr="006321E6">
        <w:rPr>
          <w:szCs w:val="22"/>
        </w:rPr>
        <w:t xml:space="preserve">zaslania správy z kontroly prijímateľovi je kontrola ukončená. </w:t>
      </w:r>
      <w:r w:rsidR="00D00641" w:rsidRPr="006321E6">
        <w:rPr>
          <w:szCs w:val="22"/>
        </w:rPr>
        <w:t xml:space="preserve"> </w:t>
      </w:r>
      <w:r w:rsidR="00A113ED" w:rsidRPr="006321E6">
        <w:rPr>
          <w:szCs w:val="22"/>
        </w:rPr>
        <w:t xml:space="preserve">Zaslaním čiastkovej správy z kontroly je skončená tá časť finančnej kontroly, ktorej sa čiastková správa z kontroly týka.  </w:t>
      </w:r>
      <w:r w:rsidR="00D00641" w:rsidRPr="00BF1D4F">
        <w:rPr>
          <w:szCs w:val="22"/>
        </w:rPr>
        <w:t xml:space="preserve">  </w:t>
      </w:r>
      <w:r w:rsidR="0061050D" w:rsidRPr="00BF1D4F">
        <w:rPr>
          <w:szCs w:val="22"/>
        </w:rPr>
        <w:t xml:space="preserve"> </w:t>
      </w:r>
    </w:p>
    <w:p w:rsidR="002A206B" w:rsidRPr="000D77A6" w:rsidRDefault="003E3DD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Najneskôr </w:t>
      </w:r>
      <w:r w:rsidR="00666655" w:rsidRPr="000D77A6">
        <w:rPr>
          <w:szCs w:val="22"/>
        </w:rPr>
        <w:t>do</w:t>
      </w:r>
      <w:r w:rsidRPr="000D77A6">
        <w:rPr>
          <w:szCs w:val="22"/>
        </w:rPr>
        <w:t xml:space="preserve"> ukončenia kontroly ŽoP je RO povinný vyplniť </w:t>
      </w:r>
      <w:r w:rsidR="002A206B" w:rsidRPr="000D77A6">
        <w:rPr>
          <w:szCs w:val="22"/>
        </w:rPr>
        <w:t>Kontrolný zoznam</w:t>
      </w:r>
      <w:r w:rsidRPr="000D77A6">
        <w:rPr>
          <w:szCs w:val="22"/>
        </w:rPr>
        <w:t xml:space="preserve">, ktorého minimálny rozsah je stanovený </w:t>
      </w:r>
      <w:r w:rsidR="00B64E0F" w:rsidRPr="000D77A6">
        <w:rPr>
          <w:szCs w:val="22"/>
        </w:rPr>
        <w:t>vo vzore</w:t>
      </w:r>
      <w:r w:rsidRPr="000D77A6">
        <w:rPr>
          <w:szCs w:val="22"/>
        </w:rPr>
        <w:t xml:space="preserve"> CKO. </w:t>
      </w:r>
      <w:r w:rsidR="004F1C25" w:rsidRPr="000D77A6">
        <w:rPr>
          <w:szCs w:val="22"/>
        </w:rPr>
        <w:t xml:space="preserve">V prípade, ak </w:t>
      </w:r>
      <w:r w:rsidR="000324F5" w:rsidRPr="000D77A6">
        <w:rPr>
          <w:szCs w:val="22"/>
        </w:rPr>
        <w:t xml:space="preserve">RO vykonáva kontrolu </w:t>
      </w:r>
      <w:r w:rsidR="00136194">
        <w:rPr>
          <w:szCs w:val="22"/>
        </w:rPr>
        <w:t>informáci</w:t>
      </w:r>
      <w:r w:rsidR="00F32794">
        <w:rPr>
          <w:szCs w:val="22"/>
        </w:rPr>
        <w:t>í</w:t>
      </w:r>
      <w:r w:rsidR="00136194">
        <w:rPr>
          <w:szCs w:val="22"/>
        </w:rPr>
        <w:t xml:space="preserve"> </w:t>
      </w:r>
      <w:r w:rsidR="000324F5" w:rsidRPr="000D77A6">
        <w:rPr>
          <w:szCs w:val="22"/>
        </w:rPr>
        <w:t xml:space="preserve"> </w:t>
      </w:r>
      <w:r w:rsidR="000324F5" w:rsidRPr="00F32794">
        <w:rPr>
          <w:szCs w:val="22"/>
        </w:rPr>
        <w:t>(t.j. prípad uvedený v bode 4 tejto kapitoly)</w:t>
      </w:r>
      <w:r w:rsidR="000324F5" w:rsidRPr="000D77A6">
        <w:rPr>
          <w:szCs w:val="22"/>
        </w:rPr>
        <w:t xml:space="preserve">, je RO povinný stanoviť si ad hoc kontrolný zoznam, ktorý bude súčasťou interných predpisov RO. </w:t>
      </w:r>
      <w:r w:rsidR="004F1C25" w:rsidRPr="000D77A6">
        <w:rPr>
          <w:szCs w:val="22"/>
        </w:rPr>
        <w:t xml:space="preserve"> </w:t>
      </w:r>
      <w:r w:rsidR="002A206B" w:rsidRPr="000D77A6">
        <w:rPr>
          <w:szCs w:val="22"/>
        </w:rPr>
        <w:t xml:space="preserve"> </w:t>
      </w:r>
    </w:p>
    <w:p w:rsidR="002A206B" w:rsidRPr="000D77A6" w:rsidRDefault="002A206B"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Doplňujúce monitorovacie údaje pozostávajú z nasledovných kľúčových informácií: </w:t>
      </w:r>
    </w:p>
    <w:p w:rsidR="002A206B" w:rsidRPr="000D77A6" w:rsidRDefault="002A206B" w:rsidP="000D77A6">
      <w:pPr>
        <w:pStyle w:val="Odsekzoznamu"/>
        <w:numPr>
          <w:ilvl w:val="0"/>
          <w:numId w:val="10"/>
        </w:numPr>
        <w:autoSpaceDE w:val="0"/>
        <w:autoSpaceDN w:val="0"/>
        <w:adjustRightInd w:val="0"/>
        <w:spacing w:before="120" w:after="120"/>
        <w:ind w:left="851" w:hanging="425"/>
        <w:contextualSpacing w:val="0"/>
        <w:jc w:val="both"/>
        <w:rPr>
          <w:szCs w:val="22"/>
        </w:rPr>
      </w:pPr>
      <w:r w:rsidRPr="000D77A6">
        <w:rPr>
          <w:szCs w:val="22"/>
        </w:rPr>
        <w:t>vzťah aktivít a merateľných ukazovateľov projektu,</w:t>
      </w:r>
    </w:p>
    <w:p w:rsidR="00F33C2C" w:rsidRPr="000D77A6" w:rsidRDefault="002A206B" w:rsidP="000D77A6">
      <w:pPr>
        <w:pStyle w:val="Odsekzoznamu"/>
        <w:numPr>
          <w:ilvl w:val="0"/>
          <w:numId w:val="10"/>
        </w:numPr>
        <w:autoSpaceDE w:val="0"/>
        <w:autoSpaceDN w:val="0"/>
        <w:adjustRightInd w:val="0"/>
        <w:spacing w:before="120" w:after="120"/>
        <w:ind w:left="851" w:hanging="425"/>
        <w:contextualSpacing w:val="0"/>
        <w:jc w:val="both"/>
        <w:rPr>
          <w:szCs w:val="22"/>
        </w:rPr>
      </w:pPr>
      <w:r w:rsidRPr="000D77A6">
        <w:rPr>
          <w:szCs w:val="22"/>
        </w:rPr>
        <w:t>kumulatívne naplnenie merateľných ukazovateľov,</w:t>
      </w:r>
      <w:r w:rsidR="00CB2F76" w:rsidRPr="000D77A6">
        <w:rPr>
          <w:szCs w:val="22"/>
        </w:rPr>
        <w:t xml:space="preserve"> </w:t>
      </w:r>
    </w:p>
    <w:p w:rsidR="002A206B" w:rsidRPr="000D77A6" w:rsidRDefault="002A206B" w:rsidP="000D77A6">
      <w:pPr>
        <w:pStyle w:val="Odsekzoznamu"/>
        <w:numPr>
          <w:ilvl w:val="0"/>
          <w:numId w:val="10"/>
        </w:numPr>
        <w:autoSpaceDE w:val="0"/>
        <w:autoSpaceDN w:val="0"/>
        <w:adjustRightInd w:val="0"/>
        <w:spacing w:before="120" w:after="120"/>
        <w:ind w:left="851" w:hanging="425"/>
        <w:contextualSpacing w:val="0"/>
        <w:jc w:val="both"/>
        <w:rPr>
          <w:szCs w:val="22"/>
        </w:rPr>
      </w:pPr>
      <w:r w:rsidRPr="000D77A6">
        <w:rPr>
          <w:szCs w:val="22"/>
        </w:rPr>
        <w:t>identifikované problémy, riziká a ďalšie informácie v  súvislosti s realizáciou projektu.</w:t>
      </w:r>
    </w:p>
    <w:p w:rsidR="002D69BC" w:rsidRPr="000D77A6" w:rsidRDefault="002A206B"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Údaje týkajúce sa realizácie aktivít a napĺňania merateľných ukazovateľov patria k jedným z najpodstatnejších informácií najmä vo vzťahu k fyzickému pokroku realizácie projektu a tým napĺňan</w:t>
      </w:r>
      <w:r w:rsidR="00D4415A">
        <w:rPr>
          <w:szCs w:val="22"/>
        </w:rPr>
        <w:t>iu</w:t>
      </w:r>
      <w:r w:rsidRPr="000D77A6">
        <w:rPr>
          <w:szCs w:val="22"/>
        </w:rPr>
        <w:t xml:space="preserve"> nielen cieľov projektu</w:t>
      </w:r>
      <w:r w:rsidR="00BD513C" w:rsidRPr="000D77A6">
        <w:rPr>
          <w:szCs w:val="22"/>
        </w:rPr>
        <w:t>,</w:t>
      </w:r>
      <w:r w:rsidRPr="000D77A6">
        <w:rPr>
          <w:szCs w:val="22"/>
        </w:rPr>
        <w:t xml:space="preserve"> ale aj OP. V nadväznosti na typ merateľného ukazovateľa je možné sledovať jeho napĺňanie už počas realizácie projektu</w:t>
      </w:r>
      <w:r w:rsidR="00D4415A">
        <w:rPr>
          <w:szCs w:val="22"/>
        </w:rPr>
        <w:t xml:space="preserve"> alebo </w:t>
      </w:r>
      <w:r w:rsidRPr="000D77A6">
        <w:rPr>
          <w:szCs w:val="22"/>
        </w:rPr>
        <w:t>až počas udržateľnosti projektu. Každá aktivita projektu</w:t>
      </w:r>
      <w:r w:rsidR="00666655" w:rsidRPr="000D77A6">
        <w:rPr>
          <w:szCs w:val="22"/>
        </w:rPr>
        <w:t xml:space="preserve"> (tak hlavná ako aj podporná)</w:t>
      </w:r>
      <w:r w:rsidRPr="000D77A6">
        <w:rPr>
          <w:szCs w:val="22"/>
        </w:rPr>
        <w:t xml:space="preserve"> má svoje finančné vyjadrenie, ktoré sa prejavuje v</w:t>
      </w:r>
      <w:r w:rsidR="002D69BC" w:rsidRPr="000D77A6">
        <w:rPr>
          <w:szCs w:val="22"/>
        </w:rPr>
        <w:t> nárokovaných finančných prostriedkoch/deklarovaných výdavkoch vo vzťahu k relevantnej ŽoP</w:t>
      </w:r>
      <w:r w:rsidR="00F61EAA">
        <w:rPr>
          <w:szCs w:val="22"/>
        </w:rPr>
        <w:t xml:space="preserve">, predkladanej v súlade so Systémom finančného riadenia ŠF, KF a ENRF na PO 2014 - 2020. </w:t>
      </w:r>
      <w:r w:rsidR="002D69BC" w:rsidRPr="000D77A6">
        <w:rPr>
          <w:szCs w:val="22"/>
        </w:rPr>
        <w:t xml:space="preserve"> </w:t>
      </w:r>
    </w:p>
    <w:p w:rsidR="00B64E0F" w:rsidRPr="000D77A6" w:rsidRDefault="002D69BC"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Údaje týkajúce sa realizácie aktivít a napĺňania merateľných ukazovateľov sú z veľkej časti automaticky vypĺňané z úrovne ITMS2014+, pričom základným zdrojom na automatické vypĺňanie je žiadosť o nenávratný finančný príspevok a zmluva o poskytnutí NFP, v rámci ktorej sú zadefinované jednotlivé aktivity projektu vrátane merateľných ukazovateľov, ktoré sa k danej ak</w:t>
      </w:r>
      <w:r w:rsidR="0021003F">
        <w:rPr>
          <w:szCs w:val="22"/>
        </w:rPr>
        <w:t>tivite viažu, relevancia k HP (</w:t>
      </w:r>
      <w:r w:rsidRPr="000D77A6">
        <w:rPr>
          <w:szCs w:val="22"/>
        </w:rPr>
        <w:t>HP udržateľný rozvoj alebo HP podpora rovnosti mužov a žie</w:t>
      </w:r>
      <w:r w:rsidR="0030167F">
        <w:rPr>
          <w:szCs w:val="22"/>
        </w:rPr>
        <w:t xml:space="preserve">n a nediskriminácie), </w:t>
      </w:r>
      <w:r w:rsidR="008C2EC5" w:rsidRPr="000D77A6">
        <w:rPr>
          <w:szCs w:val="22"/>
        </w:rPr>
        <w:t xml:space="preserve">príznak rizika (t.j. či sa jedná o merateľný ukazovateľ s príznakom – t.j. také ukazovatele, ktorých dosiahnutie je objektívne ovplyvniteľné externými faktormi, a ktorých dosahovanie nie je plne v kompetencii prijímateľa, resp. o merateľný ukazovateľ </w:t>
      </w:r>
      <w:r w:rsidR="00A60373">
        <w:rPr>
          <w:szCs w:val="22"/>
        </w:rPr>
        <w:t>bez</w:t>
      </w:r>
      <w:r w:rsidR="00A60373" w:rsidRPr="000D77A6">
        <w:rPr>
          <w:szCs w:val="22"/>
        </w:rPr>
        <w:t> príznak</w:t>
      </w:r>
      <w:r w:rsidR="00A60373">
        <w:rPr>
          <w:szCs w:val="22"/>
        </w:rPr>
        <w:t>u</w:t>
      </w:r>
      <w:r w:rsidR="008C2EC5" w:rsidRPr="000D77A6">
        <w:rPr>
          <w:szCs w:val="22"/>
        </w:rPr>
        <w:t>,</w:t>
      </w:r>
      <w:r w:rsidR="008F4394" w:rsidRPr="000D77A6">
        <w:rPr>
          <w:szCs w:val="22"/>
        </w:rPr>
        <w:t xml:space="preserve"> ktorého nenaplnenie je spojené so sankciami v zmysle zmluvy o poskytnutí NFP)</w:t>
      </w:r>
      <w:r w:rsidR="00B64E0F" w:rsidRPr="000D77A6">
        <w:rPr>
          <w:szCs w:val="22"/>
        </w:rPr>
        <w:t>. Medzi údaje vypĺňané automaticky ITMS2014+ patrí taktiež údaj o plánovanom stave merateľného ukazovateľa a o miere plnenia merateľného ukazovateľa – t.j. ako je daný merateľný ukazovateľ naplnený vo vzťahu k</w:t>
      </w:r>
      <w:r w:rsidR="00CF3690">
        <w:rPr>
          <w:szCs w:val="22"/>
        </w:rPr>
        <w:t>u</w:t>
      </w:r>
      <w:r w:rsidR="00B64E0F" w:rsidRPr="000D77A6">
        <w:rPr>
          <w:szCs w:val="22"/>
        </w:rPr>
        <w:t xml:space="preserve"> konkrétnej aktivite, pričom stĺpec poskytujúci informáciu o skutočnom stave naplnenia merateľného ukazovateľa vo vzťahu k danej aktivite je povinný </w:t>
      </w:r>
      <w:r w:rsidR="00A60373">
        <w:rPr>
          <w:szCs w:val="22"/>
        </w:rPr>
        <w:t>vyplniť</w:t>
      </w:r>
      <w:r w:rsidR="00A60373" w:rsidRPr="000D77A6">
        <w:rPr>
          <w:szCs w:val="22"/>
        </w:rPr>
        <w:t xml:space="preserve"> </w:t>
      </w:r>
      <w:r w:rsidR="00B64E0F" w:rsidRPr="000D77A6">
        <w:rPr>
          <w:szCs w:val="22"/>
        </w:rPr>
        <w:t xml:space="preserve">prijímateľ. </w:t>
      </w:r>
      <w:r w:rsidR="00981C56" w:rsidRPr="000D77A6">
        <w:rPr>
          <w:szCs w:val="22"/>
        </w:rPr>
        <w:t xml:space="preserve">Miera plnenia merateľného ukazovateľa je percentuálnym vyjadrením pomeru medzi skutočným stavom merateľného ukazovateľa a plánovaným stavom merateľného ukazovateľa. </w:t>
      </w:r>
    </w:p>
    <w:p w:rsidR="00B754A4" w:rsidRPr="000D77A6" w:rsidRDefault="00981C56"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V závislosti od typu ukazovateľa  je možné rozlíšiť rôzne časové úrovne na</w:t>
      </w:r>
      <w:r w:rsidR="00B754A4" w:rsidRPr="000D77A6">
        <w:rPr>
          <w:szCs w:val="22"/>
        </w:rPr>
        <w:t>pĺňania merateľného ukazovateľa (napr. napĺňanie počas realizácie projektu, napĺňanie v období udržateľnosti projektu pri merateľných ukazovateľoch dlhodobých výsledkov).</w:t>
      </w:r>
      <w:r w:rsidR="00152422">
        <w:rPr>
          <w:szCs w:val="22"/>
        </w:rPr>
        <w:t xml:space="preserve"> Vo </w:t>
      </w:r>
      <w:r w:rsidR="00152422">
        <w:rPr>
          <w:szCs w:val="22"/>
        </w:rPr>
        <w:lastRenderedPageBreak/>
        <w:t>vzťahu k údajom uvedeným v doplňujúcich monitorovacích údajoch</w:t>
      </w:r>
      <w:r w:rsidR="00773229">
        <w:rPr>
          <w:szCs w:val="22"/>
        </w:rPr>
        <w:t xml:space="preserve"> k žiadosti o platbu</w:t>
      </w:r>
      <w:r w:rsidR="00152422">
        <w:rPr>
          <w:szCs w:val="22"/>
        </w:rPr>
        <w:t xml:space="preserve"> sa prejaví len taký merateľný ukazovateľ, ktorého napĺňanie nastáva počas realizácie projektu a to najneskôr do vypracovania žiadosti o platbu s príznakom záverečná. </w:t>
      </w:r>
    </w:p>
    <w:p w:rsidR="00B64E0F" w:rsidRPr="000D77A6" w:rsidRDefault="00B754A4" w:rsidP="000D77A6">
      <w:pPr>
        <w:pStyle w:val="Odsekzoznamu"/>
        <w:numPr>
          <w:ilvl w:val="0"/>
          <w:numId w:val="7"/>
        </w:numPr>
        <w:autoSpaceDE w:val="0"/>
        <w:autoSpaceDN w:val="0"/>
        <w:adjustRightInd w:val="0"/>
        <w:spacing w:before="120" w:after="120"/>
        <w:ind w:left="426" w:hanging="426"/>
        <w:contextualSpacing w:val="0"/>
        <w:jc w:val="both"/>
        <w:rPr>
          <w:szCs w:val="22"/>
        </w:rPr>
      </w:pPr>
      <w:r w:rsidRPr="000D77A6">
        <w:rPr>
          <w:szCs w:val="22"/>
        </w:rPr>
        <w:t xml:space="preserve">V prípade </w:t>
      </w:r>
      <w:r w:rsidR="00602B58" w:rsidRPr="000D77A6">
        <w:rPr>
          <w:szCs w:val="22"/>
        </w:rPr>
        <w:t>identifikácie</w:t>
      </w:r>
      <w:r w:rsidRPr="000D77A6">
        <w:rPr>
          <w:szCs w:val="22"/>
        </w:rPr>
        <w:t xml:space="preserve"> problémov, rizík a ďalších informácií v súvislosti s realizáciou projektu uvedie prijímateľ v rámci doplňujúcich monitorovacích údajov </w:t>
      </w:r>
      <w:r w:rsidR="00602B58" w:rsidRPr="000D77A6">
        <w:rPr>
          <w:szCs w:val="22"/>
        </w:rPr>
        <w:t xml:space="preserve">najmä informácie prierezového charakteru, t.j. také informácie, ktoré sa týkajú viacerých aktivít projektu, resp. </w:t>
      </w:r>
      <w:r w:rsidR="00AC72C3">
        <w:rPr>
          <w:szCs w:val="22"/>
        </w:rPr>
        <w:t>vznikli v súvislosti s realizáciou projektu</w:t>
      </w:r>
      <w:r w:rsidRPr="000D77A6">
        <w:rPr>
          <w:szCs w:val="22"/>
        </w:rPr>
        <w:t>. Predmetné informácie slúžia na včasné odhalenie rizík a negatívnych tendencií v súvislosti s realizáciou projektu, ktoré by mohli ovplyvniť jeho plynulý priebeh a úspešné ukončenie</w:t>
      </w:r>
      <w:r w:rsidR="00E84DE3">
        <w:rPr>
          <w:szCs w:val="22"/>
        </w:rPr>
        <w:t>, ale aj na sledovanie pokroku a napredovania na projekte</w:t>
      </w:r>
      <w:r w:rsidR="00134EFA">
        <w:rPr>
          <w:szCs w:val="22"/>
        </w:rPr>
        <w:t>.</w:t>
      </w:r>
      <w:r w:rsidRPr="000D77A6">
        <w:rPr>
          <w:szCs w:val="22"/>
        </w:rPr>
        <w:t xml:space="preserve"> </w:t>
      </w:r>
      <w:r w:rsidR="007D3B7D" w:rsidRPr="000D77A6">
        <w:rPr>
          <w:szCs w:val="22"/>
        </w:rPr>
        <w:t xml:space="preserve">Zároveň slúžia ako vstupná informácia pre riadiaci orgán na možný výkon kontroly projektu, ktorá by identifikovala prípadné nedostatky a navrhla opatrenia na ich elimináciu. </w:t>
      </w:r>
      <w:r w:rsidRPr="000D77A6">
        <w:rPr>
          <w:szCs w:val="22"/>
        </w:rPr>
        <w:t xml:space="preserve">  </w:t>
      </w:r>
      <w:r w:rsidR="00981C56" w:rsidRPr="000D77A6">
        <w:rPr>
          <w:szCs w:val="22"/>
        </w:rPr>
        <w:t xml:space="preserve"> </w:t>
      </w:r>
    </w:p>
    <w:p w:rsidR="001E2B03" w:rsidRPr="001C61D0" w:rsidRDefault="000D77A6" w:rsidP="000D77A6">
      <w:pPr>
        <w:pStyle w:val="MPCKO1"/>
        <w:jc w:val="both"/>
      </w:pPr>
      <w:bookmarkStart w:id="8" w:name="_Toc415571703"/>
      <w:r>
        <w:t xml:space="preserve">4 </w:t>
      </w:r>
      <w:r w:rsidR="00323A29">
        <w:t xml:space="preserve">Výročná </w:t>
      </w:r>
      <w:r w:rsidR="00A02635">
        <w:t xml:space="preserve">a záverečná </w:t>
      </w:r>
      <w:r w:rsidR="00323A29">
        <w:t>monitorovacia správa projektu</w:t>
      </w:r>
      <w:bookmarkEnd w:id="8"/>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Monitorovanie projektu na pravidelnej báze je dôležitou súčasťou monitorovacích a hodnotiacich procesov. Rozsah údajov poskytovaných na úrovni prijímateľa je stanovený vo vzore CKO (Vzor – Monitorovacia správa projektu). Tento vzor je pre RO záväzný, pričom RO môže tento vzor doplniť s ohľadom na špecifické potreby OP, </w:t>
      </w:r>
      <w:r w:rsidR="003665D2" w:rsidRPr="000D77A6">
        <w:rPr>
          <w:szCs w:val="22"/>
        </w:rPr>
        <w:t>za predpokladu</w:t>
      </w:r>
      <w:r w:rsidRPr="000D77A6">
        <w:rPr>
          <w:szCs w:val="22"/>
        </w:rPr>
        <w:t xml:space="preserve"> zachovan</w:t>
      </w:r>
      <w:r w:rsidR="003665D2" w:rsidRPr="000D77A6">
        <w:rPr>
          <w:szCs w:val="22"/>
        </w:rPr>
        <w:t xml:space="preserve">ia </w:t>
      </w:r>
      <w:r w:rsidRPr="000D77A6">
        <w:rPr>
          <w:szCs w:val="22"/>
        </w:rPr>
        <w:t>minimáln</w:t>
      </w:r>
      <w:r w:rsidR="003665D2" w:rsidRPr="000D77A6">
        <w:rPr>
          <w:szCs w:val="22"/>
        </w:rPr>
        <w:t>eho</w:t>
      </w:r>
      <w:r w:rsidRPr="000D77A6">
        <w:rPr>
          <w:szCs w:val="22"/>
        </w:rPr>
        <w:t xml:space="preserve"> obsah</w:t>
      </w:r>
      <w:r w:rsidR="003665D2" w:rsidRPr="000D77A6">
        <w:rPr>
          <w:szCs w:val="22"/>
        </w:rPr>
        <w:t>u</w:t>
      </w:r>
      <w:r w:rsidRPr="000D77A6">
        <w:rPr>
          <w:szCs w:val="22"/>
        </w:rPr>
        <w:t xml:space="preserve"> uveden</w:t>
      </w:r>
      <w:r w:rsidR="003665D2" w:rsidRPr="000D77A6">
        <w:rPr>
          <w:szCs w:val="22"/>
        </w:rPr>
        <w:t>ého</w:t>
      </w:r>
      <w:r w:rsidRPr="000D77A6">
        <w:rPr>
          <w:szCs w:val="22"/>
        </w:rPr>
        <w:t xml:space="preserve"> vo vzore</w:t>
      </w:r>
      <w:r w:rsidR="00200A09">
        <w:rPr>
          <w:szCs w:val="22"/>
        </w:rPr>
        <w:t>.</w:t>
      </w:r>
      <w:r w:rsidR="009D6453">
        <w:rPr>
          <w:szCs w:val="22"/>
        </w:rPr>
        <w:t xml:space="preserve"> Doplnenie monitorovacej správy vo vzťahu k špecifickým potrebám OP je RO oprávnený uskutočniť prostredníctvom príloh k monitorovacej </w:t>
      </w:r>
      <w:r w:rsidR="00F67A75">
        <w:rPr>
          <w:szCs w:val="22"/>
        </w:rPr>
        <w:t>správe.</w:t>
      </w:r>
      <w:r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Cieľom zavedenia jednotnej monitorovacej správy pre projekt je vytvorenie jednotnej databázy údajov o všetkých projektoch pre potreby monitorovania, hodnotenia a kontroly na všetkých úrovniach riadenia projektového cyklu.</w:t>
      </w:r>
      <w:r w:rsidR="001D4207"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w:t>
      </w:r>
      <w:r w:rsidR="006C0A14" w:rsidRPr="000D77A6">
        <w:rPr>
          <w:szCs w:val="22"/>
        </w:rPr>
        <w:t>a</w:t>
      </w:r>
      <w:r w:rsidRPr="000D77A6">
        <w:rPr>
          <w:szCs w:val="22"/>
        </w:rPr>
        <w:t xml:space="preserve"> správ</w:t>
      </w:r>
      <w:r w:rsidR="006C0A14" w:rsidRPr="000D77A6">
        <w:rPr>
          <w:szCs w:val="22"/>
        </w:rPr>
        <w:t>a</w:t>
      </w:r>
      <w:r w:rsidRPr="000D77A6">
        <w:rPr>
          <w:szCs w:val="22"/>
        </w:rPr>
        <w:t xml:space="preserve"> projektu </w:t>
      </w:r>
      <w:r w:rsidR="006C0A14" w:rsidRPr="000D77A6">
        <w:rPr>
          <w:szCs w:val="22"/>
        </w:rPr>
        <w:t xml:space="preserve">môže byť dvojakého typu </w:t>
      </w:r>
      <w:r w:rsidR="00F61EAA">
        <w:rPr>
          <w:szCs w:val="22"/>
        </w:rPr>
        <w:t xml:space="preserve">vzhľadom na realizáciu projektu a ukončenie realizácie projektu, </w:t>
      </w:r>
      <w:r w:rsidR="006C0A14" w:rsidRPr="000D77A6">
        <w:rPr>
          <w:szCs w:val="22"/>
        </w:rPr>
        <w:t xml:space="preserve">a to výročná </w:t>
      </w:r>
      <w:r w:rsidRPr="000D77A6">
        <w:rPr>
          <w:szCs w:val="22"/>
        </w:rPr>
        <w:t xml:space="preserve"> a</w:t>
      </w:r>
      <w:r w:rsidR="006C0A14" w:rsidRPr="000D77A6">
        <w:rPr>
          <w:szCs w:val="22"/>
        </w:rPr>
        <w:t>lebo záverečná</w:t>
      </w:r>
      <w:r w:rsidR="006E08CD" w:rsidRPr="000D77A6">
        <w:rPr>
          <w:szCs w:val="22"/>
        </w:rPr>
        <w:t xml:space="preserve">, pričom prijímateľ v závislosti </w:t>
      </w:r>
      <w:r w:rsidR="006756CA">
        <w:rPr>
          <w:szCs w:val="22"/>
        </w:rPr>
        <w:t xml:space="preserve">od </w:t>
      </w:r>
      <w:r w:rsidR="006E08CD" w:rsidRPr="000D77A6">
        <w:rPr>
          <w:szCs w:val="22"/>
        </w:rPr>
        <w:t>toho, o akú monitorovaciu správu ide</w:t>
      </w:r>
      <w:r w:rsidR="00E95BDC">
        <w:rPr>
          <w:szCs w:val="22"/>
        </w:rPr>
        <w:t xml:space="preserve"> </w:t>
      </w:r>
      <w:r w:rsidR="00233238">
        <w:rPr>
          <w:szCs w:val="22"/>
        </w:rPr>
        <w:t>vyberie relevantný príznak monitorovacej správy</w:t>
      </w:r>
      <w:r w:rsidRPr="000D77A6">
        <w:rPr>
          <w:szCs w:val="22"/>
        </w:rPr>
        <w:t xml:space="preserve">. V záujme zníženia </w:t>
      </w:r>
      <w:r w:rsidR="001836AB">
        <w:rPr>
          <w:szCs w:val="22"/>
        </w:rPr>
        <w:t>administratívnej</w:t>
      </w:r>
      <w:r w:rsidRPr="000D77A6">
        <w:rPr>
          <w:szCs w:val="22"/>
        </w:rPr>
        <w:t xml:space="preserve"> záťaže je výročná monitorovacia správa projektu vypracovávaná v ročnej periodicite, pričom priebežné monitorovanie počas roka je zabezpečené </w:t>
      </w:r>
      <w:r w:rsidR="00087D39">
        <w:rPr>
          <w:szCs w:val="22"/>
        </w:rPr>
        <w:t xml:space="preserve">najmä </w:t>
      </w:r>
      <w:r w:rsidRPr="000D77A6">
        <w:rPr>
          <w:szCs w:val="22"/>
        </w:rPr>
        <w:t xml:space="preserve">cez monitorovanie projektu vo vzťahu k žiadosti o platbu </w:t>
      </w:r>
      <w:r w:rsidR="005B36F4" w:rsidRPr="000D77A6">
        <w:rPr>
          <w:szCs w:val="22"/>
        </w:rPr>
        <w:t>(</w:t>
      </w:r>
      <w:r w:rsidRPr="000D77A6">
        <w:rPr>
          <w:szCs w:val="22"/>
        </w:rPr>
        <w:t>vi</w:t>
      </w:r>
      <w:r w:rsidR="00432FD3" w:rsidRPr="000D77A6">
        <w:rPr>
          <w:szCs w:val="22"/>
        </w:rPr>
        <w:t>ď kapitola</w:t>
      </w:r>
      <w:r w:rsidRPr="000D77A6">
        <w:rPr>
          <w:szCs w:val="22"/>
        </w:rPr>
        <w:t xml:space="preserve"> 3</w:t>
      </w:r>
      <w:r w:rsidR="005B36F4" w:rsidRPr="000D77A6">
        <w:rPr>
          <w:szCs w:val="22"/>
        </w:rPr>
        <w:t>)</w:t>
      </w:r>
      <w:r w:rsidRPr="000D77A6">
        <w:rPr>
          <w:szCs w:val="22"/>
        </w:rPr>
        <w:t>. Zároveň bol stanovený  jednotný termín vypracovania výročnej monitorovacej správy</w:t>
      </w:r>
      <w:r w:rsidR="00432FD3" w:rsidRPr="000D77A6">
        <w:rPr>
          <w:szCs w:val="22"/>
        </w:rPr>
        <w:t>,</w:t>
      </w:r>
      <w:r w:rsidRPr="000D77A6">
        <w:rPr>
          <w:szCs w:val="22"/>
        </w:rPr>
        <w:t xml:space="preserve"> tak aby obsahovala údaje a reflektovala stav projektu k 31.12. roku n. Termín ku koncu roka je stanovený aj s ohľadom na získavanie dát potrebných k monitorovaniu a hodnoteniu EŠIF (napr. Správa o stave implementácie EŠIF, Výročná správa/záverečná správa o vykonávaní operačného programu).</w:t>
      </w:r>
      <w:r w:rsidR="003E179B">
        <w:rPr>
          <w:szCs w:val="22"/>
        </w:rPr>
        <w:t xml:space="preserve"> V tejto súvislosti </w:t>
      </w:r>
      <w:r w:rsidR="008A48B3">
        <w:rPr>
          <w:szCs w:val="22"/>
        </w:rPr>
        <w:t xml:space="preserve">je prijímateľ povinný zabezpečiť </w:t>
      </w:r>
      <w:r w:rsidR="00E63A66">
        <w:rPr>
          <w:szCs w:val="22"/>
        </w:rPr>
        <w:t xml:space="preserve">zaevidovanie aktuálnych </w:t>
      </w:r>
      <w:r w:rsidR="008A48B3">
        <w:rPr>
          <w:szCs w:val="22"/>
        </w:rPr>
        <w:t xml:space="preserve"> údajov, ktoré sú predmetom výročnej monitorovacej správy</w:t>
      </w:r>
      <w:r w:rsidR="00E63A66">
        <w:rPr>
          <w:szCs w:val="22"/>
        </w:rPr>
        <w:t xml:space="preserve"> projektu</w:t>
      </w:r>
      <w:r w:rsidR="00E63A66" w:rsidRPr="00E63A66">
        <w:rPr>
          <w:szCs w:val="22"/>
        </w:rPr>
        <w:t xml:space="preserve"> </w:t>
      </w:r>
      <w:r w:rsidR="00E63A66">
        <w:rPr>
          <w:szCs w:val="22"/>
        </w:rPr>
        <w:t>a sú získavané z úrovne prijímateľa</w:t>
      </w:r>
      <w:r w:rsidR="003E6E17">
        <w:rPr>
          <w:szCs w:val="22"/>
        </w:rPr>
        <w:t>,</w:t>
      </w:r>
      <w:r w:rsidR="008A48B3">
        <w:rPr>
          <w:szCs w:val="22"/>
        </w:rPr>
        <w:t xml:space="preserve"> v</w:t>
      </w:r>
      <w:r w:rsidR="00E63A66">
        <w:rPr>
          <w:szCs w:val="22"/>
        </w:rPr>
        <w:t> </w:t>
      </w:r>
      <w:r w:rsidR="008A48B3">
        <w:rPr>
          <w:szCs w:val="22"/>
        </w:rPr>
        <w:t>ITMS</w:t>
      </w:r>
      <w:r w:rsidR="00E63A66">
        <w:rPr>
          <w:szCs w:val="22"/>
        </w:rPr>
        <w:t>2014+</w:t>
      </w:r>
      <w:r w:rsidR="008A48B3">
        <w:rPr>
          <w:szCs w:val="22"/>
        </w:rPr>
        <w:t xml:space="preserve"> </w:t>
      </w:r>
      <w:r w:rsidR="00865845">
        <w:rPr>
          <w:szCs w:val="22"/>
        </w:rPr>
        <w:t xml:space="preserve"> bezodkladne po uplynutí monitorovaného obdobia</w:t>
      </w:r>
      <w:r w:rsidR="00E63A66">
        <w:rPr>
          <w:szCs w:val="22"/>
        </w:rPr>
        <w:t>.</w:t>
      </w:r>
    </w:p>
    <w:p w:rsidR="00771FDD" w:rsidRPr="000D77A6" w:rsidRDefault="00F80C9A"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Monitorované obdobie v rámci</w:t>
      </w:r>
      <w:r w:rsidR="009D4F7D" w:rsidRPr="000D77A6">
        <w:rPr>
          <w:szCs w:val="22"/>
        </w:rPr>
        <w:t xml:space="preserve"> výročnej monitorovacej správy je spravidla rôzn</w:t>
      </w:r>
      <w:r w:rsidRPr="000D77A6">
        <w:rPr>
          <w:szCs w:val="22"/>
        </w:rPr>
        <w:t>e</w:t>
      </w:r>
      <w:r w:rsidR="009D4F7D" w:rsidRPr="000D77A6">
        <w:rPr>
          <w:szCs w:val="22"/>
        </w:rPr>
        <w:t xml:space="preserve"> pri prvej výročnej monitorovacej správ</w:t>
      </w:r>
      <w:r w:rsidR="00B03140" w:rsidRPr="000D77A6">
        <w:rPr>
          <w:szCs w:val="22"/>
        </w:rPr>
        <w:t xml:space="preserve">e </w:t>
      </w:r>
      <w:r w:rsidR="009D4F7D" w:rsidRPr="000D77A6">
        <w:rPr>
          <w:szCs w:val="22"/>
        </w:rPr>
        <w:t>a všetkých ostatných výročných monitorovacích správach. Monitorované obdobie v rámci prvej monitorovacej správy je obdobie od účinnosti zmluvy o poskytnutí NFP do 31.12. roku</w:t>
      </w:r>
      <w:r w:rsidR="006E2040" w:rsidRPr="000D77A6">
        <w:rPr>
          <w:szCs w:val="22"/>
        </w:rPr>
        <w:t xml:space="preserve"> n</w:t>
      </w:r>
      <w:r w:rsidR="009D4F7D" w:rsidRPr="000D77A6">
        <w:rPr>
          <w:szCs w:val="22"/>
        </w:rPr>
        <w:t xml:space="preserve"> </w:t>
      </w:r>
      <w:r w:rsidR="00951670" w:rsidRPr="000D77A6">
        <w:rPr>
          <w:szCs w:val="22"/>
        </w:rPr>
        <w:t xml:space="preserve">(t.j. rok, </w:t>
      </w:r>
      <w:r w:rsidR="009D4F7D" w:rsidRPr="000D77A6">
        <w:rPr>
          <w:szCs w:val="22"/>
        </w:rPr>
        <w:t>v ktorom nadobudla zmluva o poskytnutí NFP účinnosť</w:t>
      </w:r>
      <w:r w:rsidR="00951670" w:rsidRPr="000D77A6">
        <w:rPr>
          <w:szCs w:val="22"/>
        </w:rPr>
        <w:t>)</w:t>
      </w:r>
      <w:r w:rsidR="009D4F7D" w:rsidRPr="000D77A6">
        <w:rPr>
          <w:szCs w:val="22"/>
        </w:rPr>
        <w:t>.</w:t>
      </w:r>
      <w:r w:rsidR="00951670" w:rsidRPr="000D77A6">
        <w:rPr>
          <w:szCs w:val="22"/>
        </w:rPr>
        <w:t xml:space="preserve"> Monitorova</w:t>
      </w:r>
      <w:r w:rsidR="005B7EBF" w:rsidRPr="000D77A6">
        <w:rPr>
          <w:szCs w:val="22"/>
        </w:rPr>
        <w:t>né</w:t>
      </w:r>
      <w:r w:rsidR="00951670" w:rsidRPr="000D77A6">
        <w:rPr>
          <w:szCs w:val="22"/>
        </w:rPr>
        <w:t xml:space="preserve"> obdobie každej ďalšej výročnej monitorovacej správy je stanovené od 1.</w:t>
      </w:r>
      <w:r w:rsidR="000F5787" w:rsidRPr="000D77A6">
        <w:rPr>
          <w:szCs w:val="22"/>
        </w:rPr>
        <w:t xml:space="preserve">1. roku n+1 do 31.12. roku n+1. Prijímateľ má povinnosť predložiť výročnú monitorovaciu správu do 31. januára roku nasledujúceho po monitorovanom období (napr. monitorovaciu správu za obdobie od 1.1.2015 do </w:t>
      </w:r>
      <w:r w:rsidR="000F5787" w:rsidRPr="000D77A6">
        <w:rPr>
          <w:szCs w:val="22"/>
        </w:rPr>
        <w:lastRenderedPageBreak/>
        <w:t xml:space="preserve">31.12.2015 je prijímateľ povinný predložiť najneskôr do 31. januára 2016). </w:t>
      </w:r>
      <w:r w:rsidR="005B7EBF" w:rsidRPr="000D77A6">
        <w:rPr>
          <w:szCs w:val="22"/>
        </w:rPr>
        <w:t xml:space="preserve">Počet výročných monitorovacích správ je závislý od dĺžky realizácie </w:t>
      </w:r>
      <w:r w:rsidR="00F569B2">
        <w:rPr>
          <w:szCs w:val="22"/>
        </w:rPr>
        <w:t xml:space="preserve">aktivít </w:t>
      </w:r>
      <w:r w:rsidR="005B7EBF" w:rsidRPr="000D77A6">
        <w:rPr>
          <w:szCs w:val="22"/>
        </w:rPr>
        <w:t xml:space="preserve">projektu. </w:t>
      </w:r>
      <w:r w:rsidR="00D001AC" w:rsidRPr="000D77A6">
        <w:rPr>
          <w:szCs w:val="22"/>
        </w:rPr>
        <w:t xml:space="preserve"> </w:t>
      </w:r>
    </w:p>
    <w:p w:rsidR="009D4F7D" w:rsidRPr="000D77A6" w:rsidRDefault="00771FDD"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Záverečná </w:t>
      </w:r>
      <w:r w:rsidR="006B33CC" w:rsidRPr="000D77A6">
        <w:rPr>
          <w:szCs w:val="22"/>
        </w:rPr>
        <w:t>monitorovacia správa proj</w:t>
      </w:r>
      <w:r w:rsidR="00F80C9A" w:rsidRPr="000D77A6">
        <w:rPr>
          <w:szCs w:val="22"/>
        </w:rPr>
        <w:t>e</w:t>
      </w:r>
      <w:r w:rsidR="006B33CC" w:rsidRPr="000D77A6">
        <w:rPr>
          <w:szCs w:val="22"/>
        </w:rPr>
        <w:t>k</w:t>
      </w:r>
      <w:r w:rsidR="00F80C9A" w:rsidRPr="000D77A6">
        <w:rPr>
          <w:szCs w:val="22"/>
        </w:rPr>
        <w:t>tu</w:t>
      </w:r>
      <w:r w:rsidR="006B33CC" w:rsidRPr="000D77A6">
        <w:rPr>
          <w:szCs w:val="22"/>
        </w:rPr>
        <w:t xml:space="preserve"> má monitorované obdobie od </w:t>
      </w:r>
      <w:r w:rsidR="00B214E8">
        <w:rPr>
          <w:szCs w:val="22"/>
        </w:rPr>
        <w:t xml:space="preserve">účinnosti zmluvy o poskytnutí NFP do </w:t>
      </w:r>
      <w:r w:rsidR="006B33CC" w:rsidRPr="000D77A6">
        <w:rPr>
          <w:szCs w:val="22"/>
        </w:rPr>
        <w:t xml:space="preserve">momentu </w:t>
      </w:r>
      <w:r w:rsidR="00B214E8">
        <w:rPr>
          <w:szCs w:val="22"/>
        </w:rPr>
        <w:t>ukončenia realizácie aktivít projektu</w:t>
      </w:r>
      <w:r w:rsidR="0077707A" w:rsidRPr="000D77A6">
        <w:rPr>
          <w:szCs w:val="22"/>
        </w:rPr>
        <w:t xml:space="preserve">, pričom prijímateľ má povinnosť predložiť túto záverečnú monitorovaciu správu do 30 pracovných dní odo dňa ukončenia aktivít projektu.  </w:t>
      </w:r>
      <w:r w:rsidR="006B33CC" w:rsidRPr="000D77A6">
        <w:rPr>
          <w:szCs w:val="22"/>
        </w:rPr>
        <w:t xml:space="preserve"> </w:t>
      </w:r>
      <w:r w:rsidR="00951670" w:rsidRPr="000D77A6">
        <w:rPr>
          <w:szCs w:val="22"/>
        </w:rPr>
        <w:t xml:space="preserve"> </w:t>
      </w:r>
      <w:r w:rsidR="009D4F7D"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Monitorovacia správa projektu obsahuje všetky základné údaje o projekte, tak aby bolo možné spoľahlivo vykonávať jeho monitorovanie a zároveň získať príslušné výstupy pre potreby hodnotenia. Jednotlivé polia (údaje) obsiahnuté v monitorovacej správe projektu sú podľa ich typu vypĺňané konkrétnym údajom</w:t>
      </w:r>
      <w:r w:rsidR="00E95BDC">
        <w:rPr>
          <w:szCs w:val="22"/>
        </w:rPr>
        <w:t>,</w:t>
      </w:r>
      <w:r w:rsidRPr="000D77A6">
        <w:rPr>
          <w:szCs w:val="22"/>
        </w:rPr>
        <w:t xml:space="preserve"> v zmysle </w:t>
      </w:r>
      <w:r w:rsidR="00E95BDC">
        <w:rPr>
          <w:szCs w:val="22"/>
        </w:rPr>
        <w:t>poznámok pod čiarou,</w:t>
      </w:r>
      <w:r w:rsidRPr="000D77A6">
        <w:rPr>
          <w:szCs w:val="22"/>
        </w:rPr>
        <w:t xml:space="preserve"> alebo popisne</w:t>
      </w:r>
      <w:r w:rsidR="00432FD3" w:rsidRPr="000D77A6">
        <w:rPr>
          <w:szCs w:val="22"/>
        </w:rPr>
        <w:t xml:space="preserve"> textovým poľ</w:t>
      </w:r>
      <w:r w:rsidRPr="000D77A6">
        <w:rPr>
          <w:szCs w:val="22"/>
        </w:rPr>
        <w:t xml:space="preserve">om. Údaje sa podľa potreby sledujú za príslušné monitorované obdobie alebo kumulatívne za celú dobu realizácie projektu.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Monitorovacia správa projektu obsahuje základné údaje o projekte, jeho príslušnosti k programovej štruktúre, údaje o lokalizácii, informácie o príspevku projektu k horizontálnym princípom, vzťah aktivít a merateľných ukazovateľov projektu vrátane relevancie merateľných ukazovat</w:t>
      </w:r>
      <w:r w:rsidR="00BA0EA5">
        <w:rPr>
          <w:szCs w:val="22"/>
        </w:rPr>
        <w:t xml:space="preserve">eľov k horizontálnym princípom </w:t>
      </w:r>
      <w:r w:rsidRPr="000D77A6">
        <w:rPr>
          <w:szCs w:val="22"/>
        </w:rPr>
        <w:t>alebo príznaku rizika</w:t>
      </w:r>
      <w:r w:rsidR="00E95BDC">
        <w:rPr>
          <w:szCs w:val="22"/>
        </w:rPr>
        <w:t>.</w:t>
      </w:r>
      <w:r w:rsidRPr="000D77A6">
        <w:rPr>
          <w:szCs w:val="22"/>
        </w:rPr>
        <w:t xml:space="preserve"> V rámci monitorovacej správy sa taktiež sleduje vzťah aktivít a finančnej realizácie projektu, pričom sa sleduje rovnako čerpanie na úrovni PJ ako aj na úrovni CO</w:t>
      </w:r>
      <w:r w:rsidR="00E95BDC">
        <w:rPr>
          <w:szCs w:val="22"/>
        </w:rPr>
        <w:t>.</w:t>
      </w:r>
      <w:r w:rsidRPr="000D77A6">
        <w:rPr>
          <w:szCs w:val="22"/>
        </w:rPr>
        <w:t xml:space="preserve"> </w:t>
      </w:r>
      <w:r w:rsidR="00E95BDC">
        <w:rPr>
          <w:szCs w:val="22"/>
        </w:rPr>
        <w:t>P</w:t>
      </w:r>
      <w:r w:rsidRPr="000D77A6">
        <w:rPr>
          <w:szCs w:val="22"/>
        </w:rPr>
        <w:t xml:space="preserve">redmetom monitorovacej správy sú </w:t>
      </w:r>
      <w:r w:rsidR="00E95BDC">
        <w:rPr>
          <w:szCs w:val="22"/>
        </w:rPr>
        <w:t xml:space="preserve">taktiež </w:t>
      </w:r>
      <w:r w:rsidRPr="000D77A6">
        <w:rPr>
          <w:szCs w:val="22"/>
        </w:rPr>
        <w:t>údaje o publicite projektu, príjmoch projektu, verejných obstarávaniach</w:t>
      </w:r>
      <w:r w:rsidR="00E95BDC">
        <w:rPr>
          <w:szCs w:val="22"/>
        </w:rPr>
        <w:t>, pokroku projektu</w:t>
      </w:r>
      <w:r w:rsidR="00111A1E">
        <w:rPr>
          <w:szCs w:val="22"/>
        </w:rPr>
        <w:t>,</w:t>
      </w:r>
      <w:r w:rsidRPr="000D77A6">
        <w:rPr>
          <w:szCs w:val="22"/>
        </w:rPr>
        <w:t xml:space="preserve"> identifikovaných problémoch a rizikách </w:t>
      </w:r>
      <w:r w:rsidR="006756CA">
        <w:rPr>
          <w:szCs w:val="22"/>
        </w:rPr>
        <w:t>v súvislosti s</w:t>
      </w:r>
      <w:r w:rsidRPr="000D77A6">
        <w:rPr>
          <w:szCs w:val="22"/>
        </w:rPr>
        <w:t xml:space="preserve"> realizáci</w:t>
      </w:r>
      <w:r w:rsidR="006756CA">
        <w:rPr>
          <w:szCs w:val="22"/>
        </w:rPr>
        <w:t>ou</w:t>
      </w:r>
      <w:r w:rsidRPr="000D77A6">
        <w:rPr>
          <w:szCs w:val="22"/>
        </w:rPr>
        <w:t xml:space="preserve"> projektu</w:t>
      </w:r>
      <w:r w:rsidR="00111A1E">
        <w:rPr>
          <w:szCs w:val="22"/>
        </w:rPr>
        <w:t xml:space="preserve"> a iných údajoch</w:t>
      </w:r>
      <w:r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Monitorovaci</w:t>
      </w:r>
      <w:r w:rsidR="00111A1E">
        <w:rPr>
          <w:szCs w:val="22"/>
        </w:rPr>
        <w:t>a</w:t>
      </w:r>
      <w:r w:rsidRPr="000D77A6">
        <w:rPr>
          <w:szCs w:val="22"/>
        </w:rPr>
        <w:t xml:space="preserve"> správa projektu obsahuje špecifické polia relevantné len pre projekty spolufinancované z</w:t>
      </w:r>
      <w:r w:rsidR="007E2D0E" w:rsidRPr="000D77A6">
        <w:rPr>
          <w:szCs w:val="22"/>
        </w:rPr>
        <w:t> </w:t>
      </w:r>
      <w:r w:rsidRPr="000D77A6">
        <w:rPr>
          <w:szCs w:val="22"/>
        </w:rPr>
        <w:t>ESF</w:t>
      </w:r>
      <w:r w:rsidR="007E2D0E" w:rsidRPr="000D77A6">
        <w:rPr>
          <w:szCs w:val="22"/>
        </w:rPr>
        <w:t>, resp. z IZM</w:t>
      </w:r>
      <w:r w:rsidR="00432FD3" w:rsidRPr="000D77A6">
        <w:rPr>
          <w:szCs w:val="22"/>
        </w:rPr>
        <w:t>,</w:t>
      </w:r>
      <w:r w:rsidRPr="000D77A6">
        <w:rPr>
          <w:szCs w:val="22"/>
        </w:rPr>
        <w:t xml:space="preserve"> pričom sa jedná o špecifické údaje o účastníkoch projektu.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K monitorovacej správe projektu je možné pripojiť podľa potreby prílohy (napr. fotodokumentáciu</w:t>
      </w:r>
      <w:r w:rsidR="00432FD3" w:rsidRPr="000D77A6">
        <w:rPr>
          <w:szCs w:val="22"/>
        </w:rPr>
        <w:t>, prezenčné listiny a pod.</w:t>
      </w:r>
      <w:r w:rsidRPr="000D77A6">
        <w:rPr>
          <w:szCs w:val="22"/>
        </w:rPr>
        <w:t>)</w:t>
      </w:r>
      <w:r w:rsidR="00CD4A51">
        <w:rPr>
          <w:szCs w:val="22"/>
        </w:rPr>
        <w:t>, n</w:t>
      </w:r>
      <w:r w:rsidR="005C0DC1">
        <w:rPr>
          <w:szCs w:val="22"/>
        </w:rPr>
        <w:t>ajmä ak má prijímateľ pochybnosti</w:t>
      </w:r>
      <w:r w:rsidR="00CD4A51">
        <w:rPr>
          <w:szCs w:val="22"/>
        </w:rPr>
        <w:t xml:space="preserve"> pri preukazovaní skutočností vyplývajúcich z realizácie projektu</w:t>
      </w:r>
      <w:r w:rsidRPr="000D77A6">
        <w:rPr>
          <w:szCs w:val="22"/>
        </w:rPr>
        <w:t xml:space="preserve">.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Monit</w:t>
      </w:r>
      <w:r w:rsidR="0002543D" w:rsidRPr="000D77A6">
        <w:rPr>
          <w:szCs w:val="22"/>
        </w:rPr>
        <w:t>orovacia správa je vypracovávaná</w:t>
      </w:r>
      <w:r w:rsidRPr="000D77A6">
        <w:rPr>
          <w:szCs w:val="22"/>
        </w:rPr>
        <w:t xml:space="preserve"> prijímateľom, pričom obsahuje aj čestné vyhlásenie o pravdivosti a úplnosti predložených informácií. </w:t>
      </w:r>
    </w:p>
    <w:p w:rsidR="00D9147E" w:rsidRPr="000D77A6"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Jednotlivé údaje v rámci monitorovacej správy sú vypĺňané manuálne alebo automaticky cez ITMS2014+, pričom vzor monitorovacej správy projektu obsahuj</w:t>
      </w:r>
      <w:r w:rsidR="00432FD3" w:rsidRPr="000D77A6">
        <w:rPr>
          <w:szCs w:val="22"/>
        </w:rPr>
        <w:t>e</w:t>
      </w:r>
      <w:r w:rsidRPr="000D77A6">
        <w:rPr>
          <w:szCs w:val="22"/>
        </w:rPr>
        <w:t xml:space="preserve"> pri každom poli vypĺňanom cez ITMS2014+ príslušnú poznámku. </w:t>
      </w:r>
    </w:p>
    <w:p w:rsidR="005304B4" w:rsidRDefault="00D9147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Údaje týkajúce sa realizácie aktivít a napĺňania merateľných ukazovateľov sú </w:t>
      </w:r>
      <w:r w:rsidR="001A1DCE" w:rsidRPr="000D77A6">
        <w:rPr>
          <w:szCs w:val="22"/>
        </w:rPr>
        <w:t xml:space="preserve">taktiež </w:t>
      </w:r>
      <w:r w:rsidRPr="000D77A6">
        <w:rPr>
          <w:szCs w:val="22"/>
        </w:rPr>
        <w:t>z veľkej časti automaticky vypĺňané z úrovne ITMS2014+, pričom základným zdrojom na automatické vypĺňanie je žiadosť o </w:t>
      </w:r>
      <w:r w:rsidR="00147107">
        <w:rPr>
          <w:szCs w:val="22"/>
        </w:rPr>
        <w:t>NFP</w:t>
      </w:r>
      <w:r w:rsidRPr="000D77A6">
        <w:rPr>
          <w:szCs w:val="22"/>
        </w:rPr>
        <w:t xml:space="preserve"> a zmluva o poskytnutí NFP, v rámci ktorej sú zadefinované jednotlivé aktivity projektu vrátane merateľných ukazovateľov, ktoré sa k danej ak</w:t>
      </w:r>
      <w:r w:rsidR="00185B10">
        <w:rPr>
          <w:szCs w:val="22"/>
        </w:rPr>
        <w:t>tivite viažu, relevancia k HP (</w:t>
      </w:r>
      <w:r w:rsidRPr="000D77A6">
        <w:rPr>
          <w:szCs w:val="22"/>
        </w:rPr>
        <w:t xml:space="preserve">HP udržateľný rozvoj alebo HP podpora rovnosti mužov a žien a nediskriminácie),  príznak rizika (t.j. či sa jedná o merateľný ukazovateľ s príznakom – t.j. také ukazovatele, ktorých dosiahnutie je objektívne ovplyvniteľné externými faktormi, a ktorých dosahovanie nie je plne v kompetencii prijímateľa, resp. o merateľný ukazovateľ </w:t>
      </w:r>
      <w:r w:rsidR="00A60373">
        <w:rPr>
          <w:szCs w:val="22"/>
        </w:rPr>
        <w:t> bez</w:t>
      </w:r>
      <w:r w:rsidR="00A60373" w:rsidRPr="000D77A6">
        <w:rPr>
          <w:szCs w:val="22"/>
        </w:rPr>
        <w:t> príznak</w:t>
      </w:r>
      <w:r w:rsidR="00A60373">
        <w:rPr>
          <w:szCs w:val="22"/>
        </w:rPr>
        <w:t>u</w:t>
      </w:r>
      <w:r w:rsidRPr="000D77A6">
        <w:rPr>
          <w:szCs w:val="22"/>
        </w:rPr>
        <w:t>, ktorého nenaplnenie je spojené so sankciami v z</w:t>
      </w:r>
      <w:r w:rsidR="001A1DCE" w:rsidRPr="000D77A6">
        <w:rPr>
          <w:szCs w:val="22"/>
        </w:rPr>
        <w:t xml:space="preserve">mysle zmluvy o poskytnutí NFP). Medzi údaje vypĺňané automaticky ITMS2014+ patrí taktiež údaj o plánovanom stave merateľného ukazovateľa a o miere plnenia merateľného ukazovateľa – t.j. ako je daný merateľný ukazovateľ naplnený vo vzťahu k tej konkrétnej aktivite, pričom stĺpec poskytujúci informáciu o skutočnom stave naplnenia merateľného ukazovateľa vo vzťahu k danej aktivite je povinný </w:t>
      </w:r>
      <w:r w:rsidR="00850F2E">
        <w:rPr>
          <w:szCs w:val="22"/>
        </w:rPr>
        <w:t>vyplniť</w:t>
      </w:r>
      <w:r w:rsidR="001A1DCE" w:rsidRPr="000D77A6">
        <w:rPr>
          <w:szCs w:val="22"/>
        </w:rPr>
        <w:t xml:space="preserve"> </w:t>
      </w:r>
      <w:r w:rsidR="001A1DCE" w:rsidRPr="000D77A6">
        <w:rPr>
          <w:szCs w:val="22"/>
        </w:rPr>
        <w:lastRenderedPageBreak/>
        <w:t xml:space="preserve">prijímateľ. Miera plnenia merateľného ukazovateľa je percentuálnym vyjadrením pomeru medzi skutočným stavom merateľného ukazovateľa a plánovaným stavom merateľného ukazovateľa. </w:t>
      </w:r>
    </w:p>
    <w:p w:rsidR="00D9147E" w:rsidRPr="000D77A6" w:rsidRDefault="005304B4" w:rsidP="000D77A6">
      <w:pPr>
        <w:pStyle w:val="Odsekzoznamu"/>
        <w:numPr>
          <w:ilvl w:val="0"/>
          <w:numId w:val="16"/>
        </w:numPr>
        <w:autoSpaceDE w:val="0"/>
        <w:autoSpaceDN w:val="0"/>
        <w:adjustRightInd w:val="0"/>
        <w:spacing w:before="120" w:after="120"/>
        <w:ind w:left="425" w:hanging="425"/>
        <w:contextualSpacing w:val="0"/>
        <w:jc w:val="both"/>
        <w:rPr>
          <w:szCs w:val="22"/>
        </w:rPr>
      </w:pPr>
      <w:r>
        <w:rPr>
          <w:szCs w:val="22"/>
        </w:rPr>
        <w:t xml:space="preserve">Významným zdrojom pre automatické vypĺňanie údajov v monitorovacej správe prostredníctvom ITMS2014+ sú taktiež údaje z karty účastníka, ktorá poskytuje údaje najmä vo vzťahu k účastníkom projektu. </w:t>
      </w:r>
      <w:r w:rsidR="00D9147E" w:rsidRPr="000D77A6">
        <w:rPr>
          <w:szCs w:val="22"/>
        </w:rPr>
        <w:t xml:space="preserve"> </w:t>
      </w:r>
    </w:p>
    <w:p w:rsidR="007E2D0E" w:rsidRPr="000D77A6" w:rsidRDefault="007E2D0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Kľúčové údaje týkajúce sa realizácie aktivít, merateľných ukazovateľov ako aj finančnej realizácie projektu a ich vzájomné prepojenia sú v rámci monitorovacej správy projektu sledované v častiach 4, 5 a 6 Vzoru – Monitorovacia správa projektu. </w:t>
      </w:r>
    </w:p>
    <w:p w:rsidR="007E2D0E" w:rsidRPr="000D77A6" w:rsidRDefault="007E2D0E" w:rsidP="000D77A6">
      <w:pPr>
        <w:pStyle w:val="Odsekzoznamu"/>
        <w:numPr>
          <w:ilvl w:val="0"/>
          <w:numId w:val="17"/>
        </w:numPr>
        <w:autoSpaceDE w:val="0"/>
        <w:autoSpaceDN w:val="0"/>
        <w:adjustRightInd w:val="0"/>
        <w:spacing w:before="120" w:after="120"/>
        <w:ind w:left="851" w:hanging="425"/>
        <w:contextualSpacing w:val="0"/>
        <w:jc w:val="both"/>
        <w:rPr>
          <w:szCs w:val="22"/>
        </w:rPr>
      </w:pPr>
      <w:r w:rsidRPr="000D77A6">
        <w:rPr>
          <w:szCs w:val="22"/>
        </w:rPr>
        <w:t xml:space="preserve">V časti 4 </w:t>
      </w:r>
      <w:r w:rsidR="00147107" w:rsidRPr="000D77A6">
        <w:rPr>
          <w:szCs w:val="22"/>
        </w:rPr>
        <w:t xml:space="preserve">Vzoru – Monitorovacia správa projektu </w:t>
      </w:r>
      <w:r w:rsidRPr="000D77A6">
        <w:rPr>
          <w:szCs w:val="22"/>
        </w:rPr>
        <w:t>je sledovaný vzťah jednotlivých aktivít projektu k merateľným ukazovateľom</w:t>
      </w:r>
      <w:r w:rsidR="00242870">
        <w:rPr>
          <w:szCs w:val="22"/>
        </w:rPr>
        <w:t>,</w:t>
      </w:r>
      <w:r w:rsidRPr="000D77A6">
        <w:rPr>
          <w:szCs w:val="22"/>
        </w:rPr>
        <w:t xml:space="preserve"> pričom zároveň je monitorované napĺňanie merateľných ukazovateľov ako aj ich relevancia k </w:t>
      </w:r>
      <w:r w:rsidR="00147107">
        <w:rPr>
          <w:szCs w:val="22"/>
        </w:rPr>
        <w:t>HP</w:t>
      </w:r>
      <w:r w:rsidRPr="000D77A6">
        <w:rPr>
          <w:szCs w:val="22"/>
        </w:rPr>
        <w:t xml:space="preserve"> a príznaku rizika. Údaje v časti 4 sú vypĺňané automaticky z úrovne ITMS2014+, pričom jediný údaj vypĺňaný prijímateľom je „skutočný stav“ merateľného ukazovateľa. </w:t>
      </w:r>
    </w:p>
    <w:p w:rsidR="007E2D0E" w:rsidRPr="000D77A6" w:rsidRDefault="007E2D0E" w:rsidP="000D77A6">
      <w:pPr>
        <w:pStyle w:val="Odsekzoznamu"/>
        <w:numPr>
          <w:ilvl w:val="0"/>
          <w:numId w:val="17"/>
        </w:numPr>
        <w:autoSpaceDE w:val="0"/>
        <w:autoSpaceDN w:val="0"/>
        <w:adjustRightInd w:val="0"/>
        <w:spacing w:before="120" w:after="120"/>
        <w:ind w:left="851" w:hanging="425"/>
        <w:contextualSpacing w:val="0"/>
        <w:jc w:val="both"/>
        <w:rPr>
          <w:szCs w:val="22"/>
        </w:rPr>
      </w:pPr>
      <w:r w:rsidRPr="000D77A6">
        <w:rPr>
          <w:szCs w:val="22"/>
        </w:rPr>
        <w:t xml:space="preserve">Predmetom  časti 5 </w:t>
      </w:r>
      <w:r w:rsidR="00147107" w:rsidRPr="000D77A6">
        <w:rPr>
          <w:szCs w:val="22"/>
        </w:rPr>
        <w:t>Vzoru – Monitorovacia správa projektu</w:t>
      </w:r>
      <w:r w:rsidR="00147107" w:rsidRPr="000D77A6" w:rsidDel="00147107">
        <w:rPr>
          <w:szCs w:val="22"/>
        </w:rPr>
        <w:t xml:space="preserve"> </w:t>
      </w:r>
      <w:r w:rsidRPr="000D77A6">
        <w:rPr>
          <w:szCs w:val="22"/>
        </w:rPr>
        <w:t>sú opäť merateľné ukazovatele projektu, ale z pohľadu ich kumulatívneho napĺňania</w:t>
      </w:r>
      <w:r w:rsidR="001A1DCE" w:rsidRPr="000D77A6">
        <w:rPr>
          <w:szCs w:val="22"/>
        </w:rPr>
        <w:t xml:space="preserve"> od začiatku realizácie projektu do posledného dňa monitorovaného obdobia</w:t>
      </w:r>
      <w:r w:rsidRPr="000D77A6">
        <w:rPr>
          <w:szCs w:val="22"/>
        </w:rPr>
        <w:t xml:space="preserve">. Údaje sú automaticky vypĺňané z úrovne ITMS2014+, pričom jediný údaj vypĺňaný prijímateľom je „skutočný stav“ naplnenia merateľného ukazovateľa. </w:t>
      </w:r>
    </w:p>
    <w:p w:rsidR="007E2D0E" w:rsidRPr="000D77A6" w:rsidRDefault="007E2D0E" w:rsidP="000D77A6">
      <w:pPr>
        <w:pStyle w:val="Odsekzoznamu"/>
        <w:numPr>
          <w:ilvl w:val="0"/>
          <w:numId w:val="17"/>
        </w:numPr>
        <w:autoSpaceDE w:val="0"/>
        <w:autoSpaceDN w:val="0"/>
        <w:adjustRightInd w:val="0"/>
        <w:spacing w:before="120" w:after="120"/>
        <w:ind w:left="851" w:hanging="425"/>
        <w:contextualSpacing w:val="0"/>
        <w:jc w:val="both"/>
        <w:rPr>
          <w:szCs w:val="22"/>
        </w:rPr>
      </w:pPr>
      <w:r w:rsidRPr="000D77A6">
        <w:rPr>
          <w:szCs w:val="22"/>
        </w:rPr>
        <w:t>Oblasť finančnej realizácie projektu je sledovaná v časti 6 Vzoru – Monitorovacia správa projektu. V predmetnej časti sú sledované jednotlivé aktivity, ich zahájenie, ukončenie ako aj ich finančná realizácia k príslušnému dátumu. Taktiež je sledovaná sumárna finančná realizácia projektu. Finančná realizácia je sledovaná na úrovni PJ ako aj úrovni CO. Údaje sú vypĺňané automaticky z úrovne ITMS2014+, pričom prijímateľ uvádza len “skutočný stav“ začiatku realizácie aktivity</w:t>
      </w:r>
      <w:r w:rsidR="00892EE8" w:rsidRPr="000D77A6">
        <w:rPr>
          <w:szCs w:val="22"/>
        </w:rPr>
        <w:t>,</w:t>
      </w:r>
      <w:r w:rsidRPr="000D77A6">
        <w:rPr>
          <w:szCs w:val="22"/>
        </w:rPr>
        <w:t xml:space="preserve"> resp. jej ukončenia.</w:t>
      </w:r>
      <w:r w:rsidR="00F3534E" w:rsidRPr="000D77A6">
        <w:rPr>
          <w:szCs w:val="22"/>
        </w:rPr>
        <w:t xml:space="preserve">  </w:t>
      </w:r>
    </w:p>
    <w:p w:rsidR="00F3534E" w:rsidRDefault="00F3534E" w:rsidP="000D77A6">
      <w:pPr>
        <w:pStyle w:val="Odsekzoznamu"/>
        <w:numPr>
          <w:ilvl w:val="0"/>
          <w:numId w:val="16"/>
        </w:numPr>
        <w:spacing w:before="120" w:after="120"/>
        <w:ind w:left="425" w:hanging="425"/>
        <w:contextualSpacing w:val="0"/>
        <w:jc w:val="both"/>
        <w:rPr>
          <w:szCs w:val="22"/>
        </w:rPr>
      </w:pPr>
      <w:r w:rsidRPr="000D77A6">
        <w:rPr>
          <w:szCs w:val="22"/>
        </w:rPr>
        <w:t xml:space="preserve">Údaje týkajúce sa príjmov projektu uvádzajú reálne hodnoty príjmov a prevádzkových výdavkov </w:t>
      </w:r>
      <w:r w:rsidR="00154A74">
        <w:rPr>
          <w:szCs w:val="22"/>
        </w:rPr>
        <w:t xml:space="preserve">počas </w:t>
      </w:r>
      <w:r w:rsidRPr="000D77A6">
        <w:rPr>
          <w:szCs w:val="22"/>
        </w:rPr>
        <w:t xml:space="preserve">daného </w:t>
      </w:r>
      <w:r w:rsidR="00154A74" w:rsidRPr="000D77A6">
        <w:rPr>
          <w:szCs w:val="22"/>
        </w:rPr>
        <w:t>monitorova</w:t>
      </w:r>
      <w:r w:rsidR="00154A74">
        <w:rPr>
          <w:szCs w:val="22"/>
        </w:rPr>
        <w:t>ného</w:t>
      </w:r>
      <w:r w:rsidR="00154A74" w:rsidRPr="000D77A6">
        <w:rPr>
          <w:szCs w:val="22"/>
        </w:rPr>
        <w:t xml:space="preserve"> </w:t>
      </w:r>
      <w:r w:rsidRPr="000D77A6">
        <w:rPr>
          <w:szCs w:val="22"/>
        </w:rPr>
        <w:t xml:space="preserve">obdobia projektov generujúcich príjem v zmysle čl. 61 </w:t>
      </w:r>
      <w:r w:rsidR="00C94138" w:rsidRPr="000D77A6">
        <w:rPr>
          <w:szCs w:val="22"/>
        </w:rPr>
        <w:t>nariadenia Európskeho parlamentu a Rady (EÚ) č. 1303/2013</w:t>
      </w:r>
      <w:r w:rsidRPr="000D77A6">
        <w:rPr>
          <w:szCs w:val="22"/>
        </w:rPr>
        <w:t>.</w:t>
      </w:r>
      <w:r w:rsidR="00577894">
        <w:rPr>
          <w:rStyle w:val="Odkaznapoznmkupodiarou"/>
          <w:szCs w:val="22"/>
        </w:rPr>
        <w:footnoteReference w:id="1"/>
      </w:r>
      <w:r w:rsidRPr="000D77A6">
        <w:rPr>
          <w:szCs w:val="22"/>
        </w:rPr>
        <w:t xml:space="preserve"> Ako rozdiel hodnôt príjmov a prevádzkových výdavkov sa uvedie hodnota čistých príjmov v monitorovanom období. V prípade, že sa monitorované obdobie prekrýva s posledným referenčným rokom finančnej analýzy</w:t>
      </w:r>
      <w:r w:rsidR="00147107">
        <w:rPr>
          <w:szCs w:val="22"/>
        </w:rPr>
        <w:t>,</w:t>
      </w:r>
      <w:r w:rsidRPr="000D77A6">
        <w:rPr>
          <w:szCs w:val="22"/>
        </w:rPr>
        <w:t xml:space="preserve"> navýšia sa čisté príjmy o prípadnú zostatkovú hodnotu investície. V poslednom riadku sa uvedú kumulované čisté príjmy od začiatku investície. Predmetná </w:t>
      </w:r>
      <w:r w:rsidR="009E797F" w:rsidRPr="000D77A6">
        <w:rPr>
          <w:szCs w:val="22"/>
        </w:rPr>
        <w:t>časť monitorovacej správy</w:t>
      </w:r>
      <w:r w:rsidRPr="000D77A6">
        <w:rPr>
          <w:szCs w:val="22"/>
        </w:rPr>
        <w:t xml:space="preserve"> je relevantná predovšetkým pre posúdenie potreby </w:t>
      </w:r>
      <w:proofErr w:type="spellStart"/>
      <w:r w:rsidRPr="000D77A6">
        <w:rPr>
          <w:szCs w:val="22"/>
        </w:rPr>
        <w:t>rekalkulácie</w:t>
      </w:r>
      <w:proofErr w:type="spellEnd"/>
      <w:r w:rsidRPr="000D77A6">
        <w:rPr>
          <w:szCs w:val="22"/>
        </w:rPr>
        <w:t xml:space="preserve"> finančnej analýzy a vrátenia časti NFP.</w:t>
      </w:r>
      <w:r w:rsidR="00455CFB">
        <w:rPr>
          <w:szCs w:val="22"/>
        </w:rPr>
        <w:t xml:space="preserve"> </w:t>
      </w:r>
    </w:p>
    <w:p w:rsidR="00A96C5F" w:rsidRDefault="00B013D3">
      <w:pPr>
        <w:pStyle w:val="Odsekzoznamu"/>
        <w:numPr>
          <w:ilvl w:val="0"/>
          <w:numId w:val="16"/>
        </w:numPr>
        <w:spacing w:before="120" w:after="120"/>
        <w:ind w:left="425" w:hanging="425"/>
        <w:contextualSpacing w:val="0"/>
        <w:jc w:val="both"/>
        <w:rPr>
          <w:szCs w:val="22"/>
        </w:rPr>
      </w:pPr>
      <w:r w:rsidRPr="00240DE9">
        <w:rPr>
          <w:szCs w:val="22"/>
        </w:rPr>
        <w:t>V súlade s čl.</w:t>
      </w:r>
      <w:r w:rsidR="00456F5B" w:rsidRPr="00240DE9">
        <w:rPr>
          <w:szCs w:val="22"/>
        </w:rPr>
        <w:t xml:space="preserve"> 65, ods. 8 nariadenia Európskeho parlamentu a Rady (EÚ) č. 1303/2013</w:t>
      </w:r>
      <w:r w:rsidR="00240DE9">
        <w:rPr>
          <w:rStyle w:val="Odkaznapoznmkupodiarou"/>
          <w:szCs w:val="22"/>
        </w:rPr>
        <w:footnoteReference w:id="2"/>
      </w:r>
      <w:r w:rsidR="00456F5B" w:rsidRPr="00240DE9">
        <w:rPr>
          <w:szCs w:val="22"/>
        </w:rPr>
        <w:t xml:space="preserve"> je nutné u projektov, ktorých celkové oprávnené výdavky presahujú hranicu 50 000 eur a svojim charakterom alebo objemom nespadajú pod čl. 61</w:t>
      </w:r>
      <w:r w:rsidR="00E264FE">
        <w:rPr>
          <w:szCs w:val="22"/>
        </w:rPr>
        <w:t>,</w:t>
      </w:r>
      <w:r w:rsidR="00456F5B" w:rsidRPr="00240DE9">
        <w:rPr>
          <w:szCs w:val="22"/>
        </w:rPr>
        <w:t xml:space="preserve"> odpočítať iné čisté peňažné príjmy vytvorené v období realizácie projektu od oprávnených výdavkov projektu, a to najneskôr pri predložení žiadosti o</w:t>
      </w:r>
      <w:r w:rsidR="005416C8" w:rsidRPr="00240DE9">
        <w:rPr>
          <w:szCs w:val="22"/>
        </w:rPr>
        <w:t> </w:t>
      </w:r>
      <w:r w:rsidR="00456F5B" w:rsidRPr="00240DE9">
        <w:rPr>
          <w:szCs w:val="22"/>
        </w:rPr>
        <w:t>platbu</w:t>
      </w:r>
      <w:r w:rsidR="005416C8" w:rsidRPr="00240DE9">
        <w:rPr>
          <w:szCs w:val="22"/>
        </w:rPr>
        <w:t xml:space="preserve"> </w:t>
      </w:r>
      <w:r w:rsidR="00E264FE">
        <w:rPr>
          <w:szCs w:val="22"/>
        </w:rPr>
        <w:t>(</w:t>
      </w:r>
      <w:r w:rsidR="005416C8" w:rsidRPr="00240DE9">
        <w:rPr>
          <w:szCs w:val="22"/>
        </w:rPr>
        <w:t>s príznakom záverečná</w:t>
      </w:r>
      <w:r w:rsidR="00E264FE">
        <w:rPr>
          <w:szCs w:val="22"/>
        </w:rPr>
        <w:t>)</w:t>
      </w:r>
      <w:r w:rsidR="00456F5B" w:rsidRPr="00240DE9">
        <w:rPr>
          <w:szCs w:val="22"/>
        </w:rPr>
        <w:t xml:space="preserve"> prijímateľom, pokiaľ tieto príjmy neboli zohľadnené už pri schválení projektu a </w:t>
      </w:r>
      <w:r w:rsidR="00E264FE">
        <w:rPr>
          <w:szCs w:val="22"/>
        </w:rPr>
        <w:t>príspevok</w:t>
      </w:r>
      <w:r w:rsidR="00E264FE" w:rsidRPr="00240DE9">
        <w:rPr>
          <w:szCs w:val="22"/>
        </w:rPr>
        <w:t xml:space="preserve"> </w:t>
      </w:r>
      <w:r w:rsidR="00456F5B" w:rsidRPr="00240DE9">
        <w:rPr>
          <w:szCs w:val="22"/>
        </w:rPr>
        <w:t xml:space="preserve">nebol </w:t>
      </w:r>
      <w:r w:rsidR="0049379D" w:rsidRPr="00240DE9">
        <w:rPr>
          <w:szCs w:val="22"/>
        </w:rPr>
        <w:t>znížen</w:t>
      </w:r>
      <w:r w:rsidR="00E264FE">
        <w:rPr>
          <w:szCs w:val="22"/>
        </w:rPr>
        <w:t>ý</w:t>
      </w:r>
      <w:r w:rsidR="0049379D" w:rsidRPr="00240DE9">
        <w:rPr>
          <w:szCs w:val="22"/>
        </w:rPr>
        <w:t xml:space="preserve"> už na </w:t>
      </w:r>
      <w:r w:rsidR="0049379D" w:rsidRPr="00240DE9">
        <w:rPr>
          <w:szCs w:val="22"/>
        </w:rPr>
        <w:lastRenderedPageBreak/>
        <w:t>začiatku projektu</w:t>
      </w:r>
      <w:r w:rsidR="00456F5B" w:rsidRPr="00240DE9">
        <w:rPr>
          <w:szCs w:val="22"/>
        </w:rPr>
        <w:t>. Uvádzajú sa hodnoty iných  peňažných príjmov  a prevádzkových výdavkov v monitorovanom období. Iné peňažné príjmy predstavujú akékoľvek príjmy vygenerované projektom počas obdobia realizácie projektu. Rozdiel týchto hodnôt predstavujú iné čisté peňažné príjmy projektu, ktoré má prijímateľ povinnosť monitorovať (v monitorovacej správe</w:t>
      </w:r>
      <w:r w:rsidR="00AD0F6A">
        <w:rPr>
          <w:szCs w:val="22"/>
        </w:rPr>
        <w:t xml:space="preserve"> s príznakom záverečná</w:t>
      </w:r>
      <w:r w:rsidR="00456F5B" w:rsidRPr="00240DE9">
        <w:rPr>
          <w:szCs w:val="22"/>
        </w:rPr>
        <w:t>) a odpočítať od oprávnených výdavkov projektu.</w:t>
      </w:r>
      <w:r w:rsidR="00455CFB" w:rsidRPr="00240DE9">
        <w:rPr>
          <w:szCs w:val="22"/>
        </w:rPr>
        <w:t xml:space="preserve"> </w:t>
      </w:r>
    </w:p>
    <w:p w:rsidR="004B24EF" w:rsidRPr="00240DE9" w:rsidRDefault="004B24EF">
      <w:pPr>
        <w:pStyle w:val="Odsekzoznamu"/>
        <w:numPr>
          <w:ilvl w:val="0"/>
          <w:numId w:val="16"/>
        </w:numPr>
        <w:spacing w:before="120" w:after="120"/>
        <w:ind w:left="425" w:hanging="425"/>
        <w:contextualSpacing w:val="0"/>
        <w:jc w:val="both"/>
        <w:rPr>
          <w:szCs w:val="22"/>
        </w:rPr>
      </w:pPr>
      <w:r w:rsidRPr="00240DE9">
        <w:rPr>
          <w:szCs w:val="22"/>
        </w:rPr>
        <w:t>Údaje týkajúce sa procesu verejného obstarávania majú vytvoriť komplexný prehľad o stave realizácie verejného obstarávania v rámci celého projektu. Preto je potrebné uvádzať všetky verejné obstarávania, ktoré prijímateľ plánuje vyhlásiť,</w:t>
      </w:r>
      <w:r w:rsidR="00D67FF4">
        <w:rPr>
          <w:szCs w:val="22"/>
        </w:rPr>
        <w:t xml:space="preserve"> ktoré </w:t>
      </w:r>
      <w:r w:rsidRPr="00240DE9">
        <w:rPr>
          <w:szCs w:val="22"/>
        </w:rPr>
        <w:t xml:space="preserve">sú v realizácii alebo sú už ukončené, t.j. bola uzavretá zmluva s úspešným uchádzačom. Údaje týkajúce sa verejného obstarávania, ktoré </w:t>
      </w:r>
      <w:r w:rsidR="00226388" w:rsidRPr="00240DE9">
        <w:rPr>
          <w:szCs w:val="22"/>
        </w:rPr>
        <w:t xml:space="preserve">sú </w:t>
      </w:r>
      <w:r w:rsidRPr="00240DE9">
        <w:rPr>
          <w:szCs w:val="22"/>
        </w:rPr>
        <w:t>už evidované v ITMS 2014+ sa do monitorovacích údajov preberajú z tohto zdroja. Ostatné údaje týkajúce sa verejných obstarávaní, ktoré nie sú evidované v</w:t>
      </w:r>
      <w:r w:rsidR="008604F7" w:rsidRPr="00240DE9">
        <w:rPr>
          <w:szCs w:val="22"/>
        </w:rPr>
        <w:t> </w:t>
      </w:r>
      <w:r w:rsidRPr="00240DE9">
        <w:rPr>
          <w:szCs w:val="22"/>
        </w:rPr>
        <w:t>ITMS</w:t>
      </w:r>
      <w:r w:rsidR="008604F7" w:rsidRPr="00240DE9">
        <w:rPr>
          <w:szCs w:val="22"/>
        </w:rPr>
        <w:t>2014+,</w:t>
      </w:r>
      <w:r w:rsidRPr="00240DE9">
        <w:rPr>
          <w:szCs w:val="22"/>
        </w:rPr>
        <w:t xml:space="preserve"> a ktoré budú naviazané na realizáciu aktivít projektu</w:t>
      </w:r>
      <w:r w:rsidR="008604F7" w:rsidRPr="00240DE9">
        <w:rPr>
          <w:szCs w:val="22"/>
        </w:rPr>
        <w:t>,</w:t>
      </w:r>
      <w:r w:rsidRPr="00240DE9">
        <w:rPr>
          <w:szCs w:val="22"/>
        </w:rPr>
        <w:t xml:space="preserve"> vypĺňa prijímateľ.</w:t>
      </w:r>
    </w:p>
    <w:p w:rsidR="001D4207" w:rsidRPr="000D77A6" w:rsidRDefault="007E2D0E"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Na úrovni projektov je </w:t>
      </w:r>
      <w:r w:rsidR="0002043A" w:rsidRPr="000D77A6">
        <w:rPr>
          <w:szCs w:val="22"/>
        </w:rPr>
        <w:t>prostredníctvom</w:t>
      </w:r>
      <w:r w:rsidRPr="000D77A6">
        <w:rPr>
          <w:szCs w:val="22"/>
        </w:rPr>
        <w:t xml:space="preserve"> výročn</w:t>
      </w:r>
      <w:r w:rsidR="0002043A" w:rsidRPr="000D77A6">
        <w:rPr>
          <w:szCs w:val="22"/>
        </w:rPr>
        <w:t>ej</w:t>
      </w:r>
      <w:r w:rsidRPr="000D77A6">
        <w:rPr>
          <w:szCs w:val="22"/>
        </w:rPr>
        <w:t xml:space="preserve"> monitorovac</w:t>
      </w:r>
      <w:r w:rsidR="0002043A" w:rsidRPr="000D77A6">
        <w:rPr>
          <w:szCs w:val="22"/>
        </w:rPr>
        <w:t>ej</w:t>
      </w:r>
      <w:r w:rsidRPr="000D77A6">
        <w:rPr>
          <w:szCs w:val="22"/>
        </w:rPr>
        <w:t xml:space="preserve"> správ</w:t>
      </w:r>
      <w:r w:rsidR="0002043A" w:rsidRPr="000D77A6">
        <w:rPr>
          <w:szCs w:val="22"/>
        </w:rPr>
        <w:t>y</w:t>
      </w:r>
      <w:r w:rsidRPr="000D77A6">
        <w:rPr>
          <w:szCs w:val="22"/>
        </w:rPr>
        <w:t xml:space="preserve"> možné sledovať aj iné údaje nad rámec merateľných ukazovateľov. V prípade potreby za účelom monitorovania, hodnotenia a kontroly si RO môže v zmluve o NFP zadefinovať dodatočné údaje, ktoré bude od prijímateľa vyžadovať a následne ich môže sledovať cez monitorovaciu správu projektu v časti 10 Vzoru – „Iné údaje na úrovni projektu“.</w:t>
      </w:r>
      <w:r w:rsidR="001D4207" w:rsidRPr="000D77A6">
        <w:rPr>
          <w:szCs w:val="22"/>
        </w:rPr>
        <w:t xml:space="preserve"> </w:t>
      </w:r>
      <w:r w:rsidR="0017240D">
        <w:rPr>
          <w:szCs w:val="22"/>
        </w:rPr>
        <w:t xml:space="preserve">V prípade relevantných projektov (v rámci projektov ESF/IZM) sú vypĺňané aj údaje o účastníkoch projektu, ktoré sú spravidla automaticky načítavané z karty účastníka.  </w:t>
      </w:r>
    </w:p>
    <w:p w:rsidR="00B73F16" w:rsidRPr="000D77A6" w:rsidRDefault="00B73F16"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Výročná a záverečná monitorovacia správa sa po jej vypracovaní zasiela prostredníctvom ITMS2014+</w:t>
      </w:r>
      <w:r w:rsidR="00A977BD">
        <w:rPr>
          <w:szCs w:val="22"/>
        </w:rPr>
        <w:t xml:space="preserve"> na </w:t>
      </w:r>
      <w:r w:rsidR="00AB39F4">
        <w:rPr>
          <w:szCs w:val="22"/>
        </w:rPr>
        <w:t>RO</w:t>
      </w:r>
      <w:r w:rsidRPr="000D77A6">
        <w:rPr>
          <w:szCs w:val="22"/>
        </w:rPr>
        <w:t>. Do obdobia zavedenia elektronického podpisu je potrebné zaslať okrem elektronickej podoby aj vytlačenú a ručne podpísanú formu výročnej a záverečne</w:t>
      </w:r>
      <w:r w:rsidR="00855E76">
        <w:rPr>
          <w:szCs w:val="22"/>
        </w:rPr>
        <w:t>j</w:t>
      </w:r>
      <w:r w:rsidRPr="000D77A6">
        <w:rPr>
          <w:szCs w:val="22"/>
        </w:rPr>
        <w:t xml:space="preserve"> monitorovacej správy vygenerovanej systémom ITMS2014+.</w:t>
      </w:r>
      <w:r w:rsidR="00E734A4" w:rsidRPr="000D77A6">
        <w:rPr>
          <w:szCs w:val="22"/>
        </w:rPr>
        <w:t xml:space="preserve"> </w:t>
      </w:r>
    </w:p>
    <w:p w:rsidR="00571126" w:rsidRPr="000D77A6" w:rsidRDefault="00E734A4" w:rsidP="000D77A6">
      <w:pPr>
        <w:pStyle w:val="Odsekzoznamu"/>
        <w:numPr>
          <w:ilvl w:val="0"/>
          <w:numId w:val="16"/>
        </w:numPr>
        <w:autoSpaceDE w:val="0"/>
        <w:autoSpaceDN w:val="0"/>
        <w:adjustRightInd w:val="0"/>
        <w:spacing w:before="120" w:after="120"/>
        <w:ind w:left="425" w:hanging="425"/>
        <w:contextualSpacing w:val="0"/>
        <w:jc w:val="both"/>
        <w:rPr>
          <w:szCs w:val="22"/>
        </w:rPr>
      </w:pPr>
      <w:r w:rsidRPr="000D77A6">
        <w:rPr>
          <w:szCs w:val="22"/>
        </w:rPr>
        <w:t xml:space="preserve">Riadiaci orgán je oprávnený rozhodnúť o forme výkonu kontroly výročnej a záverečnej monitorovacej správy (t.j. formou administratívnej </w:t>
      </w:r>
      <w:r w:rsidR="008659C3">
        <w:rPr>
          <w:szCs w:val="22"/>
        </w:rPr>
        <w:t xml:space="preserve">finančnej </w:t>
      </w:r>
      <w:r w:rsidRPr="000D77A6">
        <w:rPr>
          <w:szCs w:val="22"/>
        </w:rPr>
        <w:t>kontroly žiadosti o platbu v</w:t>
      </w:r>
      <w:r w:rsidR="00C22D4C">
        <w:rPr>
          <w:szCs w:val="22"/>
        </w:rPr>
        <w:t> </w:t>
      </w:r>
      <w:r w:rsidRPr="000D77A6">
        <w:rPr>
          <w:szCs w:val="22"/>
        </w:rPr>
        <w:t>zmysle</w:t>
      </w:r>
      <w:r w:rsidR="00C22D4C">
        <w:rPr>
          <w:szCs w:val="22"/>
        </w:rPr>
        <w:t xml:space="preserve"> </w:t>
      </w:r>
      <w:r w:rsidRPr="000D77A6">
        <w:rPr>
          <w:szCs w:val="22"/>
        </w:rPr>
        <w:t xml:space="preserve">§ </w:t>
      </w:r>
      <w:r w:rsidR="008659C3">
        <w:rPr>
          <w:szCs w:val="22"/>
        </w:rPr>
        <w:t>8</w:t>
      </w:r>
      <w:r w:rsidRPr="000D77A6">
        <w:rPr>
          <w:szCs w:val="22"/>
        </w:rPr>
        <w:t xml:space="preserve"> zákona o finančnej kontrole, </w:t>
      </w:r>
      <w:r w:rsidR="00AC06DF" w:rsidRPr="000D77A6">
        <w:rPr>
          <w:szCs w:val="22"/>
        </w:rPr>
        <w:t xml:space="preserve">formou </w:t>
      </w:r>
      <w:r w:rsidR="008659C3">
        <w:rPr>
          <w:szCs w:val="22"/>
        </w:rPr>
        <w:t xml:space="preserve">finančnej </w:t>
      </w:r>
      <w:r w:rsidR="00AC06DF" w:rsidRPr="000D77A6">
        <w:rPr>
          <w:szCs w:val="22"/>
        </w:rPr>
        <w:t>kontroly</w:t>
      </w:r>
      <w:r w:rsidRPr="000D77A6">
        <w:rPr>
          <w:szCs w:val="22"/>
        </w:rPr>
        <w:t xml:space="preserve"> na mieste v zmysle § 9 zákona o finančnej kontrole</w:t>
      </w:r>
      <w:r w:rsidR="00EE6389" w:rsidRPr="000D77A6">
        <w:rPr>
          <w:szCs w:val="22"/>
        </w:rPr>
        <w:t xml:space="preserve"> alebo formou inej kontroly, ktorú má vopred stanovenú v interných predpisoch</w:t>
      </w:r>
      <w:r w:rsidR="00A65D8F" w:rsidRPr="000D77A6">
        <w:rPr>
          <w:szCs w:val="22"/>
        </w:rPr>
        <w:t>)</w:t>
      </w:r>
      <w:r w:rsidRPr="000D77A6">
        <w:rPr>
          <w:szCs w:val="22"/>
        </w:rPr>
        <w:t>. V prípade zistenia nedostatkov v rámci výkonu kontroly</w:t>
      </w:r>
      <w:r w:rsidR="00A977BD">
        <w:rPr>
          <w:szCs w:val="22"/>
        </w:rPr>
        <w:t xml:space="preserve"> </w:t>
      </w:r>
      <w:r w:rsidRPr="000D77A6">
        <w:rPr>
          <w:szCs w:val="22"/>
        </w:rPr>
        <w:t xml:space="preserve">projektu podľa § </w:t>
      </w:r>
      <w:r w:rsidR="008659C3">
        <w:rPr>
          <w:szCs w:val="22"/>
        </w:rPr>
        <w:t>8</w:t>
      </w:r>
      <w:r w:rsidRPr="000D77A6">
        <w:rPr>
          <w:szCs w:val="22"/>
        </w:rPr>
        <w:t xml:space="preserve"> a § 9 zákona o finančnej kontrole je RO povinný doručiť prijímateľovi návrh</w:t>
      </w:r>
      <w:r w:rsidR="008659C3">
        <w:rPr>
          <w:szCs w:val="22"/>
        </w:rPr>
        <w:t xml:space="preserve"> čiastkovej správy z kontroly/návrh </w:t>
      </w:r>
      <w:r w:rsidRPr="000D77A6">
        <w:rPr>
          <w:szCs w:val="22"/>
        </w:rPr>
        <w:t xml:space="preserve">správy z kontroly na jeho prípadné námietky a po posúdení opodstatnenosti predložených námietok zaslať </w:t>
      </w:r>
      <w:r w:rsidR="008659C3">
        <w:rPr>
          <w:szCs w:val="22"/>
        </w:rPr>
        <w:t>čiastkovú správu z kontroly/</w:t>
      </w:r>
      <w:r w:rsidRPr="000D77A6">
        <w:rPr>
          <w:szCs w:val="22"/>
        </w:rPr>
        <w:t xml:space="preserve">správu z kontroly prijímateľovi. </w:t>
      </w:r>
      <w:r w:rsidR="008A34B9">
        <w:rPr>
          <w:szCs w:val="22"/>
        </w:rPr>
        <w:t>Dňom</w:t>
      </w:r>
      <w:r w:rsidR="008A34B9" w:rsidRPr="000D77A6">
        <w:rPr>
          <w:szCs w:val="22"/>
        </w:rPr>
        <w:t xml:space="preserve"> </w:t>
      </w:r>
      <w:r w:rsidRPr="000D77A6">
        <w:rPr>
          <w:szCs w:val="22"/>
        </w:rPr>
        <w:t xml:space="preserve">zaslania správy z kontroly prijímateľovi je kontrola ukončená. </w:t>
      </w:r>
      <w:r w:rsidR="008659C3" w:rsidRPr="00E16D18">
        <w:rPr>
          <w:szCs w:val="22"/>
        </w:rPr>
        <w:t xml:space="preserve">Zaslaním čiastkovej správy z kontroly je skončená tá časť finančnej kontroly, ktorej sa čiastková správa z kontroly týka.  </w:t>
      </w:r>
      <w:r w:rsidRPr="000D77A6">
        <w:rPr>
          <w:szCs w:val="22"/>
        </w:rPr>
        <w:t xml:space="preserve">    </w:t>
      </w:r>
    </w:p>
    <w:p w:rsidR="00744A3A" w:rsidRPr="00744A3A" w:rsidRDefault="00817207" w:rsidP="00817207">
      <w:pPr>
        <w:pStyle w:val="MPCKO1"/>
      </w:pPr>
      <w:bookmarkStart w:id="9" w:name="_Toc415571704"/>
      <w:r>
        <w:t xml:space="preserve">5 </w:t>
      </w:r>
      <w:r w:rsidR="00CD3916">
        <w:t>Následná monitorovacia správa projektu</w:t>
      </w:r>
      <w:bookmarkEnd w:id="9"/>
      <w:r w:rsidR="00CD3916">
        <w:t xml:space="preserve"> </w:t>
      </w:r>
    </w:p>
    <w:p w:rsidR="00BC70EF" w:rsidRPr="000D77A6" w:rsidRDefault="00BC70EF" w:rsidP="00B64525">
      <w:pPr>
        <w:numPr>
          <w:ilvl w:val="0"/>
          <w:numId w:val="20"/>
        </w:numPr>
        <w:spacing w:before="120" w:after="120"/>
        <w:ind w:left="425" w:hanging="425"/>
        <w:jc w:val="both"/>
        <w:rPr>
          <w:szCs w:val="22"/>
        </w:rPr>
      </w:pPr>
      <w:r w:rsidRPr="000D77A6">
        <w:rPr>
          <w:szCs w:val="22"/>
        </w:rPr>
        <w:t>Povinnosť vypracovať následnú monitorovaciu správu</w:t>
      </w:r>
      <w:r w:rsidR="00B64525">
        <w:rPr>
          <w:szCs w:val="22"/>
        </w:rPr>
        <w:t xml:space="preserve"> sa vzťahuje na projekty, v rámci ktorých existuje povinnosť udržateľnosti projektu (</w:t>
      </w:r>
      <w:r w:rsidRPr="000D77A6">
        <w:rPr>
          <w:szCs w:val="22"/>
        </w:rPr>
        <w:t xml:space="preserve">5 rokov od </w:t>
      </w:r>
      <w:r>
        <w:rPr>
          <w:szCs w:val="22"/>
        </w:rPr>
        <w:t xml:space="preserve">finančného </w:t>
      </w:r>
      <w:r w:rsidRPr="000D77A6">
        <w:rPr>
          <w:szCs w:val="22"/>
        </w:rPr>
        <w:t>ukončenia  projektu,  resp. 3 rok</w:t>
      </w:r>
      <w:r w:rsidR="003E189E">
        <w:rPr>
          <w:szCs w:val="22"/>
        </w:rPr>
        <w:t>y</w:t>
      </w:r>
      <w:r w:rsidRPr="000D77A6">
        <w:rPr>
          <w:szCs w:val="22"/>
        </w:rPr>
        <w:t xml:space="preserve"> v prípade malých a stredných podnikov alebo obdobie stanovené v pravidlách o štátnej pomoci</w:t>
      </w:r>
      <w:r w:rsidR="00B64525">
        <w:rPr>
          <w:szCs w:val="22"/>
        </w:rPr>
        <w:t>)</w:t>
      </w:r>
      <w:r w:rsidRPr="000D77A6">
        <w:rPr>
          <w:szCs w:val="22"/>
        </w:rPr>
        <w:t>.</w:t>
      </w:r>
      <w:r>
        <w:rPr>
          <w:szCs w:val="22"/>
        </w:rPr>
        <w:t xml:space="preserve"> V prípade projektov, ktoré nepredstavujú investíciu do infraštruktúry alebo investíciu do výroby</w:t>
      </w:r>
      <w:r w:rsidR="00861FB3">
        <w:rPr>
          <w:szCs w:val="22"/>
        </w:rPr>
        <w:t xml:space="preserve"> (najmä projekty podporované z</w:t>
      </w:r>
      <w:r w:rsidR="0033406E">
        <w:rPr>
          <w:szCs w:val="22"/>
        </w:rPr>
        <w:t> </w:t>
      </w:r>
      <w:r w:rsidR="00861FB3">
        <w:rPr>
          <w:szCs w:val="22"/>
        </w:rPr>
        <w:t>ESF</w:t>
      </w:r>
      <w:r w:rsidR="0033406E">
        <w:rPr>
          <w:szCs w:val="22"/>
        </w:rPr>
        <w:t>/IZM</w:t>
      </w:r>
      <w:r w:rsidR="00861FB3">
        <w:rPr>
          <w:szCs w:val="22"/>
        </w:rPr>
        <w:t xml:space="preserve"> a projekty technickej pomoci)</w:t>
      </w:r>
      <w:r>
        <w:rPr>
          <w:szCs w:val="22"/>
        </w:rPr>
        <w:t>, plynie udržateľnosť iba vtedy, keď tieto projekty podliehajú povinnosti zachovať investíciu podľa uplatniteľných pravidiel štátnej pomoci.</w:t>
      </w:r>
      <w:r w:rsidR="00AA73B0">
        <w:rPr>
          <w:szCs w:val="22"/>
        </w:rPr>
        <w:t xml:space="preserve"> </w:t>
      </w:r>
      <w:r w:rsidR="00B64525">
        <w:rPr>
          <w:szCs w:val="22"/>
        </w:rPr>
        <w:t xml:space="preserve">  </w:t>
      </w:r>
    </w:p>
    <w:p w:rsidR="00BD53F1" w:rsidRPr="000D77A6" w:rsidRDefault="00BD53F1" w:rsidP="00BC70EF">
      <w:pPr>
        <w:numPr>
          <w:ilvl w:val="0"/>
          <w:numId w:val="20"/>
        </w:numPr>
        <w:spacing w:before="120" w:after="120"/>
        <w:ind w:left="425" w:hanging="425"/>
        <w:jc w:val="both"/>
        <w:rPr>
          <w:szCs w:val="22"/>
        </w:rPr>
      </w:pPr>
      <w:r w:rsidRPr="000D77A6">
        <w:rPr>
          <w:szCs w:val="22"/>
        </w:rPr>
        <w:lastRenderedPageBreak/>
        <w:t>Obdobie udržateľnosti projektu predstavuje časový úsek, v rámci ktorého je prijímateľ, ktorý úspešne naplnil ciele projektu, povinný zabezpečiť zachovanie účelu a podmienok realizácie projektu, na základe ktorých bol prijímateľovi poskytnut</w:t>
      </w:r>
      <w:r w:rsidR="00154A74">
        <w:rPr>
          <w:szCs w:val="22"/>
        </w:rPr>
        <w:t>ý príspevok</w:t>
      </w:r>
      <w:r w:rsidRPr="000D77A6">
        <w:rPr>
          <w:szCs w:val="22"/>
        </w:rPr>
        <w:t>.</w:t>
      </w:r>
      <w:r w:rsidR="00EB5B0C">
        <w:rPr>
          <w:szCs w:val="22"/>
        </w:rPr>
        <w:t xml:space="preserve"> Ide najmä o udržanie výsledkov projektu </w:t>
      </w:r>
      <w:r w:rsidR="00EB5B0C" w:rsidRPr="00EB5B0C">
        <w:rPr>
          <w:szCs w:val="22"/>
        </w:rPr>
        <w:t>počas stanoveného obdobia</w:t>
      </w:r>
      <w:r w:rsidR="000E561D">
        <w:rPr>
          <w:szCs w:val="22"/>
        </w:rPr>
        <w:t>,</w:t>
      </w:r>
      <w:r w:rsidR="00EB5B0C" w:rsidRPr="00EB5B0C">
        <w:rPr>
          <w:szCs w:val="22"/>
        </w:rPr>
        <w:t xml:space="preserve"> ako aj </w:t>
      </w:r>
      <w:r w:rsidR="00A97CCD">
        <w:rPr>
          <w:szCs w:val="22"/>
        </w:rPr>
        <w:t xml:space="preserve">o </w:t>
      </w:r>
      <w:r w:rsidR="00EB5B0C" w:rsidRPr="00EB5B0C">
        <w:rPr>
          <w:szCs w:val="22"/>
        </w:rPr>
        <w:t xml:space="preserve">dodržanie ostatných podmienok vyplývajúcich z čl. 71 </w:t>
      </w:r>
      <w:r w:rsidR="007A2014" w:rsidRPr="000D77A6">
        <w:rPr>
          <w:szCs w:val="22"/>
        </w:rPr>
        <w:t>nariadenia Európskeho parlamentu a Rady (EÚ) č. 1303/2013</w:t>
      </w:r>
      <w:r w:rsidR="00AB25D8">
        <w:rPr>
          <w:szCs w:val="22"/>
        </w:rPr>
        <w:t>.</w:t>
      </w:r>
      <w:r w:rsidR="00BC70EF">
        <w:rPr>
          <w:szCs w:val="22"/>
        </w:rPr>
        <w:t xml:space="preserve"> V prípade projektov, ktoré nepredstavujú investíciu do infraštruktúry alebo investíciu do výroby, sa sleduje ukončenie a premiestnenie </w:t>
      </w:r>
      <w:r w:rsidR="00861FB3">
        <w:rPr>
          <w:szCs w:val="22"/>
        </w:rPr>
        <w:t>výrobnej činnosti v rámci obdobia stanoveného v pravidlách</w:t>
      </w:r>
      <w:r w:rsidR="00BC70EF">
        <w:rPr>
          <w:szCs w:val="22"/>
        </w:rPr>
        <w:t xml:space="preserve"> štátnej pomoci.</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Podrobné pravidlá pre stanovenie obdobia a podmienok udržateľnosti v závislosti </w:t>
      </w:r>
      <w:r w:rsidRPr="000D77A6">
        <w:rPr>
          <w:szCs w:val="22"/>
        </w:rPr>
        <w:br/>
        <w:t>od typu projektu, ako aj postup RO v prípade neplnenia povinnost</w:t>
      </w:r>
      <w:r w:rsidR="00C426E4">
        <w:rPr>
          <w:szCs w:val="22"/>
        </w:rPr>
        <w:t>í</w:t>
      </w:r>
      <w:r w:rsidRPr="000D77A6">
        <w:rPr>
          <w:szCs w:val="22"/>
        </w:rPr>
        <w:t xml:space="preserve"> prijímateľa spojených so zachovaním </w:t>
      </w:r>
      <w:r w:rsidR="003E189E">
        <w:rPr>
          <w:szCs w:val="22"/>
        </w:rPr>
        <w:t>účelu a podmienok realizácie</w:t>
      </w:r>
      <w:r w:rsidR="003E189E" w:rsidRPr="000D77A6">
        <w:rPr>
          <w:szCs w:val="22"/>
        </w:rPr>
        <w:t xml:space="preserve"> </w:t>
      </w:r>
      <w:r w:rsidRPr="000D77A6">
        <w:rPr>
          <w:szCs w:val="22"/>
        </w:rPr>
        <w:t>projektu</w:t>
      </w:r>
      <w:r w:rsidR="00AB25D8">
        <w:rPr>
          <w:szCs w:val="22"/>
        </w:rPr>
        <w:t xml:space="preserve"> upravuje </w:t>
      </w:r>
      <w:r w:rsidRPr="000D77A6">
        <w:rPr>
          <w:szCs w:val="22"/>
        </w:rPr>
        <w:t>Zmluv</w:t>
      </w:r>
      <w:r w:rsidR="00AB25D8">
        <w:rPr>
          <w:szCs w:val="22"/>
        </w:rPr>
        <w:t>a</w:t>
      </w:r>
      <w:r w:rsidRPr="000D77A6">
        <w:rPr>
          <w:szCs w:val="22"/>
        </w:rPr>
        <w:t xml:space="preserve"> o poskytnutí NFP</w:t>
      </w:r>
      <w:r w:rsidR="003E189E">
        <w:rPr>
          <w:szCs w:val="22"/>
        </w:rPr>
        <w:t xml:space="preserve"> </w:t>
      </w:r>
      <w:r w:rsidR="00AB25D8">
        <w:rPr>
          <w:szCs w:val="22"/>
        </w:rPr>
        <w:t>a</w:t>
      </w:r>
      <w:r w:rsidR="006756C5">
        <w:rPr>
          <w:szCs w:val="22"/>
        </w:rPr>
        <w:t xml:space="preserve"> </w:t>
      </w:r>
      <w:r w:rsidRPr="000D77A6">
        <w:rPr>
          <w:szCs w:val="22"/>
        </w:rPr>
        <w:t>Metodický pokyn CKO k udržateľnosti projektu.</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predstavuje nástroj RO pre zber informáci</w:t>
      </w:r>
      <w:r w:rsidR="00154A74">
        <w:rPr>
          <w:szCs w:val="22"/>
        </w:rPr>
        <w:t>í</w:t>
      </w:r>
      <w:r w:rsidRPr="000D77A6">
        <w:rPr>
          <w:szCs w:val="22"/>
        </w:rPr>
        <w:t xml:space="preserve"> o projekte, na základe ktorých vyhodnocuje zachovanie účelu poskytnutia NFP ako aj údajov, ktoré agreguje a využíva na programovej úrovni pri vypracovaní výstupov monitorovania a hodnotenia programu. Obsah a štruktúru správy upravuje samostatný vzor CKO (Vzor – Následná monitorovacia správa projektu). Tento vzor je pre RO záväzný, RO však môže vzor doplniť </w:t>
      </w:r>
      <w:r w:rsidR="006756C5">
        <w:rPr>
          <w:szCs w:val="22"/>
        </w:rPr>
        <w:t xml:space="preserve">(prostredníctvom príloh) </w:t>
      </w:r>
      <w:r w:rsidRPr="000D77A6">
        <w:rPr>
          <w:szCs w:val="22"/>
        </w:rPr>
        <w:t xml:space="preserve">s ohľadom na špecifické potreby OP, pričom musí byť zachovaný minimálny obsah uvedený vo vzore. </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v záujme zachovania konzistentnosti poskytovaných údajov o realizácii projektu obsahuje základné identifikačné údaje o projekte, údaje o stave plnenia cieľov projektu prostredníctvom realizovaných aktivít projektu a plnení merateľných ukazovateľov ako aj údaje o stave výdavko</w:t>
      </w:r>
      <w:r w:rsidR="00AD683F">
        <w:rPr>
          <w:szCs w:val="22"/>
        </w:rPr>
        <w:t xml:space="preserve">v uhradených prijímateľovi </w:t>
      </w:r>
      <w:r w:rsidRPr="000D77A6">
        <w:rPr>
          <w:szCs w:val="22"/>
        </w:rPr>
        <w:t xml:space="preserve"> v čase </w:t>
      </w:r>
      <w:r w:rsidR="00AD683F">
        <w:rPr>
          <w:szCs w:val="22"/>
        </w:rPr>
        <w:t xml:space="preserve">finančného </w:t>
      </w:r>
      <w:r w:rsidRPr="000D77A6">
        <w:rPr>
          <w:szCs w:val="22"/>
        </w:rPr>
        <w:t>ukončenia projektu.</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Následná monitorovacia správa v nadväznosti na svoj účel ďalej obsahuje údaje o zachovaní podmienok udržateľnosti projektu, o generovaní </w:t>
      </w:r>
      <w:r w:rsidR="00A245D6">
        <w:rPr>
          <w:szCs w:val="22"/>
        </w:rPr>
        <w:t xml:space="preserve">čistých </w:t>
      </w:r>
      <w:r w:rsidRPr="000D77A6">
        <w:rPr>
          <w:szCs w:val="22"/>
        </w:rPr>
        <w:t>príjmov</w:t>
      </w:r>
      <w:r w:rsidR="00A245D6">
        <w:rPr>
          <w:szCs w:val="22"/>
        </w:rPr>
        <w:t xml:space="preserve"> projektu</w:t>
      </w:r>
      <w:r w:rsidRPr="000D77A6">
        <w:rPr>
          <w:szCs w:val="22"/>
        </w:rPr>
        <w:t xml:space="preserve">,  o plnení podmienok informovanosti a publicity na úrovni projektu, či o stave plnenia merateľného ukazovateľa alebo iného údaju, ktorý nastal až po ukončení realizácie </w:t>
      </w:r>
      <w:r w:rsidR="008D02C9">
        <w:rPr>
          <w:szCs w:val="22"/>
        </w:rPr>
        <w:t>aktivít</w:t>
      </w:r>
      <w:r w:rsidR="008D02C9" w:rsidRPr="000D77A6">
        <w:rPr>
          <w:szCs w:val="22"/>
        </w:rPr>
        <w:t xml:space="preserve"> </w:t>
      </w:r>
      <w:r w:rsidRPr="000D77A6">
        <w:rPr>
          <w:szCs w:val="22"/>
        </w:rPr>
        <w:t xml:space="preserve">projektu, napr. v prípade ukazovateľov dlhodobých výsledkov. </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V následnej monitorovacej správe sa v rámci </w:t>
      </w:r>
      <w:r w:rsidR="00960C13">
        <w:rPr>
          <w:szCs w:val="22"/>
        </w:rPr>
        <w:t xml:space="preserve">povinnosti udržateľnosti projektu sleduje zachovanie podmienok stanovených v čl. 71 </w:t>
      </w:r>
      <w:r w:rsidR="007A2014" w:rsidRPr="000D77A6">
        <w:rPr>
          <w:szCs w:val="22"/>
        </w:rPr>
        <w:t>nariadenia Európskeho parlamentu a Rady (EÚ) č. 1303/2013</w:t>
      </w:r>
      <w:r w:rsidR="00960C13">
        <w:rPr>
          <w:szCs w:val="22"/>
        </w:rPr>
        <w:t xml:space="preserve"> vrátane výskytu podstatnej zmeny projektu.</w:t>
      </w:r>
      <w:r w:rsidR="00960C13">
        <w:rPr>
          <w:rStyle w:val="Odkaznapoznmkupodiarou"/>
          <w:szCs w:val="22"/>
        </w:rPr>
        <w:footnoteReference w:id="3"/>
      </w:r>
      <w:r w:rsidR="00960C13">
        <w:rPr>
          <w:szCs w:val="22"/>
        </w:rPr>
        <w:t xml:space="preserve"> </w:t>
      </w:r>
      <w:r w:rsidRPr="000D77A6">
        <w:rPr>
          <w:szCs w:val="22"/>
        </w:rPr>
        <w:t>Taktiež sa uvádzajú identifikované problémy</w:t>
      </w:r>
      <w:r w:rsidR="00264615">
        <w:rPr>
          <w:szCs w:val="22"/>
        </w:rPr>
        <w:t xml:space="preserve"> a</w:t>
      </w:r>
      <w:r w:rsidRPr="000D77A6">
        <w:rPr>
          <w:szCs w:val="22"/>
        </w:rPr>
        <w:t xml:space="preserve"> riziká, ktoré by mohli viesť k takejto zmene. Následná monitorovacia správa je preto aj podkladom RO k</w:t>
      </w:r>
      <w:r w:rsidR="005D2778">
        <w:rPr>
          <w:szCs w:val="22"/>
        </w:rPr>
        <w:t xml:space="preserve"> finančnej</w:t>
      </w:r>
      <w:r w:rsidRPr="000D77A6">
        <w:rPr>
          <w:szCs w:val="22"/>
        </w:rPr>
        <w:t xml:space="preserve"> kontrole na mieste, ktorou je RO povinný overiť plnenie podmienok udržateľnosti projektu </w:t>
      </w:r>
      <w:r w:rsidR="00865D70">
        <w:rPr>
          <w:szCs w:val="22"/>
        </w:rPr>
        <w:t xml:space="preserve">minimálne raz </w:t>
      </w:r>
      <w:r w:rsidRPr="000D77A6">
        <w:rPr>
          <w:szCs w:val="22"/>
        </w:rPr>
        <w:t xml:space="preserve">po ukončení realizácie projektu. </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poskytuje informácie o plnení pravidiel informovanosti a publicity zo strany prijímateľa,  najmä čo sa týka povinnosti umiestniť na mieste realizácie projektu stálu tabuľu alebo pútač (obsahujúce názov a hlavný cieľ projektu) najneskôr tri mesiace po ukončení projektu na mieste ľahko viditeľnom verejnosťou pre každý projekt, ktorého celková podpora z verejných prostriedkov bola vyššia ako 500 000 EUR</w:t>
      </w:r>
      <w:r w:rsidR="007D35D0">
        <w:rPr>
          <w:szCs w:val="22"/>
        </w:rPr>
        <w:t>,</w:t>
      </w:r>
      <w:r w:rsidRPr="000D77A6">
        <w:rPr>
          <w:szCs w:val="22"/>
        </w:rPr>
        <w:t xml:space="preserve"> alebo projekt spočíval v zakúpení fyzického objektu</w:t>
      </w:r>
      <w:r w:rsidR="007D35D0">
        <w:rPr>
          <w:szCs w:val="22"/>
        </w:rPr>
        <w:t>,</w:t>
      </w:r>
      <w:r w:rsidRPr="000D77A6">
        <w:rPr>
          <w:szCs w:val="22"/>
        </w:rPr>
        <w:t xml:space="preserve"> alebo vo financovaní infraštruktúry</w:t>
      </w:r>
      <w:r w:rsidR="007D35D0">
        <w:rPr>
          <w:szCs w:val="22"/>
        </w:rPr>
        <w:t>,</w:t>
      </w:r>
      <w:r w:rsidRPr="000D77A6">
        <w:rPr>
          <w:szCs w:val="22"/>
        </w:rPr>
        <w:t xml:space="preserve"> alebo stavebných činností</w:t>
      </w:r>
      <w:r w:rsidR="00204160" w:rsidRPr="000D77A6">
        <w:rPr>
          <w:rStyle w:val="Odkaznapoznmkupodiarou"/>
          <w:szCs w:val="22"/>
        </w:rPr>
        <w:footnoteReference w:id="4"/>
      </w:r>
      <w:r w:rsidRPr="000D77A6">
        <w:rPr>
          <w:szCs w:val="22"/>
        </w:rPr>
        <w:t xml:space="preserve">. Taktiež informuje o realizovaných </w:t>
      </w:r>
      <w:r w:rsidRPr="000D77A6">
        <w:rPr>
          <w:szCs w:val="22"/>
        </w:rPr>
        <w:lastRenderedPageBreak/>
        <w:t xml:space="preserve">informačných aktivitách s cieľom propagácie podpory poskytovanej z EÚ po úspešnom ukončení projektu. </w:t>
      </w:r>
    </w:p>
    <w:p w:rsidR="00C212AD" w:rsidRPr="000D77A6" w:rsidRDefault="00C212AD" w:rsidP="00BC70EF">
      <w:pPr>
        <w:pStyle w:val="Odsekzoznamu"/>
        <w:numPr>
          <w:ilvl w:val="0"/>
          <w:numId w:val="20"/>
        </w:numPr>
        <w:spacing w:before="120" w:after="120"/>
        <w:ind w:left="425" w:hanging="425"/>
        <w:contextualSpacing w:val="0"/>
        <w:jc w:val="both"/>
        <w:rPr>
          <w:szCs w:val="22"/>
        </w:rPr>
      </w:pPr>
      <w:r w:rsidRPr="000D77A6">
        <w:rPr>
          <w:szCs w:val="22"/>
        </w:rPr>
        <w:t xml:space="preserve">Údaje týkajúce sa príjmov projektu uvádzajú reálne hodnoty príjmov a prevádzkových výdavkov </w:t>
      </w:r>
      <w:r w:rsidR="002D439C">
        <w:rPr>
          <w:szCs w:val="22"/>
        </w:rPr>
        <w:t xml:space="preserve">počas </w:t>
      </w:r>
      <w:r w:rsidRPr="000D77A6">
        <w:rPr>
          <w:szCs w:val="22"/>
        </w:rPr>
        <w:t>daného monitorova</w:t>
      </w:r>
      <w:r w:rsidR="00A245D6">
        <w:rPr>
          <w:szCs w:val="22"/>
        </w:rPr>
        <w:t>ného</w:t>
      </w:r>
      <w:r w:rsidRPr="000D77A6">
        <w:rPr>
          <w:szCs w:val="22"/>
        </w:rPr>
        <w:t xml:space="preserve"> obdobia projektov generujúcich </w:t>
      </w:r>
      <w:r w:rsidR="00960C13">
        <w:rPr>
          <w:szCs w:val="22"/>
        </w:rPr>
        <w:t xml:space="preserve">čistý </w:t>
      </w:r>
      <w:r w:rsidRPr="000D77A6">
        <w:rPr>
          <w:szCs w:val="22"/>
        </w:rPr>
        <w:t xml:space="preserve">príjem v zmysle čl. 61 </w:t>
      </w:r>
      <w:r w:rsidR="00204160" w:rsidRPr="000D77A6">
        <w:rPr>
          <w:szCs w:val="22"/>
        </w:rPr>
        <w:t>n</w:t>
      </w:r>
      <w:r w:rsidRPr="000D77A6">
        <w:rPr>
          <w:szCs w:val="22"/>
        </w:rPr>
        <w:t xml:space="preserve">ariadenia </w:t>
      </w:r>
      <w:r w:rsidR="00204160" w:rsidRPr="000D77A6">
        <w:rPr>
          <w:szCs w:val="22"/>
        </w:rPr>
        <w:t>Európskeho parlamentu a Rady (EÚ</w:t>
      </w:r>
      <w:r w:rsidRPr="000D77A6">
        <w:rPr>
          <w:szCs w:val="22"/>
        </w:rPr>
        <w:t>) č. 1303/2013</w:t>
      </w:r>
      <w:r w:rsidR="00E54612">
        <w:rPr>
          <w:rStyle w:val="Odkaznapoznmkupodiarou"/>
          <w:szCs w:val="22"/>
        </w:rPr>
        <w:footnoteReference w:id="5"/>
      </w:r>
      <w:r w:rsidRPr="000D77A6">
        <w:rPr>
          <w:szCs w:val="22"/>
        </w:rPr>
        <w:t>. Ako rozdiel hodnôt príjmov a prevádzkových výdavkov sa uvedie hodnota čistých príjmov v monitorovanom období. V prípade, že sa monitorované obdobie prekrýva s posledným referenčným rokom finančnej analýzy</w:t>
      </w:r>
      <w:r w:rsidR="000938B6">
        <w:rPr>
          <w:szCs w:val="22"/>
        </w:rPr>
        <w:t>,</w:t>
      </w:r>
      <w:r w:rsidRPr="000D77A6">
        <w:rPr>
          <w:szCs w:val="22"/>
        </w:rPr>
        <w:t xml:space="preserve"> navýšia sa čisté príjmy o prípadnú zostatkovú hodnotu investície. V poslednom riadku sa uvedú kumulované čisté príjmy od začiatku investície. Predmetná časť</w:t>
      </w:r>
      <w:r w:rsidR="00B73F16" w:rsidRPr="000D77A6">
        <w:rPr>
          <w:szCs w:val="22"/>
        </w:rPr>
        <w:t xml:space="preserve"> následnej</w:t>
      </w:r>
      <w:r w:rsidRPr="000D77A6">
        <w:rPr>
          <w:szCs w:val="22"/>
        </w:rPr>
        <w:t xml:space="preserve"> monitorovacej správy je relevantná predovšetkým pre posúdenie potreby </w:t>
      </w:r>
      <w:proofErr w:type="spellStart"/>
      <w:r w:rsidRPr="000D77A6">
        <w:rPr>
          <w:szCs w:val="22"/>
        </w:rPr>
        <w:t>rekalkulácie</w:t>
      </w:r>
      <w:proofErr w:type="spellEnd"/>
      <w:r w:rsidRPr="000D77A6">
        <w:rPr>
          <w:szCs w:val="22"/>
        </w:rPr>
        <w:t xml:space="preserve"> finančnej analýzy a vrátenia časti NFP.</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Následná monitorovacia správa projektu obsahuje špecifické polia relevantné pre projekty spolufinancované z ESF a IZM. Ide o iné údaje o účastníkoch projektu popisujúce zmenu stavu účastníkov po odchode z aktivity v rámci </w:t>
      </w:r>
      <w:r w:rsidR="0033406E">
        <w:rPr>
          <w:szCs w:val="22"/>
        </w:rPr>
        <w:t xml:space="preserve">ukazovateľov </w:t>
      </w:r>
      <w:r w:rsidRPr="000D77A6">
        <w:rPr>
          <w:szCs w:val="22"/>
        </w:rPr>
        <w:t>dlhodobých výsledkov projektu. Plnenie týchto údajov nastane najneskôr v monitorovanom období prvej následnej monitorovacej správy. Vykazovanie účastníkov je upravené osobitnými ustanoveniami v kapitole 6 tohto metodického pokynu.</w:t>
      </w:r>
    </w:p>
    <w:p w:rsidR="00BD53F1" w:rsidRPr="00C57FE2" w:rsidRDefault="00BD53F1" w:rsidP="00BC70EF">
      <w:pPr>
        <w:numPr>
          <w:ilvl w:val="0"/>
          <w:numId w:val="20"/>
        </w:numPr>
        <w:spacing w:before="120" w:after="120"/>
        <w:ind w:left="425" w:hanging="425"/>
        <w:jc w:val="both"/>
        <w:rPr>
          <w:szCs w:val="22"/>
        </w:rPr>
      </w:pPr>
      <w:r w:rsidRPr="000D77A6">
        <w:rPr>
          <w:szCs w:val="22"/>
        </w:rPr>
        <w:t>K následnej monitorovacej správe projektu je možné pripojiť podľa potreby prílohy. Ide najmä o dokumenty preukazujúce informácie uvádzané v správe (napr. preukázanie splnenia pravidiel publicity doložením fotodokumentácie z miesta umiestnenia stálej tabule</w:t>
      </w:r>
      <w:r w:rsidR="00E54612">
        <w:rPr>
          <w:szCs w:val="22"/>
        </w:rPr>
        <w:t>,</w:t>
      </w:r>
      <w:r w:rsidR="00C57FE2" w:rsidRPr="00C57FE2">
        <w:rPr>
          <w:szCs w:val="22"/>
        </w:rPr>
        <w:t xml:space="preserve"> relevantné doklady preukazujúce naplnenie merateľných ukazovateľov,</w:t>
      </w:r>
      <w:r w:rsidR="00C57FE2">
        <w:rPr>
          <w:szCs w:val="22"/>
        </w:rPr>
        <w:t xml:space="preserve"> poistné zmluvy a </w:t>
      </w:r>
      <w:r w:rsidR="00C57FE2" w:rsidRPr="00C57FE2">
        <w:rPr>
          <w:szCs w:val="22"/>
        </w:rPr>
        <w:t>doklady preukazujúce úhradu poistného, doklady pre</w:t>
      </w:r>
      <w:r w:rsidR="00C57FE2">
        <w:rPr>
          <w:szCs w:val="22"/>
        </w:rPr>
        <w:t>ukazujúce skutočnosti týkajúce</w:t>
      </w:r>
      <w:r w:rsidR="00C57FE2" w:rsidRPr="00C57FE2">
        <w:rPr>
          <w:szCs w:val="22"/>
        </w:rPr>
        <w:t xml:space="preserve"> sa čistého príjmu v prípade projektov generujúcich príjmy</w:t>
      </w:r>
      <w:r w:rsidR="00EC64AE">
        <w:rPr>
          <w:szCs w:val="22"/>
        </w:rPr>
        <w:t>, kolaudačné rozhodnutie, rozhodnutie o uvedení stavby do riadneho užívania</w:t>
      </w:r>
      <w:r w:rsidRPr="00C57FE2">
        <w:rPr>
          <w:szCs w:val="22"/>
        </w:rPr>
        <w:t xml:space="preserve"> a pod.).</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Následnú monitorovaciu správu vypracováva prijímateľ, pričom v jej závere potvrdzuje čestným vyhlásením pravdivosť a úplnosť predložených informácií. </w:t>
      </w:r>
    </w:p>
    <w:p w:rsidR="00BD53F1" w:rsidRPr="000D77A6" w:rsidRDefault="00BD53F1" w:rsidP="00BC70EF">
      <w:pPr>
        <w:numPr>
          <w:ilvl w:val="0"/>
          <w:numId w:val="20"/>
        </w:numPr>
        <w:spacing w:before="120" w:after="120"/>
        <w:ind w:left="425" w:hanging="425"/>
        <w:jc w:val="both"/>
        <w:rPr>
          <w:szCs w:val="22"/>
        </w:rPr>
      </w:pPr>
      <w:r w:rsidRPr="000D77A6">
        <w:rPr>
          <w:szCs w:val="22"/>
        </w:rPr>
        <w:t xml:space="preserve">Následná monitorovacia správa sa vypracováva v systéme ITMS2014+. Formulár následnej monitorovacej správy v ITMS2014+ je stanovený vo Vzore CKO k následnej monitorovacej správe. Jednotlivé polia formulára sú vyplnené buď automaticky systémom ITMS2014+, na čo upozorňuje príslušná poznámka vo vzore CKO, alebo je potrebné ich vyplniť manuálne. V prípade, ak je možné vykázať plnenie niektorého merateľného ukazovateľa až po predložení záverečnej správy, skutočný stav plnenia takéhoto ukazovateľa je potrebné zadať manuálne. </w:t>
      </w:r>
    </w:p>
    <w:p w:rsidR="00BD53F1" w:rsidRPr="000D77A6" w:rsidRDefault="00BD53F1" w:rsidP="00BC70EF">
      <w:pPr>
        <w:numPr>
          <w:ilvl w:val="0"/>
          <w:numId w:val="20"/>
        </w:numPr>
        <w:spacing w:before="120" w:after="120"/>
        <w:ind w:left="425" w:hanging="425"/>
        <w:jc w:val="both"/>
        <w:rPr>
          <w:szCs w:val="22"/>
        </w:rPr>
      </w:pPr>
      <w:r w:rsidRPr="000D77A6">
        <w:rPr>
          <w:szCs w:val="22"/>
        </w:rPr>
        <w:t>Následná monitorovacia správa sa po jej vypracovaní zasiela prostredníctvom ITMS2014+</w:t>
      </w:r>
      <w:r w:rsidR="00AB39F4">
        <w:rPr>
          <w:szCs w:val="22"/>
        </w:rPr>
        <w:t xml:space="preserve"> na RO</w:t>
      </w:r>
      <w:r w:rsidRPr="000D77A6">
        <w:rPr>
          <w:szCs w:val="22"/>
        </w:rPr>
        <w:t xml:space="preserve">. Do obdobia zavedenia elektronického podpisu je potrebné zaslať okrem elektronickej podoby aj vytlačenú a ručne podpísanú formu následnej monitorovacej správy vygenerovanej systémom ITMS2014+. </w:t>
      </w:r>
    </w:p>
    <w:p w:rsidR="00104718" w:rsidRDefault="00BD53F1" w:rsidP="00031C8F">
      <w:pPr>
        <w:numPr>
          <w:ilvl w:val="0"/>
          <w:numId w:val="20"/>
        </w:numPr>
        <w:spacing w:before="120" w:after="120"/>
        <w:ind w:left="425" w:hanging="425"/>
        <w:jc w:val="both"/>
        <w:rPr>
          <w:szCs w:val="22"/>
        </w:rPr>
      </w:pPr>
      <w:r w:rsidRPr="000D77A6">
        <w:rPr>
          <w:szCs w:val="22"/>
        </w:rPr>
        <w:t xml:space="preserve">Následná monitorovacia správa sa predkladá </w:t>
      </w:r>
      <w:r w:rsidR="00031C8F" w:rsidRPr="00031C8F">
        <w:rPr>
          <w:szCs w:val="22"/>
        </w:rPr>
        <w:t>do 30 kalendárnych dní od uplynutia monitorovaného obdobia</w:t>
      </w:r>
      <w:r w:rsidRPr="000D77A6">
        <w:rPr>
          <w:szCs w:val="22"/>
        </w:rPr>
        <w:t xml:space="preserve">. Za prvé monitorované obdobie sa považuje obdobie od ukončenia </w:t>
      </w:r>
      <w:r w:rsidR="00E54612">
        <w:rPr>
          <w:szCs w:val="22"/>
        </w:rPr>
        <w:t xml:space="preserve">realizácie </w:t>
      </w:r>
      <w:r w:rsidRPr="000D77A6">
        <w:rPr>
          <w:szCs w:val="22"/>
        </w:rPr>
        <w:t xml:space="preserve">aktivít projektu (t.j. deň nasledujúci po poslednom dni monitorovaného obdobia záverečnej monitorovacej správy projektu) do 12 mesiacov odo dňa </w:t>
      </w:r>
      <w:r w:rsidR="0010495C">
        <w:rPr>
          <w:szCs w:val="22"/>
        </w:rPr>
        <w:t xml:space="preserve">finančného </w:t>
      </w:r>
      <w:r w:rsidRPr="000D77A6">
        <w:rPr>
          <w:szCs w:val="22"/>
        </w:rPr>
        <w:t>ukončenia projektu. Ďalšie následné monitorovacie správy sa predkladajú každých 12 mesiacov až do doby uplynutia obdobia udržateľnosti projektu.</w:t>
      </w:r>
      <w:r w:rsidR="002105EE">
        <w:rPr>
          <w:szCs w:val="22"/>
        </w:rPr>
        <w:t xml:space="preserve"> </w:t>
      </w:r>
    </w:p>
    <w:p w:rsidR="0033406E" w:rsidRDefault="00104718" w:rsidP="00BC70EF">
      <w:pPr>
        <w:numPr>
          <w:ilvl w:val="0"/>
          <w:numId w:val="20"/>
        </w:numPr>
        <w:spacing w:before="120" w:after="120"/>
        <w:ind w:left="425" w:hanging="425"/>
        <w:jc w:val="both"/>
        <w:rPr>
          <w:szCs w:val="22"/>
        </w:rPr>
      </w:pPr>
      <w:r w:rsidRPr="00104718">
        <w:rPr>
          <w:szCs w:val="22"/>
        </w:rPr>
        <w:lastRenderedPageBreak/>
        <w:t>V nadväznosti na vylúčenie vybraných projektov z povinnosti sledovania udržateľnosti projektu (pozri ods. 1) sa v prípade projektov ESF</w:t>
      </w:r>
      <w:r w:rsidR="0033406E">
        <w:rPr>
          <w:szCs w:val="22"/>
        </w:rPr>
        <w:t>/IZM</w:t>
      </w:r>
      <w:r w:rsidRPr="00104718">
        <w:rPr>
          <w:szCs w:val="22"/>
        </w:rPr>
        <w:t xml:space="preserve"> predkladá minimálne prvá následná monitorovacia správa za účelom poskytnutia informácie o plnení merateľných ukazovateľov dlhodobých výsledkov. </w:t>
      </w:r>
    </w:p>
    <w:p w:rsidR="00E616FC" w:rsidRPr="000D77A6" w:rsidRDefault="00E616FC" w:rsidP="00BC70EF">
      <w:pPr>
        <w:numPr>
          <w:ilvl w:val="0"/>
          <w:numId w:val="20"/>
        </w:numPr>
        <w:spacing w:before="120" w:after="120"/>
        <w:ind w:left="425" w:hanging="425"/>
        <w:jc w:val="both"/>
        <w:rPr>
          <w:szCs w:val="22"/>
        </w:rPr>
      </w:pPr>
      <w:r w:rsidRPr="000D77A6">
        <w:rPr>
          <w:szCs w:val="22"/>
        </w:rPr>
        <w:t xml:space="preserve">Riadiaci orgán je oprávnený rozhodnúť o forme výkonu kontroly následnej monitorovacej správy (t.j. formou administratívnej </w:t>
      </w:r>
      <w:r w:rsidR="008659C3">
        <w:rPr>
          <w:szCs w:val="22"/>
        </w:rPr>
        <w:t xml:space="preserve">finančnej </w:t>
      </w:r>
      <w:r w:rsidRPr="000D77A6">
        <w:rPr>
          <w:szCs w:val="22"/>
        </w:rPr>
        <w:t xml:space="preserve">kontroly </w:t>
      </w:r>
      <w:r w:rsidR="00577894">
        <w:rPr>
          <w:szCs w:val="22"/>
        </w:rPr>
        <w:t> kontrolovanej osoby</w:t>
      </w:r>
      <w:r w:rsidRPr="000D77A6">
        <w:rPr>
          <w:szCs w:val="22"/>
        </w:rPr>
        <w:t xml:space="preserve"> v zmysle § </w:t>
      </w:r>
      <w:r w:rsidR="008659C3">
        <w:rPr>
          <w:szCs w:val="22"/>
        </w:rPr>
        <w:t>8</w:t>
      </w:r>
      <w:r w:rsidRPr="000D77A6">
        <w:rPr>
          <w:szCs w:val="22"/>
        </w:rPr>
        <w:t xml:space="preserve"> zákona o finančnej kontrole, formou </w:t>
      </w:r>
      <w:r w:rsidR="005D2778">
        <w:rPr>
          <w:szCs w:val="22"/>
        </w:rPr>
        <w:t xml:space="preserve">finančnej </w:t>
      </w:r>
      <w:r w:rsidRPr="000D77A6">
        <w:rPr>
          <w:szCs w:val="22"/>
        </w:rPr>
        <w:t>kontroly na mieste v zmysle § 9 zákona o finančnej kontrole alebo formou inej kontroly, ktorú má vopred stanovenú v interných predpisoch</w:t>
      </w:r>
      <w:r w:rsidR="00B32FB3" w:rsidRPr="000D77A6">
        <w:rPr>
          <w:szCs w:val="22"/>
        </w:rPr>
        <w:t>)</w:t>
      </w:r>
      <w:r w:rsidRPr="000D77A6">
        <w:rPr>
          <w:szCs w:val="22"/>
        </w:rPr>
        <w:t xml:space="preserve">. V prípade zistenia nedostatkov v rámci výkonu kontroly projektu podľa § </w:t>
      </w:r>
      <w:r w:rsidR="008659C3">
        <w:rPr>
          <w:szCs w:val="22"/>
        </w:rPr>
        <w:t>8</w:t>
      </w:r>
      <w:r w:rsidRPr="000D77A6">
        <w:rPr>
          <w:szCs w:val="22"/>
        </w:rPr>
        <w:t xml:space="preserve"> a § 9 zákona o finančnej kontrole je RO povinný doručiť prijímateľovi návrh </w:t>
      </w:r>
      <w:r w:rsidR="008659C3">
        <w:rPr>
          <w:szCs w:val="22"/>
        </w:rPr>
        <w:t xml:space="preserve">čiastkovej správy z kontroly/návrh </w:t>
      </w:r>
      <w:r w:rsidRPr="000D77A6">
        <w:rPr>
          <w:szCs w:val="22"/>
        </w:rPr>
        <w:t xml:space="preserve">správy z kontroly na jeho prípadné námietky a po posúdení opodstatnenosti predložených námietok zaslať </w:t>
      </w:r>
      <w:r w:rsidR="008659C3">
        <w:rPr>
          <w:szCs w:val="22"/>
        </w:rPr>
        <w:t>čiastkovú správu z kontroly/</w:t>
      </w:r>
      <w:r w:rsidRPr="000D77A6">
        <w:rPr>
          <w:szCs w:val="22"/>
        </w:rPr>
        <w:t xml:space="preserve">správu z kontroly prijímateľovi. </w:t>
      </w:r>
      <w:r w:rsidR="00264615">
        <w:rPr>
          <w:szCs w:val="22"/>
        </w:rPr>
        <w:t>Dňom</w:t>
      </w:r>
      <w:r w:rsidR="00264615" w:rsidRPr="000D77A6">
        <w:rPr>
          <w:szCs w:val="22"/>
        </w:rPr>
        <w:t xml:space="preserve"> </w:t>
      </w:r>
      <w:r w:rsidRPr="000D77A6">
        <w:rPr>
          <w:szCs w:val="22"/>
        </w:rPr>
        <w:t xml:space="preserve">zaslania správy z kontroly prijímateľovi je kontrola ukončená. </w:t>
      </w:r>
      <w:r w:rsidR="008659C3" w:rsidRPr="00E16D18">
        <w:rPr>
          <w:szCs w:val="22"/>
        </w:rPr>
        <w:t xml:space="preserve">Zaslaním čiastkovej správy z kontroly je skončená tá časť finančnej kontroly, ktorej sa čiastková správa z kontroly týka.  </w:t>
      </w:r>
      <w:r w:rsidR="008659C3" w:rsidRPr="000D77A6">
        <w:rPr>
          <w:szCs w:val="22"/>
        </w:rPr>
        <w:t xml:space="preserve">    </w:t>
      </w:r>
      <w:r w:rsidRPr="000D77A6">
        <w:rPr>
          <w:szCs w:val="22"/>
        </w:rPr>
        <w:t xml:space="preserve">  </w:t>
      </w:r>
    </w:p>
    <w:p w:rsidR="00744A3A" w:rsidRPr="00744A3A" w:rsidRDefault="00817207" w:rsidP="00817207">
      <w:pPr>
        <w:pStyle w:val="MPCKO1"/>
        <w:ind w:left="518" w:hanging="518"/>
        <w:jc w:val="both"/>
      </w:pPr>
      <w:bookmarkStart w:id="10" w:name="_Toc415571705"/>
      <w:r>
        <w:t xml:space="preserve">6 </w:t>
      </w:r>
      <w:r w:rsidR="00744A3A">
        <w:t>Osobitné ustanovenia pre vykazovanie účastníkov projektu</w:t>
      </w:r>
      <w:bookmarkEnd w:id="10"/>
    </w:p>
    <w:p w:rsidR="006E2088" w:rsidRPr="000D77A6" w:rsidRDefault="006E2088" w:rsidP="00F32794">
      <w:pPr>
        <w:pStyle w:val="Odsekzoznamu"/>
        <w:numPr>
          <w:ilvl w:val="0"/>
          <w:numId w:val="13"/>
        </w:numPr>
        <w:spacing w:before="120" w:after="120"/>
        <w:ind w:left="425" w:hanging="425"/>
        <w:contextualSpacing w:val="0"/>
        <w:jc w:val="both"/>
      </w:pPr>
      <w:r w:rsidRPr="000D77A6">
        <w:t>Účastníkmi projektu sa rozumejú osoby priamo zúčastňujúce sa aktivít projektu (napr. frekventanti vzdelávacích programov, účastníci sociálnych programov), pričom platí, že na každého účastníka projektu sa viažu výdavky projektu. Účastníkmi projektu nie sú osoby, ktoré využívajú výsledky projektu nepriamo, t.j. nezúčastňujú sa priamo aktivít projektu.</w:t>
      </w:r>
    </w:p>
    <w:p w:rsidR="006E2088" w:rsidRPr="000D77A6" w:rsidRDefault="006E2088" w:rsidP="00F32794">
      <w:pPr>
        <w:pStyle w:val="Odsekzoznamu"/>
        <w:numPr>
          <w:ilvl w:val="0"/>
          <w:numId w:val="13"/>
        </w:numPr>
        <w:spacing w:before="120" w:after="120"/>
        <w:ind w:left="425" w:hanging="425"/>
        <w:contextualSpacing w:val="0"/>
        <w:jc w:val="both"/>
      </w:pPr>
      <w:r w:rsidRPr="000D77A6">
        <w:t xml:space="preserve">O každom účastníkovi musia byť evidované údaje týkajúce sa zamestnania, veku, vzdelania, znevýhodnenia a všetky tieto údaje musia byť rozdelené podľa pohlavia. </w:t>
      </w:r>
    </w:p>
    <w:p w:rsidR="006E2088" w:rsidRPr="000D77A6" w:rsidRDefault="006E2088" w:rsidP="00F32794">
      <w:pPr>
        <w:pStyle w:val="Odsekzoznamu"/>
        <w:numPr>
          <w:ilvl w:val="0"/>
          <w:numId w:val="13"/>
        </w:numPr>
        <w:spacing w:before="120" w:after="120"/>
        <w:ind w:left="425" w:hanging="425"/>
        <w:contextualSpacing w:val="0"/>
        <w:jc w:val="both"/>
      </w:pPr>
      <w:r w:rsidRPr="000D77A6">
        <w:t>V prípade, že sú údaje o účastníkovi získavané z</w:t>
      </w:r>
      <w:r w:rsidR="00816705" w:rsidRPr="000D77A6">
        <w:t xml:space="preserve"> externého </w:t>
      </w:r>
      <w:r w:rsidRPr="000D77A6">
        <w:t>registra</w:t>
      </w:r>
      <w:r w:rsidR="00816705" w:rsidRPr="000D77A6">
        <w:t xml:space="preserve"> (napr. zo Sociálnej poisťovne)</w:t>
      </w:r>
      <w:r w:rsidRPr="000D77A6">
        <w:t>, musí byť definícia, ktorú register využíva pri zbere dát</w:t>
      </w:r>
      <w:r w:rsidR="0033406E">
        <w:t>,</w:t>
      </w:r>
      <w:r w:rsidRPr="000D77A6">
        <w:t xml:space="preserve"> zhodná s definíciou uvádzanou nižšie.</w:t>
      </w:r>
    </w:p>
    <w:p w:rsidR="006E2088" w:rsidRPr="000D77A6" w:rsidRDefault="006E2088" w:rsidP="0033406E">
      <w:pPr>
        <w:pStyle w:val="Odsekzoznamu"/>
        <w:numPr>
          <w:ilvl w:val="0"/>
          <w:numId w:val="13"/>
        </w:numPr>
        <w:spacing w:before="120" w:after="120"/>
        <w:ind w:left="425" w:hanging="425"/>
        <w:contextualSpacing w:val="0"/>
        <w:jc w:val="both"/>
      </w:pPr>
      <w:r w:rsidRPr="000D77A6">
        <w:t>Údaje  týkajúce sa pohlavia, zamestnania, veku, vzdelania, znevýhodnenia musia byť získané pri vstupe účastníka do aktivity. Pokiaľ tieto údaje poskytne pred začatím účasti na aktivite (napr. formou prihlášky), v deň reálneho začatia účasti na aktivite (napr. 1.</w:t>
      </w:r>
      <w:r w:rsidR="00816705" w:rsidRPr="000D77A6">
        <w:t xml:space="preserve"> </w:t>
      </w:r>
      <w:r w:rsidRPr="000D77A6">
        <w:t>deň skolenia) musí byť overená platnosť poskytnutých údajov.</w:t>
      </w:r>
    </w:p>
    <w:p w:rsidR="006E2088" w:rsidRPr="000D77A6" w:rsidRDefault="006E2088" w:rsidP="00AB61A0">
      <w:pPr>
        <w:pStyle w:val="Odsekzoznamu"/>
        <w:numPr>
          <w:ilvl w:val="0"/>
          <w:numId w:val="13"/>
        </w:numPr>
        <w:spacing w:before="120" w:after="120"/>
        <w:ind w:left="425" w:hanging="425"/>
        <w:contextualSpacing w:val="0"/>
        <w:jc w:val="both"/>
      </w:pPr>
      <w:r w:rsidRPr="000D77A6">
        <w:t>Všetci účastníci, ktorí sa priamo zúčastňujú aktivít a poskytli údaje týkajúce sa zamestnania, veku, vzdelania, znevýhodnenia</w:t>
      </w:r>
      <w:r w:rsidR="0033406E">
        <w:t>,</w:t>
      </w:r>
      <w:r w:rsidRPr="000D77A6">
        <w:t xml:space="preserve"> budú započítaní bez ohľadu na to, či sa zúčastnili aktivity/aktivít projektu v plánovanom rozsahu alebo opustili aktivitu predčasne. V prípade, že účastník, ktorý predčasne opustil aktivitu</w:t>
      </w:r>
      <w:r w:rsidR="0033406E">
        <w:t>,</w:t>
      </w:r>
      <w:r w:rsidRPr="000D77A6">
        <w:t xml:space="preserve"> sa neskôr vráti, upraví sa len </w:t>
      </w:r>
      <w:r w:rsidR="000D52F4" w:rsidRPr="000D77A6">
        <w:t>údaj</w:t>
      </w:r>
      <w:r w:rsidRPr="000D77A6">
        <w:t xml:space="preserve"> o jeho odchode. </w:t>
      </w:r>
      <w:r w:rsidR="000D52F4" w:rsidRPr="000D77A6">
        <w:t>Údaj</w:t>
      </w:r>
      <w:r w:rsidRPr="000D77A6">
        <w:t xml:space="preserve"> o vstupe do aktivity ostáva nemenný, t.j. ostávajú v platnosti údaje zaevidované a platné pri prvotnom vstúpení do aktivity daného projektu.</w:t>
      </w:r>
    </w:p>
    <w:p w:rsidR="006E2088" w:rsidRPr="000D77A6" w:rsidRDefault="006E2088">
      <w:pPr>
        <w:pStyle w:val="Odsekzoznamu"/>
        <w:numPr>
          <w:ilvl w:val="0"/>
          <w:numId w:val="13"/>
        </w:numPr>
        <w:spacing w:before="120" w:after="120"/>
        <w:ind w:left="425" w:hanging="425"/>
        <w:contextualSpacing w:val="0"/>
        <w:jc w:val="both"/>
      </w:pPr>
      <w:r w:rsidRPr="000D77A6">
        <w:t>Účastník podporený v rámci jedného projektu je započítaný len raz</w:t>
      </w:r>
      <w:r w:rsidR="007240F5" w:rsidRPr="000D77A6">
        <w:t>,</w:t>
      </w:r>
      <w:r w:rsidRPr="000D77A6">
        <w:t xml:space="preserve"> bez ohľadu na to, koľkých aktivít sa v rámci projektu zúčastní.</w:t>
      </w:r>
    </w:p>
    <w:p w:rsidR="006E2088" w:rsidRPr="000D77A6" w:rsidRDefault="000D77A6" w:rsidP="000D77A6">
      <w:pPr>
        <w:pStyle w:val="MPCKO2"/>
      </w:pPr>
      <w:bookmarkStart w:id="11" w:name="_Toc415571706"/>
      <w:r>
        <w:t xml:space="preserve">6.1 </w:t>
      </w:r>
      <w:r w:rsidR="006E2088" w:rsidRPr="000D77A6">
        <w:t>Pravidlá vykazovania účastníka podľa jednotlivých kategórií</w:t>
      </w:r>
      <w:bookmarkEnd w:id="11"/>
    </w:p>
    <w:p w:rsidR="006E2088" w:rsidRPr="000D77A6" w:rsidRDefault="006E2088" w:rsidP="006E2088">
      <w:pPr>
        <w:jc w:val="both"/>
        <w:rPr>
          <w:b/>
        </w:rPr>
      </w:pPr>
    </w:p>
    <w:p w:rsidR="006E2088" w:rsidRPr="000D77A6" w:rsidRDefault="006E2088" w:rsidP="006E2088">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0D77A6">
        <w:t>V rámci údajov týkajúcich sa zamestnania, môže byť účastník evidovaný len v jednej z nasledovných kategórií:</w:t>
      </w:r>
    </w:p>
    <w:p w:rsidR="006E2088" w:rsidRPr="000D77A6" w:rsidRDefault="006E2088" w:rsidP="00CC1238">
      <w:pPr>
        <w:pStyle w:val="Odsekzoznamu"/>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jc w:val="both"/>
      </w:pPr>
      <w:r w:rsidRPr="000D77A6">
        <w:lastRenderedPageBreak/>
        <w:t>zamestnané osoby</w:t>
      </w:r>
      <w:r w:rsidR="007240F5" w:rsidRPr="000D77A6">
        <w:t>,</w:t>
      </w:r>
      <w:r w:rsidRPr="000D77A6">
        <w:t xml:space="preserve"> vrátane samostatne zárobkovo činných osôb</w:t>
      </w:r>
    </w:p>
    <w:p w:rsidR="006E2088" w:rsidRPr="000D77A6" w:rsidRDefault="006E2088" w:rsidP="00CC1238">
      <w:pPr>
        <w:pStyle w:val="Odsekzoznamu"/>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jc w:val="both"/>
      </w:pPr>
      <w:r w:rsidRPr="000D77A6">
        <w:t>n</w:t>
      </w:r>
      <w:r w:rsidR="007240F5" w:rsidRPr="000D77A6">
        <w:t>ezamestnané osoby,</w:t>
      </w:r>
      <w:r w:rsidRPr="000D77A6">
        <w:t xml:space="preserve"> vrátane dlhodobo nezamestnaných</w:t>
      </w:r>
    </w:p>
    <w:p w:rsidR="006E2088" w:rsidRPr="000D77A6" w:rsidRDefault="006E2088" w:rsidP="00CC1238">
      <w:pPr>
        <w:pStyle w:val="Odsekzoznamu"/>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jc w:val="both"/>
      </w:pPr>
      <w:r w:rsidRPr="000D77A6">
        <w:t>neaktívne osoby</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Zamestnané osoby, vrátane samostatne zárobkovo činných osôb – </w:t>
      </w:r>
      <w:r w:rsidRPr="000D77A6">
        <w:t>Zamestnané osoby sú osoby</w:t>
      </w:r>
      <w:r w:rsidR="00AF3063" w:rsidRPr="000D77A6">
        <w:t>, ktoré dovŕšili vek</w:t>
      </w:r>
      <w:r w:rsidRPr="000D77A6">
        <w:t xml:space="preserve"> 15 rokov, ktoré vykonávajú prácu za mzdu, za účelom zisku alebo rodinného zisku alebo keď nie sú v práci, ale majú prácu alebo podnikanie, z ktorého dočasne absentujú napr. </w:t>
      </w:r>
      <w:r w:rsidR="00191EC2" w:rsidRPr="000D77A6">
        <w:t>z dôvodu uznania za dočasne práce neschopného</w:t>
      </w:r>
      <w:r w:rsidRPr="000D77A6">
        <w:t>. Zamestnané osoby zahŕňajú</w:t>
      </w:r>
      <w:r w:rsidRPr="000D77A6">
        <w:rPr>
          <w:b/>
        </w:rPr>
        <w:t xml:space="preserve"> </w:t>
      </w:r>
      <w:r w:rsidRPr="000D77A6">
        <w:t xml:space="preserve">samostatne zárobkovo činné osoby aj osoby na materskej alebo rodičovskej dovolenke. Za SZČO sú považované osoby podľa </w:t>
      </w:r>
      <w:r w:rsidR="00AF3063" w:rsidRPr="000D77A6">
        <w:t>§</w:t>
      </w:r>
      <w:r w:rsidRPr="000D77A6">
        <w:t xml:space="preserve"> 5 zákona </w:t>
      </w:r>
      <w:r w:rsidR="00191EC2" w:rsidRPr="000D77A6">
        <w:t xml:space="preserve">č. </w:t>
      </w:r>
      <w:r w:rsidRPr="000D77A6">
        <w:t>5/2004 Z.</w:t>
      </w:r>
      <w:r w:rsidR="00AF3063" w:rsidRPr="000D77A6">
        <w:t xml:space="preserve"> </w:t>
      </w:r>
      <w:r w:rsidRPr="000D77A6">
        <w:t>z. o službách zamestnanosti a o zmene a doplnení niektorých zákonov</w:t>
      </w:r>
      <w:r w:rsidR="00191EC2" w:rsidRPr="000D77A6">
        <w:t xml:space="preserve"> v znení neskorších predpisov</w:t>
      </w:r>
      <w:r w:rsidRPr="000D77A6">
        <w:t>. Pre projekty podporené v rámci IZM nie je relevantné sledovanie účastníkov v rámci tejto kategórie.</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Nezamestnané osoby, vrátane dlhodobo nezamestnaných – </w:t>
      </w:r>
      <w:r w:rsidRPr="000D77A6">
        <w:t xml:space="preserve">nezamestnanou osobou je osoba v zmysle </w:t>
      </w:r>
      <w:r w:rsidR="00191EC2" w:rsidRPr="000D77A6">
        <w:t>§</w:t>
      </w:r>
      <w:r w:rsidRPr="000D77A6">
        <w:t xml:space="preserve"> 6 (uchádzač o zamestnanie) zákona </w:t>
      </w:r>
      <w:r w:rsidR="00191EC2" w:rsidRPr="000D77A6">
        <w:t xml:space="preserve">č. </w:t>
      </w:r>
      <w:r w:rsidRPr="000D77A6">
        <w:t>5/2004 Z.</w:t>
      </w:r>
      <w:r w:rsidR="00191EC2" w:rsidRPr="000D77A6">
        <w:t xml:space="preserve"> </w:t>
      </w:r>
      <w:r w:rsidRPr="000D77A6">
        <w:t>z. o službách zamestnanosti a o zmene a doplnení niektorých zákonov</w:t>
      </w:r>
      <w:r w:rsidR="00191EC2" w:rsidRPr="000D77A6">
        <w:t xml:space="preserve"> v znení neskorších predpisov</w:t>
      </w:r>
      <w:r w:rsidRPr="000D77A6">
        <w:t xml:space="preserve">. Ide o osoby, ktoré sú bez práce, sú k dispozícii pre prácu a aktívne hľadajú prácu, a zároveň </w:t>
      </w:r>
      <w:r w:rsidR="00484037">
        <w:t>sú</w:t>
      </w:r>
      <w:r w:rsidRPr="000D77A6">
        <w:t xml:space="preserve"> registrované na úradoch práce. </w:t>
      </w:r>
    </w:p>
    <w:p w:rsidR="006E2088" w:rsidRPr="000D77A6" w:rsidRDefault="006E2088" w:rsidP="003B3FF6">
      <w:pPr>
        <w:pStyle w:val="Odsekzoznamu"/>
        <w:numPr>
          <w:ilvl w:val="0"/>
          <w:numId w:val="15"/>
        </w:numPr>
        <w:spacing w:before="120" w:after="120"/>
        <w:ind w:left="425" w:hanging="425"/>
        <w:contextualSpacing w:val="0"/>
        <w:jc w:val="both"/>
      </w:pPr>
      <w:r w:rsidRPr="000D77A6">
        <w:rPr>
          <w:b/>
        </w:rPr>
        <w:t xml:space="preserve">Dlhodobo nezamestnané osoby - </w:t>
      </w:r>
      <w:r w:rsidRPr="000D77A6">
        <w:t>dlhodobo nezamestnaní sú osoby nezamestnané viac ako 12 mesiacov. Dlhodobo nezamestnané osoby sú podskupinou kategórie  „Nezamestnané osoby, vrátane dlhodobo nezamestnaných“, preto ich počet musí byť nižší alebo rovnajúci sa počtu osôb uvádzaných v rámci kategórie „Nezamestnané osoby, vrátane dlhodobo nezamestnaných“.</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Neaktívne osoby - </w:t>
      </w:r>
      <w:r w:rsidRPr="000D77A6">
        <w:t>uvádza sa celkový počet neaktívnych osôb, vrátane študujúcich, účastníkov odbornej prípravy, alebo dôchodcov, osôb, ktoré zanechali podnikanie, osôb s trvalým zdravotným postihnutím, osôb trvale v domácnosti, alebo iných</w:t>
      </w:r>
      <w:r w:rsidR="00191EC2" w:rsidRPr="000D77A6">
        <w:t>.</w:t>
      </w:r>
      <w:r w:rsidRPr="000D77A6">
        <w:rPr>
          <w:b/>
        </w:rPr>
        <w:t xml:space="preserve"> </w:t>
      </w:r>
      <w:r w:rsidR="00484037" w:rsidRPr="00771314">
        <w:t xml:space="preserve">Neaktívnou </w:t>
      </w:r>
      <w:r w:rsidR="00484037">
        <w:t xml:space="preserve">osobou je aj osoba podľa </w:t>
      </w:r>
      <w:r w:rsidR="00484037" w:rsidRPr="00771314">
        <w:t xml:space="preserve">§ </w:t>
      </w:r>
      <w:r w:rsidR="00484037">
        <w:t>7 zákona č.</w:t>
      </w:r>
      <w:r w:rsidR="00FB70C2">
        <w:t xml:space="preserve"> </w:t>
      </w:r>
      <w:r w:rsidR="00484037">
        <w:t>5/2004 Z.</w:t>
      </w:r>
      <w:r w:rsidR="00C93CB2">
        <w:t xml:space="preserve"> </w:t>
      </w:r>
      <w:r w:rsidR="00484037">
        <w:t>z. o službách zamestnanosti a o zmene a doplnení niektorých zákonov v znení neskorších predpisov (záujemca o zamestnanie).</w:t>
      </w:r>
      <w:r w:rsidRPr="000D77A6">
        <w:rPr>
          <w:b/>
        </w:rPr>
        <w:t xml:space="preserve"> </w:t>
      </w:r>
    </w:p>
    <w:p w:rsidR="006E2088" w:rsidRPr="000D77A6" w:rsidRDefault="006E2088" w:rsidP="003B3FF6">
      <w:pPr>
        <w:pStyle w:val="Odsekzoznamu"/>
        <w:numPr>
          <w:ilvl w:val="0"/>
          <w:numId w:val="15"/>
        </w:numPr>
        <w:spacing w:before="120" w:after="120"/>
        <w:ind w:left="425" w:hanging="425"/>
        <w:contextualSpacing w:val="0"/>
        <w:jc w:val="both"/>
        <w:rPr>
          <w:b/>
        </w:rPr>
      </w:pPr>
      <w:r w:rsidRPr="000D77A6">
        <w:rPr>
          <w:b/>
        </w:rPr>
        <w:t xml:space="preserve">Neaktívne osoby, ktoré nie sú v procese vzdelávania ani  odbornej prípravy – </w:t>
      </w:r>
      <w:r w:rsidR="00191EC2" w:rsidRPr="000D77A6">
        <w:t xml:space="preserve">uvádza sa celkový počet </w:t>
      </w:r>
      <w:r w:rsidR="006E5904" w:rsidRPr="000D77A6">
        <w:t>neaktívnych osôb, okrem študujúcich osôb a účastníkov odbornej prípravy. I</w:t>
      </w:r>
      <w:r w:rsidRPr="000D77A6">
        <w:t>de o podskupinu kategórie „Neaktívne osoby“, preto ich počet musí byť nižší alebo sa rovnať počtu v rámci kategórie „Neaktívne osoby“.</w:t>
      </w:r>
    </w:p>
    <w:p w:rsidR="006E2088" w:rsidRPr="000D77A6" w:rsidRDefault="006E2088" w:rsidP="006E2088">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0D77A6">
        <w:t>V rámci údajov týkajúcich sa veku, môže byť účastník evidovaný len v jednej z nasledovných kategórií:</w:t>
      </w:r>
    </w:p>
    <w:p w:rsidR="006E2088" w:rsidRPr="000D77A6" w:rsidRDefault="006E2088" w:rsidP="00CC1238">
      <w:pPr>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contextualSpacing/>
        <w:jc w:val="both"/>
      </w:pPr>
      <w:r w:rsidRPr="000D77A6">
        <w:t>osoby vo veku do 25 rokov (ESF, IZM)</w:t>
      </w:r>
    </w:p>
    <w:p w:rsidR="006E2088" w:rsidRPr="000D77A6" w:rsidRDefault="006E2088" w:rsidP="00CC1238">
      <w:pPr>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contextualSpacing/>
        <w:jc w:val="both"/>
      </w:pPr>
      <w:r w:rsidRPr="000D77A6">
        <w:t>osoby vo veku 25 – 30 rokov (IZM)</w:t>
      </w:r>
    </w:p>
    <w:p w:rsidR="006E2088" w:rsidRPr="000D77A6" w:rsidRDefault="006E2088" w:rsidP="00CC1238">
      <w:pPr>
        <w:numPr>
          <w:ilvl w:val="0"/>
          <w:numId w:val="14"/>
        </w:numPr>
        <w:pBdr>
          <w:top w:val="single" w:sz="4" w:space="1" w:color="auto"/>
          <w:left w:val="single" w:sz="4" w:space="23" w:color="auto"/>
          <w:bottom w:val="single" w:sz="4" w:space="1" w:color="auto"/>
          <w:right w:val="single" w:sz="4" w:space="4" w:color="auto"/>
          <w:between w:val="single" w:sz="4" w:space="1" w:color="auto"/>
          <w:bar w:val="single" w:sz="4" w:color="auto"/>
        </w:pBdr>
        <w:contextualSpacing/>
        <w:jc w:val="both"/>
      </w:pPr>
      <w:r w:rsidRPr="000D77A6">
        <w:t>osoby vo veku nad 54 rokov (ESF)</w:t>
      </w:r>
    </w:p>
    <w:p w:rsidR="006E2088" w:rsidRPr="000D77A6" w:rsidRDefault="006E2088" w:rsidP="00C22D4C">
      <w:pPr>
        <w:pStyle w:val="Odsekzoznamu"/>
        <w:numPr>
          <w:ilvl w:val="0"/>
          <w:numId w:val="15"/>
        </w:numPr>
        <w:spacing w:before="120" w:after="120"/>
        <w:ind w:left="425" w:hanging="426"/>
        <w:contextualSpacing w:val="0"/>
        <w:jc w:val="both"/>
      </w:pPr>
      <w:r w:rsidRPr="000D77A6">
        <w:t>Všetky merateľné ukazovatele, resp. iné údaje, ktoré využívajú parameter veku</w:t>
      </w:r>
      <w:r w:rsidR="00F105C2" w:rsidRPr="000D77A6">
        <w:t>,</w:t>
      </w:r>
      <w:r w:rsidRPr="000D77A6">
        <w:t xml:space="preserve"> berú ako relevantný údaj vek dosiahnutý v čase vstupu do aktivity (aj keď účastník v priebehu aktivity daný vek prekročí). </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vo veku do 25  rokov – </w:t>
      </w:r>
      <w:r w:rsidRPr="000D77A6">
        <w:t>osoby, ktoré v deň vstupu do aktivity dosiahli vek maximálne 25 rokov mínus 1 deň.</w:t>
      </w:r>
      <w:r w:rsidRPr="000D77A6">
        <w:rPr>
          <w:b/>
        </w:rPr>
        <w:t xml:space="preserve"> </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vo veku 25 -30 rokov -  </w:t>
      </w:r>
      <w:r w:rsidRPr="000D77A6">
        <w:t xml:space="preserve">osoby, ktoré v deň vstupu do aktivity  dosiahli vek v rozmedzí </w:t>
      </w:r>
      <w:r w:rsidR="00F105C2" w:rsidRPr="000D77A6">
        <w:t xml:space="preserve">od </w:t>
      </w:r>
      <w:r w:rsidRPr="000D77A6">
        <w:t xml:space="preserve">25 rokov až po hranicu 30 rokov mínus 1 deň. </w:t>
      </w:r>
      <w:r w:rsidR="00F105C2" w:rsidRPr="000D77A6">
        <w:t>Uvedený údaj je r</w:t>
      </w:r>
      <w:r w:rsidRPr="000D77A6">
        <w:t>elevantn</w:t>
      </w:r>
      <w:r w:rsidR="00F105C2" w:rsidRPr="000D77A6">
        <w:t>ý</w:t>
      </w:r>
      <w:r w:rsidRPr="000D77A6">
        <w:t xml:space="preserve"> </w:t>
      </w:r>
      <w:r w:rsidR="00F105C2" w:rsidRPr="000D77A6">
        <w:t xml:space="preserve">len </w:t>
      </w:r>
      <w:r w:rsidRPr="000D77A6">
        <w:t>pre účastníkov projektov podporených v rámci IZM.</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lastRenderedPageBreak/>
        <w:t xml:space="preserve">Osoby vo veku nad 54 rokov - </w:t>
      </w:r>
      <w:r w:rsidR="00F105C2" w:rsidRPr="000D77A6">
        <w:t xml:space="preserve">osoby, ktoré </w:t>
      </w:r>
      <w:r w:rsidRPr="000D77A6">
        <w:t>najneskôr v deň vstupu do aktivity  dosiahli vek 54 rokov. Pre projekty podporené v rámci IZM nie je relevantné sledovanie účastníkov v rámci tejto kategórie.</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vo veku nad 54 rokov, ktoré sú nezamestnané, vrátane dlhodobo nezamestnaných alebo  neaktívnych osôb, ktoré  nie sú v procese vzdelávania ani odbornej prípravy – </w:t>
      </w:r>
      <w:r w:rsidRPr="000D77A6">
        <w:t>viď vyššie uvedené čiastkové charakteristiky.</w:t>
      </w:r>
    </w:p>
    <w:p w:rsidR="006E2088" w:rsidRPr="000D77A6" w:rsidRDefault="006E2088" w:rsidP="00C22D4C">
      <w:pPr>
        <w:pStyle w:val="Odsekzoznamu"/>
        <w:numPr>
          <w:ilvl w:val="0"/>
          <w:numId w:val="15"/>
        </w:numPr>
        <w:spacing w:before="120" w:after="120"/>
        <w:ind w:left="425" w:hanging="426"/>
        <w:contextualSpacing w:val="0"/>
        <w:jc w:val="both"/>
      </w:pPr>
      <w:r w:rsidRPr="000D77A6">
        <w:t>Účastníci môžu kumulovať niekoľko typov znevýhodnenia</w:t>
      </w:r>
      <w:r w:rsidR="002A1494">
        <w:t>, t.j. j</w:t>
      </w:r>
      <w:r w:rsidR="00FB70C2" w:rsidRPr="00771314">
        <w:t xml:space="preserve">eden účastník </w:t>
      </w:r>
      <w:r w:rsidR="00FB70C2">
        <w:t>tak</w:t>
      </w:r>
      <w:r w:rsidR="00FB70C2" w:rsidRPr="00771314">
        <w:t xml:space="preserve"> môže byť začlenený do viacerých znevýhodnených skupín</w:t>
      </w:r>
      <w:r w:rsidR="00FB70C2">
        <w:t xml:space="preserve">. </w:t>
      </w:r>
      <w:r w:rsidRPr="000D77A6">
        <w:t>Súčet účastníkov rozdelených podľa znevýhodnenia preto môže byť vyšší ako celkový počet účastníkov.</w:t>
      </w:r>
    </w:p>
    <w:p w:rsidR="006E2088" w:rsidRPr="000D77A6" w:rsidRDefault="006E2088" w:rsidP="00C22D4C">
      <w:pPr>
        <w:pStyle w:val="Odsekzoznamu"/>
        <w:numPr>
          <w:ilvl w:val="0"/>
          <w:numId w:val="15"/>
        </w:numPr>
        <w:spacing w:before="120" w:after="120"/>
        <w:ind w:left="425" w:hanging="426"/>
        <w:contextualSpacing w:val="0"/>
        <w:jc w:val="both"/>
      </w:pPr>
      <w:r w:rsidRPr="000D77A6">
        <w:rPr>
          <w:b/>
        </w:rPr>
        <w:t xml:space="preserve">Migranti, účastníci s cudzím pôvodom, menšiny (vrátane </w:t>
      </w:r>
      <w:proofErr w:type="spellStart"/>
      <w:r w:rsidRPr="000D77A6">
        <w:rPr>
          <w:b/>
        </w:rPr>
        <w:t>marginalizovaných</w:t>
      </w:r>
      <w:proofErr w:type="spellEnd"/>
      <w:r w:rsidRPr="000D77A6">
        <w:rPr>
          <w:b/>
        </w:rPr>
        <w:t xml:space="preserve"> komunít ako sú napríklad Rómovia). </w:t>
      </w:r>
      <w:r w:rsidRPr="000D77A6">
        <w:t>Prisťahovalcom (migrantom) je podľa Nariadenia EP a Rady (ES) č. 862/2007 z 11. júla 2007 o štatistike Spoločenstva o migrácii a medzinárodnej ochrane, ktorým sa zrušuje nariadenie Rady (EHS) č. 311/76 o zostavovaní štatistík zahraničných pracovníkov taká osoba, ktorá predtým mala obvyklý pobyt v inom členskom štáte alebo v tretej krajine a ktorá získa svoj obvyklý pobyt na území členského štátu na obdobie, ktoré trvá, alebo sa očakáva, že bude trvať aspoň dvanásť mesiacov.</w:t>
      </w:r>
    </w:p>
    <w:p w:rsidR="006E2088" w:rsidRPr="000D77A6" w:rsidRDefault="006E2088" w:rsidP="00C22D4C">
      <w:pPr>
        <w:spacing w:before="120" w:after="120"/>
        <w:ind w:left="425"/>
        <w:jc w:val="both"/>
        <w:rPr>
          <w:b/>
        </w:rPr>
      </w:pPr>
      <w:r w:rsidRPr="000D77A6">
        <w:t xml:space="preserve">Účastník s cudzím pôvodom je osoba, ktorej rodičia sa narodili mimo územia Slovenskej republiky. Pojem menšina v spojitosti so znevýhodnením sa môže vzťahovať na akúkoľvek skupinu, ktorá na základe svojich charakteristických znakov  je predmetom diskriminácie, pričom môže ísť o národnostnú menšinu, etnickú skupinu, sociálne vylúčené skupiny alebo </w:t>
      </w:r>
      <w:proofErr w:type="spellStart"/>
      <w:r w:rsidRPr="000D77A6">
        <w:t>marginalizované</w:t>
      </w:r>
      <w:proofErr w:type="spellEnd"/>
      <w:r w:rsidRPr="000D77A6">
        <w:t xml:space="preserve"> komunity ako sú napríklad Rómovia.</w:t>
      </w:r>
    </w:p>
    <w:p w:rsidR="00456F5B" w:rsidRPr="000D77A6" w:rsidRDefault="006E2088" w:rsidP="00C22D4C">
      <w:pPr>
        <w:pStyle w:val="Odsekzoznamu"/>
        <w:numPr>
          <w:ilvl w:val="0"/>
          <w:numId w:val="15"/>
        </w:numPr>
        <w:spacing w:before="120" w:after="120"/>
        <w:ind w:left="425" w:hanging="426"/>
        <w:contextualSpacing w:val="0"/>
        <w:jc w:val="both"/>
      </w:pPr>
      <w:r w:rsidRPr="000D77A6">
        <w:rPr>
          <w:b/>
        </w:rPr>
        <w:t xml:space="preserve">Účastníci so zdravotným  postihnutím - </w:t>
      </w:r>
      <w:r w:rsidR="00456F5B" w:rsidRPr="000D77A6">
        <w:t>osobou so</w:t>
      </w:r>
      <w:r w:rsidR="00456F5B" w:rsidRPr="000D77A6">
        <w:rPr>
          <w:b/>
        </w:rPr>
        <w:t xml:space="preserve"> </w:t>
      </w:r>
      <w:r w:rsidR="00456F5B" w:rsidRPr="000D77A6">
        <w:t>zdravotným postihnutím je osoba v zmysle  § 9 zákona č. 5/2004 Z. z. o službách zamestnanosti a o zmene a doplnení niektorých zákonov v znení neskorších predpisov.</w:t>
      </w:r>
    </w:p>
    <w:p w:rsidR="006E2088" w:rsidRPr="000D77A6" w:rsidRDefault="006E2088" w:rsidP="00C22D4C">
      <w:pPr>
        <w:pStyle w:val="Odsekzoznamu"/>
        <w:numPr>
          <w:ilvl w:val="0"/>
          <w:numId w:val="15"/>
        </w:numPr>
        <w:spacing w:before="120" w:after="120"/>
        <w:ind w:left="425" w:hanging="426"/>
        <w:contextualSpacing w:val="0"/>
        <w:jc w:val="both"/>
      </w:pPr>
      <w:r w:rsidRPr="000D77A6">
        <w:rPr>
          <w:b/>
        </w:rPr>
        <w:t xml:space="preserve">Iné znevýhodnené osoby – </w:t>
      </w:r>
      <w:r w:rsidRPr="000D77A6">
        <w:t>sú také osoby, ktoré majú istú formu znevýhodnenia, ale nespadajú do kategórie „Migranti, účastníci s cudzím pôvodom, menšiny“, ani do kategórie „Účastníci so zdravotným postihnutím“. Patria sem osoby trpiace materiálnou depriváciou, žijúce pod hranicou chudoby (podľa prieskumu ŠÚ SR) a</w:t>
      </w:r>
      <w:r w:rsidR="0098274E" w:rsidRPr="000D77A6">
        <w:t xml:space="preserve"> </w:t>
      </w:r>
      <w:r w:rsidRPr="000D77A6">
        <w:t>pod. V rámci tejto kategórie sú vykazovaní aj bezdomovci alebo osoby postihnuté vylúčením z bývania a osoby z vidieckych oblastí.</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Bezdomovci alebo osoby postihnuté vylúčením z bývania – </w:t>
      </w:r>
      <w:r w:rsidRPr="000D77A6">
        <w:t>údaje o tejto cieľovej skupine sa vykážu len raz a to na reprezentatívnej vzorke</w:t>
      </w:r>
      <w:r w:rsidR="00484037">
        <w:rPr>
          <w:rStyle w:val="Odkaznapoznmkupodiarou"/>
        </w:rPr>
        <w:footnoteReference w:id="6"/>
      </w:r>
      <w:r w:rsidRPr="000D77A6">
        <w:t xml:space="preserve"> z údajov o účastníkoch, ktoré </w:t>
      </w:r>
      <w:r w:rsidR="002E063C">
        <w:t>sú</w:t>
      </w:r>
      <w:r w:rsidR="002E063C" w:rsidRPr="000D77A6">
        <w:t xml:space="preserve"> </w:t>
      </w:r>
      <w:r w:rsidRPr="000D77A6">
        <w:t>k dispozícii do 31.12.2016. Za účelom konzistentnosti údajov sú takéto osoby počas celého trvania projektu započítavané pod kategóriu „Iné znevýhodnené osoby“.</w:t>
      </w:r>
      <w:r w:rsidR="00484037">
        <w:t xml:space="preserve"> </w:t>
      </w:r>
      <w:r w:rsidR="00484037" w:rsidRPr="00AF7A87">
        <w:t>Ide o osoby, ktoré žijú bez prístrešku, alebo bez bytu (nocľaháreň, chatka), bývajú v neistých podmienkach alebo  bývajú  v neprimeraných podmienkach.</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z vidieckych oblastí - </w:t>
      </w:r>
      <w:r w:rsidRPr="000D77A6">
        <w:t xml:space="preserve">údaje o tejto cieľovej skupine sa vykážu len raz a to na reprezentatívnej vzorke z údajov o účastníkoch, ktoré </w:t>
      </w:r>
      <w:r w:rsidR="002E063C">
        <w:t>sú</w:t>
      </w:r>
      <w:r w:rsidR="002E063C" w:rsidRPr="000D77A6">
        <w:t xml:space="preserve"> </w:t>
      </w:r>
      <w:r w:rsidRPr="000D77A6">
        <w:t>k dispozícii do 31.12.2016. Za účelom konzistentnosti údajov sú takéto osoby počas celého trvania projektu započítavané pod kategóriu „Iné znevýhodnené osoby“.</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lastRenderedPageBreak/>
        <w:t xml:space="preserve">Účastníci, ktorí žijú v domácnostiach nezamestnaných osôb – </w:t>
      </w:r>
      <w:r w:rsidRPr="000D77A6">
        <w:t>žiadny z členov domácnosti nie je zamestnaný, t.j. všetci členovia domácnosti bez o</w:t>
      </w:r>
      <w:r w:rsidR="00A8224B" w:rsidRPr="000D77A6">
        <w:t>hľadu na vek sú buď nezamestnané osoby alebo neaktívne osoby</w:t>
      </w:r>
      <w:r w:rsidRPr="000D77A6">
        <w:t xml:space="preserve">. </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Účastníci, ktorí žijú v domácnostiach nezamestnaných osôb so závislými deťmi - </w:t>
      </w:r>
      <w:r w:rsidRPr="000D77A6">
        <w:t>žiadny z členov domácnosti nie je zamestnaný, t.j. všetci členovia domácnosti bez ohľadu na vek sú buď nezamestnan</w:t>
      </w:r>
      <w:r w:rsidR="00A8224B" w:rsidRPr="000D77A6">
        <w:t>é osoby</w:t>
      </w:r>
      <w:r w:rsidRPr="000D77A6">
        <w:t xml:space="preserve"> alebo neaktívn</w:t>
      </w:r>
      <w:r w:rsidR="00A8224B" w:rsidRPr="000D77A6">
        <w:t>e osoby</w:t>
      </w:r>
      <w:r w:rsidRPr="000D77A6">
        <w:t xml:space="preserve"> a zároveň v domácnosti sa nachádza jedno alebo viac vyživovaných detí vo veku od 0 do 17 rokov alebo v prípade denného štúdia na VŠ aj vo veku 18- 2</w:t>
      </w:r>
      <w:r w:rsidR="00A8224B" w:rsidRPr="000D77A6">
        <w:t>6</w:t>
      </w:r>
      <w:r w:rsidRPr="000D77A6">
        <w:t xml:space="preserve"> rokov. Ide o podskupinu kategórie „Účastníci, ktorí žijú v domácnostiach nezamestnaných osôb“, preto ich počet musí byť nižší alebo sa rovnať kategórii „Účastníci,</w:t>
      </w:r>
      <w:r w:rsidRPr="000D77A6">
        <w:rPr>
          <w:b/>
        </w:rPr>
        <w:t xml:space="preserve"> </w:t>
      </w:r>
      <w:r w:rsidRPr="000D77A6">
        <w:t>ktorí žijú v domácnostiach nezamestnaných osôb“</w:t>
      </w:r>
      <w:r w:rsidR="00A8224B" w:rsidRPr="000D77A6">
        <w:t>.</w:t>
      </w:r>
    </w:p>
    <w:p w:rsidR="006E2088" w:rsidRPr="000D77A6" w:rsidRDefault="006E2088" w:rsidP="00C22D4C">
      <w:pPr>
        <w:pStyle w:val="Odsekzoznamu"/>
        <w:numPr>
          <w:ilvl w:val="0"/>
          <w:numId w:val="15"/>
        </w:numPr>
        <w:spacing w:before="120" w:after="120"/>
        <w:ind w:left="425" w:hanging="426"/>
        <w:contextualSpacing w:val="0"/>
        <w:jc w:val="both"/>
      </w:pPr>
      <w:r w:rsidRPr="000D77A6">
        <w:rPr>
          <w:b/>
        </w:rPr>
        <w:t xml:space="preserve">Účastníci, ktorí žijú v domácnostiach ako osamelé osoby so závislými deťmi – </w:t>
      </w:r>
      <w:r w:rsidRPr="000D77A6">
        <w:t>domácnosť zahŕňa len jednu dospelú osobu nad 18 rokov veku bez ohľadu na zamestnanecké postavenie. V domácnosti sa nachádza jedno alebo viac vyživovaných detí vo veku od 0 do 17 rokov</w:t>
      </w:r>
      <w:r w:rsidR="00A8224B" w:rsidRPr="000D77A6">
        <w:t>,</w:t>
      </w:r>
      <w:r w:rsidRPr="000D77A6">
        <w:t xml:space="preserve"> alebo v prípade dennéh</w:t>
      </w:r>
      <w:r w:rsidR="00A8224B" w:rsidRPr="000D77A6">
        <w:t>o štúdia na VŠ aj vo veku 18- 26</w:t>
      </w:r>
      <w:r w:rsidRPr="000D77A6">
        <w:t xml:space="preserve"> rokov.</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so základným (ISCED 1) alebo nižším sekundárnym (ISCED 2) vzdelaním – </w:t>
      </w:r>
      <w:r w:rsidRPr="000D77A6">
        <w:t>uvádza sa najvyššie úspešne ukončené vzdelanie v čase vstupu do aktivity. Pokiaľ ide o účastníka, ktorý nedosiahol základné vzdelanie (ISCED 1), ale je vo veku nižšom ako je obvyklý vek dosiahnutia základného vzdelania (t.j. ide o žiaka), započíta sa ako osoba s dosiahnutým základným vzdelaním (ISCED 1). Pokiaľ ide o osobu vo veku vyššom ako je obvyklé pre dosiahnutie základného vzdelania, takáto osoba sa nezapočíta pod žiadny údaj týkajúci sa dosiahnutého vzdelania a je započítaná len v rámci kategórie „Iné znevýhodnené osoby“.</w:t>
      </w:r>
    </w:p>
    <w:p w:rsidR="006E2088" w:rsidRPr="000D77A6" w:rsidRDefault="006E2088" w:rsidP="00C22D4C">
      <w:pPr>
        <w:pStyle w:val="Odsekzoznamu"/>
        <w:numPr>
          <w:ilvl w:val="0"/>
          <w:numId w:val="15"/>
        </w:numPr>
        <w:spacing w:before="120" w:after="120"/>
        <w:ind w:left="425" w:hanging="426"/>
        <w:contextualSpacing w:val="0"/>
        <w:jc w:val="both"/>
        <w:rPr>
          <w:b/>
        </w:rPr>
      </w:pPr>
      <w:r w:rsidRPr="000D77A6">
        <w:rPr>
          <w:b/>
        </w:rPr>
        <w:t xml:space="preserve">Osoby s vyšším sekundárnym (ISCED 3) alebo </w:t>
      </w:r>
      <w:proofErr w:type="spellStart"/>
      <w:r w:rsidRPr="000D77A6">
        <w:rPr>
          <w:b/>
        </w:rPr>
        <w:t>post-sekundárnym</w:t>
      </w:r>
      <w:proofErr w:type="spellEnd"/>
      <w:r w:rsidRPr="000D77A6">
        <w:rPr>
          <w:b/>
        </w:rPr>
        <w:t xml:space="preserve"> (ISCED 4) vzdelaním - </w:t>
      </w:r>
      <w:r w:rsidRPr="000D77A6">
        <w:t>uvádza sa najvyššie úspešne ukončené vzdelanie v čase vstupu do aktivity.</w:t>
      </w:r>
    </w:p>
    <w:p w:rsidR="00484037" w:rsidRPr="00484037" w:rsidRDefault="006E2088" w:rsidP="00C22D4C">
      <w:pPr>
        <w:pStyle w:val="Odsekzoznamu"/>
        <w:numPr>
          <w:ilvl w:val="0"/>
          <w:numId w:val="15"/>
        </w:numPr>
        <w:spacing w:before="120" w:after="120"/>
        <w:ind w:left="425" w:hanging="426"/>
        <w:contextualSpacing w:val="0"/>
        <w:jc w:val="both"/>
        <w:rPr>
          <w:i/>
        </w:rPr>
      </w:pPr>
      <w:r w:rsidRPr="000D77A6">
        <w:rPr>
          <w:b/>
        </w:rPr>
        <w:t xml:space="preserve">Osoby s terciárnym vzdelaním (ISCED 5 až 8) - </w:t>
      </w:r>
      <w:r w:rsidRPr="000D77A6">
        <w:t>uvádza sa najvyššie úspešne ukončené vzdelanie v čase vstupu do aktivity.</w:t>
      </w:r>
      <w:r w:rsidR="00484037">
        <w:t xml:space="preserve"> </w:t>
      </w:r>
    </w:p>
    <w:p w:rsidR="00484037" w:rsidRDefault="00484037" w:rsidP="00C22D4C">
      <w:pPr>
        <w:pStyle w:val="Odsekzoznamu"/>
        <w:numPr>
          <w:ilvl w:val="0"/>
          <w:numId w:val="15"/>
        </w:numPr>
        <w:spacing w:before="120" w:after="120"/>
        <w:ind w:left="425" w:hanging="426"/>
        <w:contextualSpacing w:val="0"/>
        <w:jc w:val="both"/>
        <w:rPr>
          <w:i/>
        </w:rPr>
      </w:pPr>
      <w:r w:rsidRPr="00CE0B2C">
        <w:t xml:space="preserve">Za účelom </w:t>
      </w:r>
      <w:r>
        <w:t xml:space="preserve">zabezpečenia </w:t>
      </w:r>
      <w:r w:rsidRPr="00CE0B2C">
        <w:t>integrity vykazovaných údajov</w:t>
      </w:r>
      <w:r>
        <w:rPr>
          <w:i/>
        </w:rPr>
        <w:t xml:space="preserve"> </w:t>
      </w:r>
      <w:r w:rsidRPr="00CE0B2C">
        <w:t>poskytuje nasledovná tabuľka</w:t>
      </w:r>
      <w:r>
        <w:rPr>
          <w:i/>
        </w:rPr>
        <w:t xml:space="preserve"> </w:t>
      </w:r>
      <w:r>
        <w:t xml:space="preserve">pomôcku </w:t>
      </w:r>
      <w:r w:rsidRPr="00CE0B2C">
        <w:t xml:space="preserve"> </w:t>
      </w:r>
      <w:r>
        <w:t xml:space="preserve">pre správne </w:t>
      </w:r>
      <w:r w:rsidR="00254AC4">
        <w:t>narátavanie a vykazovanie počtu</w:t>
      </w:r>
      <w:r>
        <w:t xml:space="preserve"> účastníkov</w:t>
      </w:r>
      <w:r w:rsidRPr="0047291C">
        <w:t>:</w:t>
      </w:r>
      <w:r>
        <w:rPr>
          <w:i/>
        </w:rPr>
        <w:t xml:space="preserve"> </w:t>
      </w:r>
    </w:p>
    <w:tbl>
      <w:tblPr>
        <w:tblStyle w:val="Mriekatabuky"/>
        <w:tblW w:w="0" w:type="auto"/>
        <w:tblInd w:w="108" w:type="dxa"/>
        <w:tblLook w:val="04A0" w:firstRow="1" w:lastRow="0" w:firstColumn="1" w:lastColumn="0" w:noHBand="0" w:noVBand="1"/>
      </w:tblPr>
      <w:tblGrid>
        <w:gridCol w:w="4468"/>
        <w:gridCol w:w="4604"/>
      </w:tblGrid>
      <w:tr w:rsidR="00484037" w:rsidRPr="00597561" w:rsidTr="00C22D4C">
        <w:tc>
          <w:tcPr>
            <w:tcW w:w="4468" w:type="dxa"/>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sidRPr="00597561">
              <w:rPr>
                <w:b/>
                <w:i/>
              </w:rPr>
              <w:t>Údaj o účastníko</w:t>
            </w:r>
            <w:r>
              <w:rPr>
                <w:b/>
                <w:i/>
              </w:rPr>
              <w:t>ch</w:t>
            </w:r>
          </w:p>
        </w:tc>
        <w:tc>
          <w:tcPr>
            <w:tcW w:w="4604" w:type="dxa"/>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sidRPr="00597561">
              <w:rPr>
                <w:b/>
                <w:i/>
              </w:rPr>
              <w:t>Musí sa rovnať alebo byť nižší ako</w:t>
            </w:r>
          </w:p>
        </w:tc>
      </w:tr>
      <w:tr w:rsidR="00484037" w:rsidTr="00C22D4C">
        <w:tc>
          <w:tcPr>
            <w:tcW w:w="4468" w:type="dxa"/>
          </w:tcPr>
          <w:p w:rsidR="00484037" w:rsidRDefault="00484037" w:rsidP="00AA0145">
            <w:pPr>
              <w:spacing w:before="120" w:after="120"/>
              <w:jc w:val="both"/>
              <w:rPr>
                <w:i/>
              </w:rPr>
            </w:pPr>
            <w:r>
              <w:rPr>
                <w:i/>
              </w:rPr>
              <w:t>Dlhodobo nezamestnané osoby</w:t>
            </w:r>
          </w:p>
        </w:tc>
        <w:tc>
          <w:tcPr>
            <w:tcW w:w="4604" w:type="dxa"/>
          </w:tcPr>
          <w:p w:rsidR="00484037" w:rsidRDefault="00484037" w:rsidP="00AA0145">
            <w:pPr>
              <w:pStyle w:val="Odsekzoznamu"/>
              <w:spacing w:before="120" w:after="120"/>
              <w:ind w:left="0"/>
              <w:contextualSpacing w:val="0"/>
              <w:jc w:val="both"/>
              <w:rPr>
                <w:i/>
              </w:rPr>
            </w:pPr>
            <w:r>
              <w:rPr>
                <w:i/>
              </w:rPr>
              <w:t>Počet nezamestnaných</w:t>
            </w:r>
          </w:p>
        </w:tc>
      </w:tr>
      <w:tr w:rsidR="00484037" w:rsidTr="00C22D4C">
        <w:tc>
          <w:tcPr>
            <w:tcW w:w="4468" w:type="dxa"/>
          </w:tcPr>
          <w:p w:rsidR="00484037" w:rsidRDefault="00484037" w:rsidP="00AA0145">
            <w:pPr>
              <w:rPr>
                <w:i/>
              </w:rPr>
            </w:pPr>
            <w:r w:rsidRPr="00597561">
              <w:rPr>
                <w:i/>
              </w:rPr>
              <w:t>Neaktívne osoby, ktoré nie sú v procese vzdelávania ani odbornej prípravy</w:t>
            </w:r>
          </w:p>
        </w:tc>
        <w:tc>
          <w:tcPr>
            <w:tcW w:w="4604" w:type="dxa"/>
          </w:tcPr>
          <w:p w:rsidR="00484037" w:rsidRDefault="00484037" w:rsidP="00AA0145">
            <w:pPr>
              <w:pStyle w:val="Odsekzoznamu"/>
              <w:spacing w:before="120" w:after="120"/>
              <w:ind w:left="0"/>
              <w:contextualSpacing w:val="0"/>
              <w:jc w:val="both"/>
              <w:rPr>
                <w:i/>
              </w:rPr>
            </w:pPr>
            <w:r>
              <w:rPr>
                <w:i/>
              </w:rPr>
              <w:t>Počet neaktívnych osôb</w:t>
            </w:r>
          </w:p>
        </w:tc>
      </w:tr>
      <w:tr w:rsidR="00484037" w:rsidTr="00C22D4C">
        <w:tc>
          <w:tcPr>
            <w:tcW w:w="4468" w:type="dxa"/>
          </w:tcPr>
          <w:p w:rsidR="00484037" w:rsidRPr="00597561" w:rsidRDefault="00484037" w:rsidP="00AA0145">
            <w:pPr>
              <w:pStyle w:val="Odsekzoznamu"/>
              <w:tabs>
                <w:tab w:val="left" w:pos="3450"/>
              </w:tabs>
              <w:ind w:left="0"/>
              <w:contextualSpacing w:val="0"/>
              <w:rPr>
                <w:i/>
              </w:rPr>
            </w:pPr>
            <w:r>
              <w:rPr>
                <w:i/>
              </w:rPr>
              <w:tab/>
            </w:r>
          </w:p>
          <w:p w:rsidR="00484037" w:rsidRDefault="00484037" w:rsidP="00AA0145">
            <w:pPr>
              <w:rPr>
                <w:i/>
              </w:rPr>
            </w:pPr>
            <w:r w:rsidRPr="00597561">
              <w:rPr>
                <w:i/>
              </w:rPr>
              <w:t>Celkový počet osôb  vo veku do 25 rokov</w:t>
            </w:r>
          </w:p>
        </w:tc>
        <w:tc>
          <w:tcPr>
            <w:tcW w:w="4604" w:type="dxa"/>
          </w:tcPr>
          <w:p w:rsidR="00484037" w:rsidRDefault="00484037" w:rsidP="00AA0145">
            <w:pPr>
              <w:pStyle w:val="Odsekzoznamu"/>
              <w:spacing w:before="120" w:after="120"/>
              <w:ind w:left="0"/>
              <w:contextualSpacing w:val="0"/>
              <w:jc w:val="both"/>
              <w:rPr>
                <w:i/>
              </w:rPr>
            </w:pPr>
            <w:r>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w:t>
            </w:r>
            <w:r w:rsidRPr="00597561">
              <w:rPr>
                <w:i/>
              </w:rPr>
              <w:t>os</w:t>
            </w:r>
            <w:r>
              <w:rPr>
                <w:i/>
              </w:rPr>
              <w:t>ôb</w:t>
            </w:r>
            <w:r w:rsidRPr="00597561">
              <w:rPr>
                <w:i/>
              </w:rPr>
              <w:t xml:space="preserve"> vo veku nad 54 rokov</w:t>
            </w:r>
          </w:p>
        </w:tc>
        <w:tc>
          <w:tcPr>
            <w:tcW w:w="4604" w:type="dxa"/>
          </w:tcPr>
          <w:p w:rsidR="00484037" w:rsidRDefault="00484037" w:rsidP="00AA0145">
            <w:pPr>
              <w:pStyle w:val="Odsekzoznamu"/>
              <w:spacing w:before="120" w:after="120"/>
              <w:ind w:left="0"/>
              <w:contextualSpacing w:val="0"/>
              <w:jc w:val="both"/>
              <w:rPr>
                <w:i/>
              </w:rPr>
            </w:pPr>
            <w:r w:rsidRPr="0059756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osôb </w:t>
            </w:r>
            <w:r w:rsidRPr="00597561">
              <w:rPr>
                <w:i/>
              </w:rPr>
              <w:t>vo veku 25 -30 rokov</w:t>
            </w:r>
          </w:p>
        </w:tc>
        <w:tc>
          <w:tcPr>
            <w:tcW w:w="4604" w:type="dxa"/>
          </w:tcPr>
          <w:p w:rsidR="00484037" w:rsidRDefault="00484037" w:rsidP="00AA0145">
            <w:pPr>
              <w:pStyle w:val="Odsekzoznamu"/>
              <w:spacing w:before="120" w:after="120"/>
              <w:ind w:left="0"/>
              <w:contextualSpacing w:val="0"/>
              <w:jc w:val="both"/>
              <w:rPr>
                <w:i/>
              </w:rPr>
            </w:pPr>
            <w:r w:rsidRPr="00597561">
              <w:rPr>
                <w:i/>
              </w:rPr>
              <w:t>Počet všetkých účastníkov</w:t>
            </w:r>
          </w:p>
        </w:tc>
      </w:tr>
      <w:tr w:rsidR="00484037" w:rsidTr="00C22D4C">
        <w:tc>
          <w:tcPr>
            <w:tcW w:w="4468" w:type="dxa"/>
          </w:tcPr>
          <w:p w:rsidR="00484037" w:rsidRPr="00597561" w:rsidRDefault="00484037" w:rsidP="00AA0145">
            <w:pPr>
              <w:pStyle w:val="Odsekzoznamu"/>
              <w:spacing w:before="120" w:after="120"/>
              <w:ind w:left="0"/>
              <w:contextualSpacing w:val="0"/>
              <w:jc w:val="both"/>
              <w:rPr>
                <w:i/>
              </w:rPr>
            </w:pPr>
            <w:r w:rsidRPr="00597561">
              <w:rPr>
                <w:i/>
              </w:rPr>
              <w:t>Osoby vo veku nad 54 rokov, ktoré sú nezamestnané, vrátane dlhodobo nezamestnaných alebo  neaktívnych osôb, ktoré  nie sú v procese vzdelávania ani odbornej prípravy</w:t>
            </w:r>
          </w:p>
        </w:tc>
        <w:tc>
          <w:tcPr>
            <w:tcW w:w="4604" w:type="dxa"/>
          </w:tcPr>
          <w:p w:rsidR="00484037" w:rsidRDefault="00484037" w:rsidP="00AA0145">
            <w:pPr>
              <w:pStyle w:val="Odsekzoznamu"/>
              <w:spacing w:before="120" w:after="120"/>
              <w:ind w:left="0"/>
              <w:contextualSpacing w:val="0"/>
              <w:jc w:val="both"/>
              <w:rPr>
                <w:i/>
              </w:rPr>
            </w:pPr>
            <w:r>
              <w:rPr>
                <w:i/>
              </w:rPr>
              <w:t xml:space="preserve">Počet osôb nad 54 rokov </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lastRenderedPageBreak/>
              <w:t xml:space="preserve">Celkový počet osôb </w:t>
            </w:r>
            <w:r w:rsidRPr="00597561">
              <w:rPr>
                <w:i/>
              </w:rPr>
              <w:t>so základným (ISCED 1) alebo nižším sekundárnym (ISCED 2) vzdelaním</w:t>
            </w:r>
          </w:p>
        </w:tc>
        <w:tc>
          <w:tcPr>
            <w:tcW w:w="4604" w:type="dxa"/>
          </w:tcPr>
          <w:p w:rsidR="00484037" w:rsidRDefault="00484037" w:rsidP="00AA0145">
            <w:r w:rsidRPr="00471F43">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osôb </w:t>
            </w:r>
            <w:r w:rsidRPr="00597561">
              <w:rPr>
                <w:i/>
              </w:rPr>
              <w:t xml:space="preserve">s vyšším sekundárnym (ISCED 3) alebo </w:t>
            </w:r>
            <w:proofErr w:type="spellStart"/>
            <w:r w:rsidRPr="00597561">
              <w:rPr>
                <w:i/>
              </w:rPr>
              <w:t>post-sekundárnym</w:t>
            </w:r>
            <w:proofErr w:type="spellEnd"/>
            <w:r w:rsidRPr="00597561">
              <w:rPr>
                <w:i/>
              </w:rPr>
              <w:t xml:space="preserve"> (ISCED 4) vzdelaním</w:t>
            </w:r>
          </w:p>
        </w:tc>
        <w:tc>
          <w:tcPr>
            <w:tcW w:w="4604" w:type="dxa"/>
          </w:tcPr>
          <w:p w:rsidR="00484037" w:rsidRDefault="00484037" w:rsidP="00AA0145">
            <w:r w:rsidRPr="00471F43">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 xml:space="preserve">Celkový počet osôb </w:t>
            </w:r>
            <w:r w:rsidRPr="00597561">
              <w:rPr>
                <w:i/>
              </w:rPr>
              <w:t>s terciárnym vzdelan</w:t>
            </w:r>
            <w:r>
              <w:rPr>
                <w:i/>
              </w:rPr>
              <w:t>ím (ISCED 5 až 8)</w:t>
            </w:r>
          </w:p>
        </w:tc>
        <w:tc>
          <w:tcPr>
            <w:tcW w:w="4604" w:type="dxa"/>
          </w:tcPr>
          <w:p w:rsidR="00484037" w:rsidRDefault="00484037" w:rsidP="00AA0145">
            <w:r w:rsidRPr="00471F43">
              <w:rPr>
                <w:i/>
              </w:rPr>
              <w:t>Počet všetkých účastníkov</w:t>
            </w:r>
          </w:p>
        </w:tc>
      </w:tr>
      <w:tr w:rsidR="00484037" w:rsidTr="00C22D4C">
        <w:tc>
          <w:tcPr>
            <w:tcW w:w="4468" w:type="dxa"/>
          </w:tcPr>
          <w:p w:rsidR="00484037" w:rsidRPr="00597561" w:rsidRDefault="00484037" w:rsidP="00AA0145">
            <w:pPr>
              <w:pStyle w:val="Odsekzoznamu"/>
              <w:spacing w:before="120" w:after="120"/>
              <w:ind w:left="0"/>
              <w:contextualSpacing w:val="0"/>
              <w:jc w:val="both"/>
              <w:rPr>
                <w:i/>
              </w:rPr>
            </w:pPr>
            <w:r w:rsidRPr="00597561">
              <w:rPr>
                <w:i/>
              </w:rPr>
              <w:t>Účastníci, ktorí žijú v domácnostiach nezamestnaných osôb</w:t>
            </w:r>
          </w:p>
        </w:tc>
        <w:tc>
          <w:tcPr>
            <w:tcW w:w="4604" w:type="dxa"/>
          </w:tcPr>
          <w:p w:rsidR="00484037" w:rsidRDefault="00484037" w:rsidP="00AA0145">
            <w:pPr>
              <w:pStyle w:val="Odsekzoznamu"/>
              <w:spacing w:before="120" w:after="120"/>
              <w:ind w:left="0"/>
              <w:contextualSpacing w:val="0"/>
              <w:jc w:val="both"/>
              <w:rPr>
                <w:i/>
              </w:rPr>
            </w:pPr>
            <w:r>
              <w:rPr>
                <w:i/>
              </w:rPr>
              <w:t xml:space="preserve">Počet nezamestnaných + neaktívnych </w:t>
            </w:r>
          </w:p>
        </w:tc>
      </w:tr>
      <w:tr w:rsidR="00484037" w:rsidTr="00C22D4C">
        <w:tc>
          <w:tcPr>
            <w:tcW w:w="4468" w:type="dxa"/>
          </w:tcPr>
          <w:p w:rsidR="00484037" w:rsidRDefault="00484037" w:rsidP="00AA0145">
            <w:pPr>
              <w:pStyle w:val="Odsekzoznamu"/>
              <w:ind w:left="0"/>
              <w:contextualSpacing w:val="0"/>
              <w:rPr>
                <w:i/>
              </w:rPr>
            </w:pPr>
            <w:r>
              <w:rPr>
                <w:i/>
              </w:rPr>
              <w:t>Ú</w:t>
            </w:r>
            <w:r w:rsidRPr="00597561">
              <w:rPr>
                <w:i/>
              </w:rPr>
              <w:t>častníci, ktorí žijú v domácnostiach nezames</w:t>
            </w:r>
            <w:r>
              <w:rPr>
                <w:i/>
              </w:rPr>
              <w:t>tnaných osôb so závislými deťmi</w:t>
            </w:r>
          </w:p>
        </w:tc>
        <w:tc>
          <w:tcPr>
            <w:tcW w:w="4604" w:type="dxa"/>
          </w:tcPr>
          <w:p w:rsidR="00484037" w:rsidRDefault="00484037" w:rsidP="00AA0145">
            <w:pPr>
              <w:pStyle w:val="Odsekzoznamu"/>
              <w:spacing w:before="120" w:after="120"/>
              <w:ind w:left="0"/>
              <w:contextualSpacing w:val="0"/>
              <w:jc w:val="both"/>
              <w:rPr>
                <w:i/>
              </w:rPr>
            </w:pPr>
            <w:r w:rsidRPr="00597561">
              <w:rPr>
                <w:i/>
              </w:rPr>
              <w:t>Účastníci, ktorí žijú v domácnostiach nezamestnaných osôb</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Ú</w:t>
            </w:r>
            <w:r w:rsidRPr="00597561">
              <w:rPr>
                <w:i/>
              </w:rPr>
              <w:t>častníci, ktorí žijú v domácnostiach ako o</w:t>
            </w:r>
            <w:r>
              <w:rPr>
                <w:i/>
              </w:rPr>
              <w:t>samelé osoby so závislými deťmi</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rPr>
                <w:i/>
              </w:rPr>
            </w:pPr>
            <w:r>
              <w:rPr>
                <w:i/>
              </w:rPr>
              <w:t>M</w:t>
            </w:r>
            <w:r w:rsidRPr="00232A01">
              <w:rPr>
                <w:i/>
              </w:rPr>
              <w:t xml:space="preserve">igranti, účastníci s cudzím pôvodom, menšiny (vrátane </w:t>
            </w:r>
            <w:proofErr w:type="spellStart"/>
            <w:r w:rsidRPr="00232A01">
              <w:rPr>
                <w:i/>
              </w:rPr>
              <w:t>marginalizovaných</w:t>
            </w:r>
            <w:proofErr w:type="spellEnd"/>
            <w:r w:rsidRPr="00232A01">
              <w:rPr>
                <w:i/>
              </w:rPr>
              <w:t xml:space="preserve"> ko</w:t>
            </w:r>
            <w:r>
              <w:rPr>
                <w:i/>
              </w:rPr>
              <w:t>munít ako sú napríklad Rómovia)</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Ú</w:t>
            </w:r>
            <w:r w:rsidRPr="00232A01">
              <w:rPr>
                <w:i/>
              </w:rPr>
              <w:t>častníci so zdravotným postihnutím</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I</w:t>
            </w:r>
            <w:r w:rsidRPr="00232A01">
              <w:rPr>
                <w:i/>
              </w:rPr>
              <w:t>né znevýhodnené osoby</w:t>
            </w:r>
          </w:p>
        </w:tc>
        <w:tc>
          <w:tcPr>
            <w:tcW w:w="4604" w:type="dxa"/>
          </w:tcPr>
          <w:p w:rsidR="00484037" w:rsidRDefault="00484037" w:rsidP="00AA0145">
            <w:pPr>
              <w:pStyle w:val="Odsekzoznamu"/>
              <w:spacing w:before="120" w:after="120"/>
              <w:ind w:left="0"/>
              <w:contextualSpacing w:val="0"/>
              <w:jc w:val="both"/>
              <w:rPr>
                <w:i/>
              </w:rPr>
            </w:pPr>
            <w:r w:rsidRPr="00232A01">
              <w:rPr>
                <w:i/>
              </w:rPr>
              <w:t>Počet všetkých účastníkov</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B</w:t>
            </w:r>
            <w:r w:rsidRPr="00232A01">
              <w:rPr>
                <w:i/>
              </w:rPr>
              <w:t>ezdomovci alebo osoby postihnuté vylúčením z bývania</w:t>
            </w:r>
          </w:p>
        </w:tc>
        <w:tc>
          <w:tcPr>
            <w:tcW w:w="4604" w:type="dxa"/>
          </w:tcPr>
          <w:p w:rsidR="00484037" w:rsidRPr="00232A01" w:rsidRDefault="00484037" w:rsidP="00AA0145">
            <w:pPr>
              <w:pStyle w:val="Odsekzoznamu"/>
              <w:spacing w:before="120" w:after="120"/>
              <w:ind w:left="0"/>
              <w:contextualSpacing w:val="0"/>
              <w:jc w:val="both"/>
              <w:rPr>
                <w:i/>
              </w:rPr>
            </w:pPr>
            <w:r>
              <w:rPr>
                <w:i/>
              </w:rPr>
              <w:t>Na reprezentatívnej vzorke</w:t>
            </w:r>
          </w:p>
        </w:tc>
      </w:tr>
      <w:tr w:rsidR="00484037" w:rsidTr="00C22D4C">
        <w:tc>
          <w:tcPr>
            <w:tcW w:w="4468" w:type="dxa"/>
          </w:tcPr>
          <w:p w:rsidR="00484037" w:rsidRDefault="00484037" w:rsidP="00AA0145">
            <w:pPr>
              <w:pStyle w:val="Odsekzoznamu"/>
              <w:spacing w:before="120" w:after="120"/>
              <w:ind w:left="0"/>
              <w:contextualSpacing w:val="0"/>
              <w:jc w:val="both"/>
              <w:rPr>
                <w:i/>
              </w:rPr>
            </w:pPr>
            <w:r>
              <w:rPr>
                <w:i/>
              </w:rPr>
              <w:t>O</w:t>
            </w:r>
            <w:r w:rsidRPr="00232A01">
              <w:rPr>
                <w:i/>
              </w:rPr>
              <w:t>soby z vidieckych oblastí</w:t>
            </w:r>
          </w:p>
        </w:tc>
        <w:tc>
          <w:tcPr>
            <w:tcW w:w="4604" w:type="dxa"/>
          </w:tcPr>
          <w:p w:rsidR="00484037" w:rsidRPr="00232A01" w:rsidRDefault="00484037" w:rsidP="00AA0145">
            <w:pPr>
              <w:pStyle w:val="Odsekzoznamu"/>
              <w:spacing w:before="120" w:after="120"/>
              <w:ind w:left="0"/>
              <w:contextualSpacing w:val="0"/>
              <w:jc w:val="both"/>
              <w:rPr>
                <w:i/>
              </w:rPr>
            </w:pPr>
            <w:r>
              <w:rPr>
                <w:i/>
              </w:rPr>
              <w:t>Na reprezentatívnej vzorke</w:t>
            </w:r>
          </w:p>
        </w:tc>
      </w:tr>
    </w:tbl>
    <w:p w:rsidR="00484037" w:rsidRDefault="00484037" w:rsidP="00484037">
      <w:pPr>
        <w:spacing w:before="120" w:after="120"/>
        <w:jc w:val="both"/>
        <w:rPr>
          <w:i/>
        </w:rPr>
      </w:pPr>
    </w:p>
    <w:p w:rsidR="00484037" w:rsidRDefault="00484037" w:rsidP="00484037">
      <w:pPr>
        <w:pStyle w:val="Odsekzoznamu"/>
        <w:numPr>
          <w:ilvl w:val="0"/>
          <w:numId w:val="15"/>
        </w:numPr>
        <w:spacing w:before="120" w:after="120"/>
        <w:ind w:left="426" w:hanging="426"/>
        <w:contextualSpacing w:val="0"/>
        <w:jc w:val="both"/>
      </w:pPr>
      <w:r w:rsidRPr="00367A27">
        <w:t xml:space="preserve">Ukazovatele v zmysle prílohy I a II Nariadenia o ESF </w:t>
      </w:r>
      <w:r>
        <w:t xml:space="preserve">zamerané na zachytenie zmeny situácie účastníka na trhu práce (okamžitej alebo dlhodobej) majú za cieľ identifikovať zmenu postavenia účastníka oproti východiskovej situácii účastníka. Tabuľka nižšie sumarizuje varianty, ktoré môžu v rámci zmeny nastať: </w:t>
      </w:r>
    </w:p>
    <w:tbl>
      <w:tblPr>
        <w:tblStyle w:val="Mriekatabuky"/>
        <w:tblW w:w="9277" w:type="dxa"/>
        <w:jc w:val="center"/>
        <w:tblInd w:w="108" w:type="dxa"/>
        <w:tblLook w:val="04A0" w:firstRow="1" w:lastRow="0" w:firstColumn="1" w:lastColumn="0" w:noHBand="0" w:noVBand="1"/>
      </w:tblPr>
      <w:tblGrid>
        <w:gridCol w:w="3261"/>
        <w:gridCol w:w="3008"/>
        <w:gridCol w:w="3008"/>
      </w:tblGrid>
      <w:tr w:rsidR="00484037" w:rsidTr="00C22D4C">
        <w:trPr>
          <w:jc w:val="center"/>
        </w:trPr>
        <w:tc>
          <w:tcPr>
            <w:tcW w:w="3261" w:type="dxa"/>
            <w:shd w:val="clear" w:color="auto" w:fill="92D050"/>
          </w:tcPr>
          <w:p w:rsidR="00484037" w:rsidRPr="00367A27" w:rsidRDefault="00484037" w:rsidP="00AA0145">
            <w:pPr>
              <w:spacing w:before="120" w:after="120"/>
              <w:jc w:val="both"/>
              <w:rPr>
                <w:b/>
              </w:rPr>
            </w:pPr>
            <w:r w:rsidRPr="00367A27">
              <w:rPr>
                <w:b/>
              </w:rPr>
              <w:t xml:space="preserve">Zamestnanecké postavenie v čase vstupu do projektu </w:t>
            </w:r>
          </w:p>
        </w:tc>
        <w:tc>
          <w:tcPr>
            <w:tcW w:w="3008" w:type="dxa"/>
            <w:shd w:val="clear" w:color="auto" w:fill="92D050"/>
          </w:tcPr>
          <w:p w:rsidR="00484037" w:rsidRPr="00367A27" w:rsidRDefault="00484037" w:rsidP="00AA0145">
            <w:pPr>
              <w:spacing w:before="120" w:after="120"/>
              <w:jc w:val="both"/>
              <w:rPr>
                <w:b/>
              </w:rPr>
            </w:pPr>
            <w:r w:rsidRPr="00367A27">
              <w:rPr>
                <w:b/>
              </w:rPr>
              <w:t>Zamestnanecké postavenie v čase výstupu z projektu/6 mesiacov po ukončení</w:t>
            </w:r>
          </w:p>
        </w:tc>
        <w:tc>
          <w:tcPr>
            <w:tcW w:w="3008" w:type="dxa"/>
            <w:shd w:val="clear" w:color="auto" w:fill="92D050"/>
          </w:tcPr>
          <w:p w:rsidR="00484037" w:rsidRPr="00367A27" w:rsidRDefault="00484037" w:rsidP="00AA0145">
            <w:pPr>
              <w:spacing w:before="120" w:after="120"/>
              <w:jc w:val="both"/>
              <w:rPr>
                <w:b/>
              </w:rPr>
            </w:pPr>
            <w:r w:rsidRPr="00367A27">
              <w:rPr>
                <w:b/>
              </w:rPr>
              <w:t>Nová situácia účastníka</w:t>
            </w:r>
          </w:p>
        </w:tc>
      </w:tr>
      <w:tr w:rsidR="00484037" w:rsidTr="00C22D4C">
        <w:trPr>
          <w:jc w:val="center"/>
        </w:trPr>
        <w:tc>
          <w:tcPr>
            <w:tcW w:w="3261" w:type="dxa"/>
          </w:tcPr>
          <w:p w:rsidR="00484037" w:rsidRDefault="00484037" w:rsidP="00AA0145">
            <w:pPr>
              <w:spacing w:before="120" w:after="120"/>
              <w:jc w:val="both"/>
            </w:pPr>
            <w:r>
              <w:t>Neaktívny/-a</w:t>
            </w:r>
          </w:p>
        </w:tc>
        <w:tc>
          <w:tcPr>
            <w:tcW w:w="3008" w:type="dxa"/>
          </w:tcPr>
          <w:p w:rsidR="00484037" w:rsidRDefault="00484037" w:rsidP="00AA0145">
            <w:pPr>
              <w:spacing w:before="120" w:after="120"/>
              <w:jc w:val="both"/>
            </w:pPr>
            <w:r>
              <w:t>Nezamestnaný/-á</w:t>
            </w:r>
          </w:p>
        </w:tc>
        <w:tc>
          <w:tcPr>
            <w:tcW w:w="3008" w:type="dxa"/>
          </w:tcPr>
          <w:p w:rsidR="00484037" w:rsidRDefault="00484037" w:rsidP="00AA0145">
            <w:pPr>
              <w:spacing w:before="120" w:after="120"/>
              <w:jc w:val="both"/>
            </w:pPr>
            <w:r>
              <w:t>Zapojený/-á do hľadania práce</w:t>
            </w:r>
          </w:p>
        </w:tc>
      </w:tr>
      <w:tr w:rsidR="00484037" w:rsidTr="00C22D4C">
        <w:trPr>
          <w:jc w:val="center"/>
        </w:trPr>
        <w:tc>
          <w:tcPr>
            <w:tcW w:w="3261" w:type="dxa"/>
          </w:tcPr>
          <w:p w:rsidR="00484037" w:rsidRDefault="00484037" w:rsidP="00AA0145">
            <w:pPr>
              <w:spacing w:before="120" w:after="120"/>
              <w:jc w:val="both"/>
            </w:pPr>
            <w:r>
              <w:t>Neaktívny/-a, nezamestnaný/-á</w:t>
            </w:r>
          </w:p>
        </w:tc>
        <w:tc>
          <w:tcPr>
            <w:tcW w:w="3008" w:type="dxa"/>
          </w:tcPr>
          <w:p w:rsidR="00484037" w:rsidRDefault="00484037" w:rsidP="00AA0145">
            <w:pPr>
              <w:spacing w:before="120" w:after="120"/>
              <w:jc w:val="both"/>
            </w:pPr>
            <w:r>
              <w:t>Z</w:t>
            </w:r>
            <w:r w:rsidRPr="00367A27">
              <w:t>amestnaný/-á</w:t>
            </w:r>
          </w:p>
        </w:tc>
        <w:tc>
          <w:tcPr>
            <w:tcW w:w="3008" w:type="dxa"/>
          </w:tcPr>
          <w:p w:rsidR="00484037" w:rsidRDefault="00484037" w:rsidP="00AA0145">
            <w:pPr>
              <w:spacing w:before="120" w:after="120"/>
              <w:jc w:val="both"/>
            </w:pPr>
            <w:r>
              <w:t>Zamestnaný/-á</w:t>
            </w:r>
          </w:p>
        </w:tc>
      </w:tr>
      <w:tr w:rsidR="00484037" w:rsidTr="00C22D4C">
        <w:trPr>
          <w:jc w:val="center"/>
        </w:trPr>
        <w:tc>
          <w:tcPr>
            <w:tcW w:w="3261" w:type="dxa"/>
          </w:tcPr>
          <w:p w:rsidR="00484037" w:rsidRDefault="00484037" w:rsidP="00AA0145">
            <w:pPr>
              <w:spacing w:before="120" w:after="120"/>
              <w:jc w:val="both"/>
            </w:pPr>
            <w:r>
              <w:t>Ne</w:t>
            </w:r>
            <w:r w:rsidRPr="00367A27">
              <w:t>aktívny/-a, nezamestnaný/-á</w:t>
            </w:r>
          </w:p>
        </w:tc>
        <w:tc>
          <w:tcPr>
            <w:tcW w:w="3008" w:type="dxa"/>
          </w:tcPr>
          <w:p w:rsidR="00484037" w:rsidRDefault="00484037" w:rsidP="00AA0145">
            <w:pPr>
              <w:spacing w:before="120" w:after="120"/>
              <w:jc w:val="both"/>
            </w:pPr>
            <w:r>
              <w:t>Z</w:t>
            </w:r>
            <w:r w:rsidRPr="00367A27">
              <w:t>amestnaný/-á</w:t>
            </w:r>
          </w:p>
        </w:tc>
        <w:tc>
          <w:tcPr>
            <w:tcW w:w="3008" w:type="dxa"/>
          </w:tcPr>
          <w:p w:rsidR="00484037" w:rsidRDefault="00484037" w:rsidP="00AA0145">
            <w:pPr>
              <w:spacing w:before="120" w:after="120"/>
              <w:jc w:val="both"/>
            </w:pPr>
            <w:r>
              <w:t>SZČO</w:t>
            </w:r>
          </w:p>
        </w:tc>
      </w:tr>
      <w:tr w:rsidR="00484037" w:rsidTr="00C22D4C">
        <w:trPr>
          <w:jc w:val="center"/>
        </w:trPr>
        <w:tc>
          <w:tcPr>
            <w:tcW w:w="3261" w:type="dxa"/>
          </w:tcPr>
          <w:p w:rsidR="00484037" w:rsidRDefault="00484037" w:rsidP="00AA0145">
            <w:pPr>
              <w:spacing w:before="120" w:after="120"/>
              <w:jc w:val="both"/>
            </w:pPr>
            <w:r>
              <w:lastRenderedPageBreak/>
              <w:t>Zamestnaný/-á</w:t>
            </w:r>
          </w:p>
        </w:tc>
        <w:tc>
          <w:tcPr>
            <w:tcW w:w="3008" w:type="dxa"/>
          </w:tcPr>
          <w:p w:rsidR="00484037" w:rsidRDefault="00484037" w:rsidP="00AA0145">
            <w:pPr>
              <w:spacing w:before="120" w:after="120"/>
              <w:jc w:val="both"/>
            </w:pPr>
            <w:r>
              <w:t>Z</w:t>
            </w:r>
            <w:r w:rsidRPr="00367A27">
              <w:t>amestnaný/-á</w:t>
            </w:r>
          </w:p>
        </w:tc>
        <w:tc>
          <w:tcPr>
            <w:tcW w:w="3008" w:type="dxa"/>
          </w:tcPr>
          <w:p w:rsidR="00484037" w:rsidRDefault="00484037" w:rsidP="00AA0145">
            <w:pPr>
              <w:spacing w:before="120" w:after="120"/>
              <w:jc w:val="both"/>
            </w:pPr>
            <w:r>
              <w:t>Zlepšená situácia na pracovnom trhu</w:t>
            </w:r>
          </w:p>
        </w:tc>
      </w:tr>
    </w:tbl>
    <w:p w:rsidR="00484037" w:rsidRDefault="00484037" w:rsidP="00C22D4C">
      <w:pPr>
        <w:pStyle w:val="Odsekzoznamu"/>
        <w:numPr>
          <w:ilvl w:val="0"/>
          <w:numId w:val="15"/>
        </w:numPr>
        <w:spacing w:before="120" w:after="120"/>
        <w:ind w:left="426" w:hanging="426"/>
        <w:contextualSpacing w:val="0"/>
        <w:jc w:val="both"/>
      </w:pPr>
      <w:r>
        <w:t>Zlepšená situácia na pracovnom trhu – je relevantná pre účastníkov, ktorí v čase vstupu do aktivity projektu boli zamestnaní. Za zlepšenú situáciu na trhu práce sa považuje stav, kedy účastník získal buď lepšie nové zamestnanie alebo postúpil na lepšiu pozíciu u súčasného zamestnávateľa. V oboch prípadoch musí byť splnených viacero podmienok uvedených nižšie:</w:t>
      </w:r>
    </w:p>
    <w:p w:rsidR="00484037" w:rsidRDefault="00484037" w:rsidP="00C22D4C">
      <w:pPr>
        <w:pStyle w:val="Odsekzoznamu"/>
        <w:numPr>
          <w:ilvl w:val="0"/>
          <w:numId w:val="21"/>
        </w:numPr>
        <w:spacing w:before="120" w:after="120"/>
        <w:ind w:left="851" w:hanging="425"/>
        <w:contextualSpacing w:val="0"/>
        <w:jc w:val="both"/>
      </w:pPr>
      <w:r>
        <w:t>pozícia vyžaduje vyššiu kvalifikáciu, skúsenosti alebo schopnosti,</w:t>
      </w:r>
    </w:p>
    <w:p w:rsidR="00484037" w:rsidRDefault="00484037" w:rsidP="00C22D4C">
      <w:pPr>
        <w:pStyle w:val="Odsekzoznamu"/>
        <w:numPr>
          <w:ilvl w:val="0"/>
          <w:numId w:val="21"/>
        </w:numPr>
        <w:spacing w:before="120" w:after="120"/>
        <w:ind w:left="851" w:hanging="425"/>
        <w:contextualSpacing w:val="0"/>
        <w:jc w:val="both"/>
      </w:pPr>
      <w:r>
        <w:t>s pozíciou je spojená vyššia zodpovednosť,</w:t>
      </w:r>
    </w:p>
    <w:p w:rsidR="00484037" w:rsidRDefault="00484037" w:rsidP="00C22D4C">
      <w:pPr>
        <w:pStyle w:val="Odsekzoznamu"/>
        <w:numPr>
          <w:ilvl w:val="0"/>
          <w:numId w:val="21"/>
        </w:numPr>
        <w:spacing w:before="120" w:after="120"/>
        <w:ind w:left="851" w:hanging="425"/>
        <w:contextualSpacing w:val="0"/>
        <w:jc w:val="both"/>
      </w:pPr>
      <w:r>
        <w:t>ide o povýšenie,</w:t>
      </w:r>
    </w:p>
    <w:p w:rsidR="00484037" w:rsidRDefault="00484037" w:rsidP="00C22D4C">
      <w:pPr>
        <w:pStyle w:val="Odsekzoznamu"/>
        <w:numPr>
          <w:ilvl w:val="0"/>
          <w:numId w:val="21"/>
        </w:numPr>
        <w:spacing w:before="120" w:after="120"/>
        <w:ind w:left="851" w:hanging="425"/>
        <w:contextualSpacing w:val="0"/>
        <w:jc w:val="both"/>
      </w:pPr>
      <w:r>
        <w:t>ide o posun od časovo obmedzeného (na dobu určitú) k časovo neobmedzenému (na dobu neurčitú) pracovnému pomeru,</w:t>
      </w:r>
    </w:p>
    <w:p w:rsidR="00484037" w:rsidRDefault="00484037" w:rsidP="00C22D4C">
      <w:pPr>
        <w:pStyle w:val="Odsekzoznamu"/>
        <w:numPr>
          <w:ilvl w:val="0"/>
          <w:numId w:val="21"/>
        </w:numPr>
        <w:spacing w:before="120" w:after="120"/>
        <w:ind w:left="851" w:hanging="425"/>
        <w:contextualSpacing w:val="0"/>
        <w:jc w:val="both"/>
      </w:pPr>
      <w:r>
        <w:t>ide o posun z vedľajšieho pracovného úväzku na hlavný pracovný úväzok.</w:t>
      </w:r>
    </w:p>
    <w:p w:rsidR="00484037" w:rsidRDefault="00484037" w:rsidP="00C22D4C">
      <w:pPr>
        <w:pStyle w:val="Odsekzoznamu"/>
        <w:numPr>
          <w:ilvl w:val="0"/>
          <w:numId w:val="15"/>
        </w:numPr>
        <w:spacing w:before="120" w:after="120"/>
        <w:ind w:left="426" w:hanging="426"/>
        <w:contextualSpacing w:val="0"/>
        <w:jc w:val="both"/>
        <w:rPr>
          <w:i/>
        </w:rPr>
      </w:pPr>
      <w:r w:rsidRPr="00CE0B2C">
        <w:t>Za účelom integrity vykazovaných údajov</w:t>
      </w:r>
      <w:r>
        <w:rPr>
          <w:i/>
        </w:rPr>
        <w:t xml:space="preserve"> </w:t>
      </w:r>
      <w:r w:rsidRPr="00CE0B2C">
        <w:t>nasledovná tabuľka</w:t>
      </w:r>
      <w:r>
        <w:rPr>
          <w:i/>
        </w:rPr>
        <w:t xml:space="preserve"> </w:t>
      </w:r>
      <w:r w:rsidRPr="00CE0B2C">
        <w:t xml:space="preserve">poskytuje </w:t>
      </w:r>
      <w:r>
        <w:t xml:space="preserve">pomôcku </w:t>
      </w:r>
      <w:r w:rsidRPr="00CE0B2C">
        <w:t xml:space="preserve"> </w:t>
      </w:r>
      <w:r>
        <w:t>pre správne vykazovanie počt</w:t>
      </w:r>
      <w:r w:rsidR="004560E9">
        <w:t>u</w:t>
      </w:r>
      <w:r>
        <w:t xml:space="preserve"> účastníkov v rámci okamžitých alebo dlhodobých výsledkov</w:t>
      </w:r>
      <w:r w:rsidRPr="0047291C">
        <w:t>:</w:t>
      </w:r>
      <w:r>
        <w:rPr>
          <w:i/>
        </w:rPr>
        <w:t xml:space="preserve"> </w:t>
      </w:r>
    </w:p>
    <w:tbl>
      <w:tblPr>
        <w:tblStyle w:val="Mriekatabuky"/>
        <w:tblW w:w="0" w:type="auto"/>
        <w:tblInd w:w="108" w:type="dxa"/>
        <w:tblLayout w:type="fixed"/>
        <w:tblLook w:val="04A0" w:firstRow="1" w:lastRow="0" w:firstColumn="1" w:lastColumn="0" w:noHBand="0" w:noVBand="1"/>
      </w:tblPr>
      <w:tblGrid>
        <w:gridCol w:w="851"/>
        <w:gridCol w:w="4111"/>
        <w:gridCol w:w="4110"/>
      </w:tblGrid>
      <w:tr w:rsidR="00484037" w:rsidRPr="00597561" w:rsidTr="00C22D4C">
        <w:tc>
          <w:tcPr>
            <w:tcW w:w="851" w:type="dxa"/>
            <w:tcBorders>
              <w:bottom w:val="single" w:sz="4" w:space="0" w:color="auto"/>
            </w:tcBorders>
            <w:shd w:val="clear" w:color="auto" w:fill="D6E3BC" w:themeFill="accent3" w:themeFillTint="66"/>
          </w:tcPr>
          <w:p w:rsidR="00484037" w:rsidRDefault="00484037" w:rsidP="00AA0145">
            <w:pPr>
              <w:pStyle w:val="Odsekzoznamu"/>
              <w:spacing w:before="120" w:after="120"/>
              <w:ind w:left="0"/>
              <w:contextualSpacing w:val="0"/>
              <w:jc w:val="both"/>
              <w:rPr>
                <w:b/>
                <w:i/>
              </w:rPr>
            </w:pPr>
          </w:p>
        </w:tc>
        <w:tc>
          <w:tcPr>
            <w:tcW w:w="4111" w:type="dxa"/>
            <w:tcBorders>
              <w:bottom w:val="single" w:sz="4" w:space="0" w:color="auto"/>
            </w:tcBorders>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Pr>
                <w:b/>
                <w:i/>
              </w:rPr>
              <w:t>Hodnota ukazovateľa</w:t>
            </w:r>
          </w:p>
        </w:tc>
        <w:tc>
          <w:tcPr>
            <w:tcW w:w="4110" w:type="dxa"/>
            <w:tcBorders>
              <w:bottom w:val="single" w:sz="4" w:space="0" w:color="auto"/>
            </w:tcBorders>
            <w:shd w:val="clear" w:color="auto" w:fill="D6E3BC" w:themeFill="accent3" w:themeFillTint="66"/>
          </w:tcPr>
          <w:p w:rsidR="00484037" w:rsidRPr="00597561" w:rsidRDefault="00484037" w:rsidP="00AA0145">
            <w:pPr>
              <w:pStyle w:val="Odsekzoznamu"/>
              <w:spacing w:before="120" w:after="120"/>
              <w:ind w:left="0"/>
              <w:contextualSpacing w:val="0"/>
              <w:jc w:val="both"/>
              <w:rPr>
                <w:b/>
                <w:i/>
              </w:rPr>
            </w:pPr>
            <w:r w:rsidRPr="00597561">
              <w:rPr>
                <w:b/>
                <w:i/>
              </w:rPr>
              <w:t>Musí sa rovnať alebo byť nižší ako</w:t>
            </w:r>
          </w:p>
        </w:tc>
      </w:tr>
      <w:tr w:rsidR="00484037" w:rsidRPr="00597561" w:rsidTr="00C22D4C">
        <w:tc>
          <w:tcPr>
            <w:tcW w:w="851" w:type="dxa"/>
            <w:vMerge w:val="restart"/>
            <w:shd w:val="clear" w:color="auto" w:fill="D6E3BC" w:themeFill="accent3" w:themeFillTint="66"/>
            <w:textDirection w:val="btLr"/>
            <w:vAlign w:val="center"/>
          </w:tcPr>
          <w:p w:rsidR="00484037" w:rsidRPr="00A963EC" w:rsidRDefault="00484037" w:rsidP="00AA0145">
            <w:pPr>
              <w:pStyle w:val="Odsekzoznamu"/>
              <w:spacing w:before="120" w:after="120"/>
              <w:ind w:left="113" w:right="113"/>
              <w:contextualSpacing w:val="0"/>
              <w:jc w:val="center"/>
              <w:rPr>
                <w:b/>
                <w:i/>
              </w:rPr>
            </w:pPr>
            <w:r w:rsidRPr="00A963EC">
              <w:rPr>
                <w:b/>
                <w:i/>
              </w:rPr>
              <w:t>Okamžitý výsledok</w:t>
            </w: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N</w:t>
            </w:r>
            <w:r w:rsidRPr="00F942CE">
              <w:rPr>
                <w:i/>
              </w:rPr>
              <w:t>eaktívni účastníci, ktorí sú v čase odchodu zapojení do hľadania práce</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Počet neaktívnych osôb</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sú v čase odchodu v procese vzdelávania/</w:t>
            </w:r>
            <w:r>
              <w:rPr>
                <w:i/>
              </w:rPr>
              <w:t xml:space="preserve"> </w:t>
            </w:r>
            <w:r w:rsidRPr="00F942CE">
              <w:rPr>
                <w:i/>
              </w:rPr>
              <w:t>odbornej prípravy</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 xml:space="preserve">Počet nezamestnaných + počet neaktívnych osôb, ktoré nie sú v procese vzdelávania ani odbornej prípravy + počet zamestnaných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v čase odchodu získavajú kvalifikáciu</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Počet všetkých účastníkov</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sú v čase odchodu zamestnaní, a to aj samostatne zárobkovo činní</w:t>
            </w:r>
          </w:p>
        </w:tc>
        <w:tc>
          <w:tcPr>
            <w:tcW w:w="4110" w:type="dxa"/>
            <w:shd w:val="clear" w:color="auto" w:fill="auto"/>
          </w:tcPr>
          <w:p w:rsidR="00484037" w:rsidRPr="00F942CE" w:rsidRDefault="00484037" w:rsidP="00AA0145">
            <w:pPr>
              <w:pStyle w:val="Odsekzoznamu"/>
              <w:spacing w:before="120" w:after="120"/>
              <w:ind w:left="0"/>
              <w:contextualSpacing w:val="0"/>
              <w:jc w:val="both"/>
              <w:rPr>
                <w:i/>
              </w:rPr>
            </w:pPr>
            <w:r w:rsidRPr="00F942CE">
              <w:rPr>
                <w:i/>
              </w:rPr>
              <w:t>Počet nezamestnaných + počet neaktívnych osôb</w:t>
            </w:r>
          </w:p>
        </w:tc>
      </w:tr>
      <w:tr w:rsidR="00484037" w:rsidRPr="00597561" w:rsidTr="00C22D4C">
        <w:tc>
          <w:tcPr>
            <w:tcW w:w="851" w:type="dxa"/>
            <w:vMerge/>
            <w:tcBorders>
              <w:bottom w:val="single" w:sz="4" w:space="0" w:color="auto"/>
            </w:tcBorders>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Z</w:t>
            </w:r>
            <w:r w:rsidRPr="00F942CE">
              <w:rPr>
                <w:i/>
              </w:rPr>
              <w:t>nevýhodnení účastníci, ktorí sú v čase odchodu zapojení do hľadania práce, vzdelávania/odbornej prípravy, získavania kvalifikácie, sú zamestnaní, a to aj samostatne zárobkovo činní</w:t>
            </w:r>
          </w:p>
        </w:tc>
        <w:tc>
          <w:tcPr>
            <w:tcW w:w="4110" w:type="dxa"/>
            <w:shd w:val="clear" w:color="auto" w:fill="auto"/>
          </w:tcPr>
          <w:p w:rsidR="00484037" w:rsidRPr="00A963EC" w:rsidRDefault="00484037" w:rsidP="00AA0145">
            <w:pPr>
              <w:spacing w:before="120" w:after="120"/>
              <w:rPr>
                <w:i/>
              </w:rPr>
            </w:pPr>
            <w:r w:rsidRPr="00A963EC">
              <w:rPr>
                <w:i/>
              </w:rPr>
              <w:t xml:space="preserve">Počet všetkých znevýhodnených osôb (t.j. počet účastníkov nachádzajúcich sa v jednej </w:t>
            </w:r>
            <w:r w:rsidRPr="00CD34BB">
              <w:rPr>
                <w:b/>
                <w:i/>
              </w:rPr>
              <w:t xml:space="preserve">alebo viacerých </w:t>
            </w:r>
            <w:r w:rsidRPr="00A963EC">
              <w:rPr>
                <w:i/>
              </w:rPr>
              <w:t>z nasledovných situácií: zdravotne postihnutý,</w:t>
            </w:r>
            <w:r>
              <w:rPr>
                <w:i/>
              </w:rPr>
              <w:t xml:space="preserve"> </w:t>
            </w:r>
            <w:r w:rsidRPr="00A963EC">
              <w:rPr>
                <w:i/>
              </w:rPr>
              <w:t>migrant/</w:t>
            </w:r>
            <w:r>
              <w:rPr>
                <w:i/>
              </w:rPr>
              <w:t xml:space="preserve"> </w:t>
            </w:r>
            <w:r w:rsidRPr="00A963EC">
              <w:rPr>
                <w:i/>
              </w:rPr>
              <w:t>menšina,</w:t>
            </w:r>
            <w:r>
              <w:rPr>
                <w:i/>
              </w:rPr>
              <w:t xml:space="preserve"> </w:t>
            </w:r>
            <w:r w:rsidRPr="00A963EC">
              <w:rPr>
                <w:i/>
              </w:rPr>
              <w:t>iné znevýhodnenie,</w:t>
            </w:r>
            <w:r>
              <w:rPr>
                <w:i/>
              </w:rPr>
              <w:t xml:space="preserve"> </w:t>
            </w:r>
            <w:r w:rsidRPr="00A963EC">
              <w:rPr>
                <w:i/>
              </w:rPr>
              <w:t>domácnosť nezamestnaných osôb, domácnosť nezamestnaných osôb so závislými deťmi</w:t>
            </w:r>
          </w:p>
        </w:tc>
      </w:tr>
      <w:tr w:rsidR="00484037" w:rsidRPr="00597561" w:rsidTr="00C22D4C">
        <w:tc>
          <w:tcPr>
            <w:tcW w:w="851" w:type="dxa"/>
            <w:vMerge w:val="restart"/>
            <w:shd w:val="clear" w:color="auto" w:fill="D6E3BC" w:themeFill="accent3" w:themeFillTint="66"/>
            <w:textDirection w:val="btLr"/>
            <w:vAlign w:val="center"/>
          </w:tcPr>
          <w:p w:rsidR="00484037" w:rsidRPr="00A963EC" w:rsidRDefault="00484037" w:rsidP="00AA0145">
            <w:pPr>
              <w:pStyle w:val="Odsekzoznamu"/>
              <w:spacing w:before="120" w:after="120"/>
              <w:ind w:left="113" w:right="113"/>
              <w:contextualSpacing w:val="0"/>
              <w:jc w:val="center"/>
              <w:rPr>
                <w:b/>
                <w:i/>
              </w:rPr>
            </w:pPr>
            <w:r w:rsidRPr="00A963EC">
              <w:rPr>
                <w:b/>
                <w:i/>
              </w:rPr>
              <w:t>Dlhodobý výsledok</w:t>
            </w: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ktorí sú šesť mesiacov po odchode zamestnaní, a to aj samostatne zárobkovo činní</w:t>
            </w:r>
          </w:p>
        </w:tc>
        <w:tc>
          <w:tcPr>
            <w:tcW w:w="4110" w:type="dxa"/>
            <w:shd w:val="clear" w:color="auto" w:fill="auto"/>
          </w:tcPr>
          <w:p w:rsidR="00484037" w:rsidRPr="00A963EC" w:rsidRDefault="00484037" w:rsidP="00AA0145">
            <w:pPr>
              <w:pStyle w:val="Odsekzoznamu"/>
              <w:spacing w:before="120" w:after="120"/>
              <w:ind w:left="0"/>
              <w:contextualSpacing w:val="0"/>
              <w:jc w:val="both"/>
              <w:rPr>
                <w:i/>
              </w:rPr>
            </w:pPr>
            <w:r w:rsidRPr="00A963EC">
              <w:rPr>
                <w:i/>
              </w:rPr>
              <w:t>Vzorka</w:t>
            </w:r>
            <w:r>
              <w:rPr>
                <w:i/>
              </w:rPr>
              <w:t>*</w:t>
            </w:r>
            <w:r w:rsidRPr="00A963EC">
              <w:rPr>
                <w:i/>
              </w:rPr>
              <w:t xml:space="preserve"> pokrývajúca účastníkov, ktorí boli v čase vstupu do projektu </w:t>
            </w:r>
            <w:r w:rsidRPr="00A963EC">
              <w:rPr>
                <w:b/>
                <w:i/>
              </w:rPr>
              <w:t>nezamestnaní alebo neaktívni</w:t>
            </w:r>
            <w:r w:rsidRPr="00A963EC">
              <w:rPr>
                <w:i/>
              </w:rPr>
              <w:t xml:space="preserve">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ktorých situácia na trhu práce sa šesť mesiacov po odchode zlepšila</w:t>
            </w:r>
          </w:p>
        </w:tc>
        <w:tc>
          <w:tcPr>
            <w:tcW w:w="4110" w:type="dxa"/>
            <w:shd w:val="clear" w:color="auto" w:fill="auto"/>
          </w:tcPr>
          <w:p w:rsidR="00484037" w:rsidRPr="00597561" w:rsidRDefault="00484037" w:rsidP="00AA0145">
            <w:pPr>
              <w:pStyle w:val="Odsekzoznamu"/>
              <w:spacing w:before="120" w:after="120"/>
              <w:ind w:left="0"/>
              <w:contextualSpacing w:val="0"/>
              <w:jc w:val="both"/>
              <w:rPr>
                <w:b/>
                <w:i/>
              </w:rPr>
            </w:pPr>
            <w:r w:rsidRPr="00A963EC">
              <w:rPr>
                <w:i/>
              </w:rPr>
              <w:t>Vzorka</w:t>
            </w:r>
            <w:r>
              <w:rPr>
                <w:i/>
              </w:rPr>
              <w:t>*</w:t>
            </w:r>
            <w:r w:rsidRPr="00A963EC">
              <w:rPr>
                <w:i/>
              </w:rPr>
              <w:t xml:space="preserve"> pokrývajúca účastníkov, ktorí boli</w:t>
            </w:r>
            <w:r w:rsidRPr="00A963EC">
              <w:rPr>
                <w:b/>
                <w:i/>
              </w:rPr>
              <w:t xml:space="preserve"> </w:t>
            </w:r>
            <w:r w:rsidRPr="00A963EC">
              <w:rPr>
                <w:i/>
              </w:rPr>
              <w:t>v čase vstupu do projektu</w:t>
            </w:r>
            <w:r w:rsidRPr="00A963EC">
              <w:rPr>
                <w:b/>
                <w:i/>
              </w:rPr>
              <w:t xml:space="preserve"> zamestnaní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Ú</w:t>
            </w:r>
            <w:r w:rsidRPr="00F942CE">
              <w:rPr>
                <w:i/>
              </w:rPr>
              <w:t>častníci vo veku nad 54 rokov, ktorí sú šesť mesiacov po odchode zamestnaní, a to aj samostatne zárobkovo činní</w:t>
            </w:r>
          </w:p>
        </w:tc>
        <w:tc>
          <w:tcPr>
            <w:tcW w:w="4110" w:type="dxa"/>
            <w:shd w:val="clear" w:color="auto" w:fill="auto"/>
          </w:tcPr>
          <w:p w:rsidR="00484037" w:rsidRPr="00597561" w:rsidRDefault="00484037" w:rsidP="00AA0145">
            <w:pPr>
              <w:pStyle w:val="Odsekzoznamu"/>
              <w:spacing w:before="120" w:after="120"/>
              <w:ind w:left="0"/>
              <w:contextualSpacing w:val="0"/>
              <w:jc w:val="both"/>
              <w:rPr>
                <w:b/>
                <w:i/>
              </w:rPr>
            </w:pPr>
            <w:r w:rsidRPr="00A963EC">
              <w:rPr>
                <w:i/>
              </w:rPr>
              <w:t>Vzorka</w:t>
            </w:r>
            <w:r>
              <w:rPr>
                <w:i/>
              </w:rPr>
              <w:t>*</w:t>
            </w:r>
            <w:r w:rsidRPr="00A963EC">
              <w:rPr>
                <w:i/>
              </w:rPr>
              <w:t xml:space="preserve"> pokrývajúca účastníkov, ktorí boli v čase vstupu do projektu</w:t>
            </w:r>
            <w:r w:rsidRPr="00A963EC">
              <w:rPr>
                <w:b/>
                <w:i/>
              </w:rPr>
              <w:t xml:space="preserve"> </w:t>
            </w:r>
            <w:r>
              <w:rPr>
                <w:b/>
                <w:i/>
              </w:rPr>
              <w:t xml:space="preserve">vo veku nad 54 rokov a zároveň </w:t>
            </w:r>
            <w:r w:rsidRPr="00A963EC">
              <w:rPr>
                <w:b/>
                <w:i/>
              </w:rPr>
              <w:t xml:space="preserve">nezamestnaní alebo neaktívni </w:t>
            </w:r>
          </w:p>
        </w:tc>
      </w:tr>
      <w:tr w:rsidR="00484037" w:rsidRPr="00597561" w:rsidTr="00C22D4C">
        <w:tc>
          <w:tcPr>
            <w:tcW w:w="851" w:type="dxa"/>
            <w:vMerge/>
            <w:shd w:val="clear" w:color="auto" w:fill="D6E3BC" w:themeFill="accent3" w:themeFillTint="66"/>
          </w:tcPr>
          <w:p w:rsidR="00484037" w:rsidRDefault="00484037" w:rsidP="00AA0145">
            <w:pPr>
              <w:pStyle w:val="Odsekzoznamu"/>
              <w:spacing w:before="120" w:after="120"/>
              <w:ind w:left="0"/>
              <w:contextualSpacing w:val="0"/>
              <w:jc w:val="both"/>
              <w:rPr>
                <w:i/>
              </w:rPr>
            </w:pPr>
          </w:p>
        </w:tc>
        <w:tc>
          <w:tcPr>
            <w:tcW w:w="4111" w:type="dxa"/>
            <w:shd w:val="clear" w:color="auto" w:fill="auto"/>
          </w:tcPr>
          <w:p w:rsidR="00484037" w:rsidRPr="00F942CE" w:rsidRDefault="00484037" w:rsidP="00AA0145">
            <w:pPr>
              <w:pStyle w:val="Odsekzoznamu"/>
              <w:spacing w:before="120" w:after="120"/>
              <w:ind w:left="0"/>
              <w:contextualSpacing w:val="0"/>
              <w:jc w:val="both"/>
              <w:rPr>
                <w:i/>
              </w:rPr>
            </w:pPr>
            <w:r>
              <w:rPr>
                <w:i/>
              </w:rPr>
              <w:t>Z</w:t>
            </w:r>
            <w:r w:rsidRPr="00F942CE">
              <w:rPr>
                <w:i/>
              </w:rPr>
              <w:t>nevýhodnení účastníci, ktorí sú šesť mesiacov po odchode zamestnaní, a to aj samostatne zárobkovo činní</w:t>
            </w:r>
          </w:p>
        </w:tc>
        <w:tc>
          <w:tcPr>
            <w:tcW w:w="4110" w:type="dxa"/>
            <w:shd w:val="clear" w:color="auto" w:fill="auto"/>
          </w:tcPr>
          <w:p w:rsidR="00484037" w:rsidRPr="00A963EC" w:rsidRDefault="00484037" w:rsidP="00AA0145">
            <w:pPr>
              <w:pStyle w:val="Odsekzoznamu"/>
              <w:spacing w:before="120" w:after="120"/>
              <w:ind w:left="0"/>
              <w:contextualSpacing w:val="0"/>
              <w:rPr>
                <w:i/>
              </w:rPr>
            </w:pPr>
            <w:r>
              <w:rPr>
                <w:i/>
              </w:rPr>
              <w:t xml:space="preserve">Vzorka*  </w:t>
            </w:r>
            <w:r w:rsidRPr="00A963EC">
              <w:rPr>
                <w:i/>
              </w:rPr>
              <w:t>pokrývajúca účastníkov, ktorí sa nachádzali v</w:t>
            </w:r>
            <w:r>
              <w:rPr>
                <w:i/>
              </w:rPr>
              <w:t> </w:t>
            </w:r>
            <w:r w:rsidRPr="00A963EC">
              <w:rPr>
                <w:i/>
              </w:rPr>
              <w:t>jednej</w:t>
            </w:r>
            <w:r>
              <w:rPr>
                <w:i/>
              </w:rPr>
              <w:t xml:space="preserve"> </w:t>
            </w:r>
            <w:r w:rsidRPr="00CD34BB">
              <w:rPr>
                <w:b/>
                <w:i/>
              </w:rPr>
              <w:t>alebo viacerých</w:t>
            </w:r>
            <w:r w:rsidRPr="00A963EC">
              <w:rPr>
                <w:i/>
              </w:rPr>
              <w:t xml:space="preserve"> z nasledovných situácií: zdravotne postihnutý, migrant/menšina,</w:t>
            </w:r>
            <w:r>
              <w:rPr>
                <w:i/>
              </w:rPr>
              <w:t xml:space="preserve"> </w:t>
            </w:r>
            <w:r w:rsidRPr="00A963EC">
              <w:rPr>
                <w:i/>
              </w:rPr>
              <w:t>iné znevýhodnenie,</w:t>
            </w:r>
            <w:r>
              <w:rPr>
                <w:i/>
              </w:rPr>
              <w:t xml:space="preserve"> </w:t>
            </w:r>
            <w:r w:rsidRPr="00A963EC">
              <w:rPr>
                <w:i/>
              </w:rPr>
              <w:t>domácnosť nezamestnaných osôb, domácnosť nezamestnaných osôb so závislými deťmi</w:t>
            </w:r>
          </w:p>
        </w:tc>
      </w:tr>
    </w:tbl>
    <w:p w:rsidR="00484037" w:rsidRDefault="00484037" w:rsidP="00484037">
      <w:pPr>
        <w:spacing w:before="120" w:after="120"/>
        <w:jc w:val="both"/>
        <w:rPr>
          <w:sz w:val="16"/>
          <w:szCs w:val="16"/>
        </w:rPr>
      </w:pPr>
      <w:r>
        <w:t xml:space="preserve">* </w:t>
      </w:r>
      <w:r w:rsidRPr="00F32794">
        <w:rPr>
          <w:sz w:val="20"/>
          <w:szCs w:val="20"/>
        </w:rPr>
        <w:t>údaje týkajúce sa dlhodobých výsledkov je postačujúce zaznamenať na základe reprezentatívnej vzorky</w:t>
      </w:r>
    </w:p>
    <w:p w:rsidR="00484037" w:rsidRPr="000D77A6" w:rsidRDefault="00484037" w:rsidP="00484037">
      <w:pPr>
        <w:pStyle w:val="MPCKO2"/>
        <w:ind w:left="709" w:hanging="709"/>
      </w:pPr>
      <w:bookmarkStart w:id="12" w:name="_Toc415571707"/>
      <w:r>
        <w:t xml:space="preserve">6.2 </w:t>
      </w:r>
      <w:r w:rsidRPr="000D77A6">
        <w:t>Pravidlá vykazovania účastník</w:t>
      </w:r>
      <w:r>
        <w:t>ov</w:t>
      </w:r>
      <w:r w:rsidRPr="000D77A6">
        <w:t xml:space="preserve"> </w:t>
      </w:r>
      <w:r>
        <w:t xml:space="preserve">podporených v rámci </w:t>
      </w:r>
      <w:r w:rsidR="00AB61A0">
        <w:t>IZM</w:t>
      </w:r>
      <w:bookmarkEnd w:id="12"/>
      <w:r w:rsidR="00AB61A0">
        <w:t xml:space="preserve"> </w:t>
      </w:r>
    </w:p>
    <w:p w:rsidR="00484037" w:rsidRDefault="00484037" w:rsidP="00C22D4C">
      <w:pPr>
        <w:pStyle w:val="Odsekzoznamu"/>
        <w:numPr>
          <w:ilvl w:val="1"/>
          <w:numId w:val="19"/>
        </w:numPr>
        <w:spacing w:before="120" w:after="120"/>
        <w:ind w:left="426" w:hanging="426"/>
        <w:contextualSpacing w:val="0"/>
        <w:jc w:val="both"/>
      </w:pPr>
      <w:r>
        <w:t>Údaje o účastníkoch, ktorí získali podporu v rámci IZM, musia byť vykazované od roku 2015 podľa prílohy I a II Nariadenia o ESF. Od roku 2015 je z prílohy I nariadenia o ESF potrebné vykazovať údaje, ktoré sa týkajú spoločných ukazovateľov výstupu a spoločných ukazovateľov okamžitých výsledkov. Údaje k spoločným ukazovateľom dlhodobých výsledkov z prílohy I Nariadenia o ESF budú vykazované len 2 - krát počas programového obdobia a to vo výročnej správe o vykonávaní operačného programu za rok 2018 predkladanej v roku 2019 a v záverečnej správe o vykonávaní operačného programu predkladanej v roku 2025.</w:t>
      </w:r>
    </w:p>
    <w:p w:rsidR="00484037" w:rsidRDefault="00484037" w:rsidP="00C22D4C">
      <w:pPr>
        <w:pStyle w:val="Odsekzoznamu"/>
        <w:numPr>
          <w:ilvl w:val="1"/>
          <w:numId w:val="19"/>
        </w:numPr>
        <w:spacing w:before="120" w:after="120" w:line="276" w:lineRule="auto"/>
        <w:ind w:left="426" w:hanging="426"/>
        <w:contextualSpacing w:val="0"/>
        <w:jc w:val="both"/>
      </w:pPr>
      <w:r>
        <w:t>Ukazovatele okamžitých výsledkov podľa prílohy II Nariadenia o ESF popisujú zmenenú situáciu účastníka, ktorá znamená buď:</w:t>
      </w:r>
    </w:p>
    <w:p w:rsidR="00484037" w:rsidRDefault="00484037" w:rsidP="00C22D4C">
      <w:pPr>
        <w:pStyle w:val="Odsekzoznamu"/>
        <w:numPr>
          <w:ilvl w:val="2"/>
          <w:numId w:val="23"/>
        </w:numPr>
        <w:spacing w:before="120" w:after="120"/>
        <w:ind w:left="851" w:hanging="425"/>
        <w:contextualSpacing w:val="0"/>
        <w:jc w:val="both"/>
      </w:pPr>
      <w:r>
        <w:t xml:space="preserve">dokončenie intervencie z IZM,  </w:t>
      </w:r>
    </w:p>
    <w:p w:rsidR="00484037" w:rsidRDefault="00484037" w:rsidP="00C22D4C">
      <w:pPr>
        <w:pStyle w:val="Odsekzoznamu"/>
        <w:numPr>
          <w:ilvl w:val="2"/>
          <w:numId w:val="23"/>
        </w:numPr>
        <w:spacing w:before="120" w:after="120"/>
        <w:ind w:left="851" w:hanging="425"/>
        <w:contextualSpacing w:val="0"/>
        <w:jc w:val="both"/>
      </w:pPr>
      <w:r>
        <w:t xml:space="preserve">získanie ponuky </w:t>
      </w:r>
      <w:r w:rsidRPr="00E13E42">
        <w:t>zamestnani</w:t>
      </w:r>
      <w:r>
        <w:t>a</w:t>
      </w:r>
      <w:r w:rsidRPr="00E13E42">
        <w:t>, ďalšie</w:t>
      </w:r>
      <w:r>
        <w:t>ho</w:t>
      </w:r>
      <w:r w:rsidRPr="00E13E42">
        <w:t xml:space="preserve"> vzdelávani</w:t>
      </w:r>
      <w:r>
        <w:t>a</w:t>
      </w:r>
      <w:r w:rsidRPr="00E13E42">
        <w:t>, učňovsk</w:t>
      </w:r>
      <w:r>
        <w:t>ej</w:t>
      </w:r>
      <w:r w:rsidRPr="00E13E42">
        <w:t xml:space="preserve"> príprav</w:t>
      </w:r>
      <w:r>
        <w:t>y</w:t>
      </w:r>
      <w:r w:rsidRPr="00E13E42">
        <w:t xml:space="preserve"> alebo stáž</w:t>
      </w:r>
      <w:r>
        <w:t>e alebo</w:t>
      </w:r>
    </w:p>
    <w:p w:rsidR="00484037" w:rsidRDefault="00484037" w:rsidP="00C22D4C">
      <w:pPr>
        <w:pStyle w:val="Odsekzoznamu"/>
        <w:numPr>
          <w:ilvl w:val="2"/>
          <w:numId w:val="23"/>
        </w:numPr>
        <w:spacing w:before="120" w:after="120"/>
        <w:ind w:left="851" w:hanging="425"/>
        <w:contextualSpacing w:val="0"/>
        <w:jc w:val="both"/>
      </w:pPr>
      <w:r>
        <w:t>zmenu situácie tak, že účastník je v čase odchodu buď</w:t>
      </w:r>
      <w:r w:rsidRPr="00E13E42">
        <w:t xml:space="preserve"> v procese vzdelávania/odbornej prípravy</w:t>
      </w:r>
      <w:r w:rsidR="001902D5">
        <w:t>,</w:t>
      </w:r>
      <w:r w:rsidRPr="00E13E42">
        <w:t xml:space="preserve"> alebo získa kvalifikáciu</w:t>
      </w:r>
      <w:r w:rsidR="001902D5">
        <w:t>,</w:t>
      </w:r>
      <w:r w:rsidRPr="00E13E42">
        <w:t xml:space="preserve"> alebo </w:t>
      </w:r>
      <w:r>
        <w:t>je</w:t>
      </w:r>
      <w:r w:rsidRPr="00E13E42">
        <w:t xml:space="preserve"> zamestnan</w:t>
      </w:r>
      <w:r>
        <w:t>ý</w:t>
      </w:r>
      <w:r w:rsidRPr="00E13E42">
        <w:t xml:space="preserve"> vrátane </w:t>
      </w:r>
      <w:r>
        <w:t>statusu SZČO.</w:t>
      </w:r>
    </w:p>
    <w:p w:rsidR="00484037" w:rsidRDefault="00484037" w:rsidP="00C22D4C">
      <w:pPr>
        <w:pStyle w:val="Odsekzoznamu"/>
        <w:numPr>
          <w:ilvl w:val="1"/>
          <w:numId w:val="19"/>
        </w:numPr>
        <w:spacing w:before="120" w:after="120"/>
        <w:ind w:left="426" w:hanging="426"/>
        <w:contextualSpacing w:val="0"/>
        <w:jc w:val="both"/>
      </w:pPr>
      <w:r>
        <w:t>Zmenená situácia sa sleduje a vykazuje samostatne pre každú z nasledovných skupín podľa zamestnaneckého postavenia:</w:t>
      </w:r>
    </w:p>
    <w:p w:rsidR="00484037" w:rsidRDefault="00484037" w:rsidP="00C22D4C">
      <w:pPr>
        <w:pStyle w:val="Odsekzoznamu"/>
        <w:numPr>
          <w:ilvl w:val="0"/>
          <w:numId w:val="24"/>
        </w:numPr>
        <w:spacing w:before="120" w:after="120"/>
        <w:ind w:left="851" w:hanging="425"/>
        <w:contextualSpacing w:val="0"/>
        <w:jc w:val="both"/>
      </w:pPr>
      <w:r>
        <w:t>nezamestnaní,</w:t>
      </w:r>
    </w:p>
    <w:p w:rsidR="00484037" w:rsidRDefault="00484037" w:rsidP="00C22D4C">
      <w:pPr>
        <w:pStyle w:val="Odsekzoznamu"/>
        <w:numPr>
          <w:ilvl w:val="0"/>
          <w:numId w:val="24"/>
        </w:numPr>
        <w:spacing w:before="120" w:after="120"/>
        <w:ind w:left="851" w:hanging="425"/>
        <w:contextualSpacing w:val="0"/>
        <w:jc w:val="both"/>
      </w:pPr>
      <w:r>
        <w:t>dlhodobo nezamestnaní,</w:t>
      </w:r>
    </w:p>
    <w:p w:rsidR="00484037" w:rsidRDefault="00484037" w:rsidP="00C22D4C">
      <w:pPr>
        <w:pStyle w:val="Odsekzoznamu"/>
        <w:numPr>
          <w:ilvl w:val="0"/>
          <w:numId w:val="24"/>
        </w:numPr>
        <w:spacing w:before="120" w:after="120"/>
        <w:ind w:left="851" w:hanging="425"/>
        <w:contextualSpacing w:val="0"/>
        <w:jc w:val="both"/>
      </w:pPr>
      <w:r>
        <w:t xml:space="preserve">neaktívni </w:t>
      </w:r>
      <w:r w:rsidRPr="006E5342">
        <w:t>účastníci, ktorí nie sú v procese vzdelávania alebo odbornej prípravy</w:t>
      </w:r>
      <w:r>
        <w:t>.</w:t>
      </w:r>
    </w:p>
    <w:p w:rsidR="00484037" w:rsidRDefault="00484037" w:rsidP="00C22D4C">
      <w:pPr>
        <w:pStyle w:val="Odsekzoznamu"/>
        <w:numPr>
          <w:ilvl w:val="1"/>
          <w:numId w:val="19"/>
        </w:numPr>
        <w:spacing w:before="120" w:after="120" w:line="276" w:lineRule="auto"/>
        <w:ind w:left="426" w:hanging="426"/>
        <w:contextualSpacing w:val="0"/>
        <w:jc w:val="both"/>
      </w:pPr>
      <w:r>
        <w:lastRenderedPageBreak/>
        <w:t>Dokončenie intervencie z IZM – zarátavajú sa len účastníci, ktorí ukončili celú plánovanú intervenciu. Účastníci, ktorí z akýchkoľvek dôvodov neukončili celú plánovanú intervenciu, nie sú zarátavaní do takéhoto ukazovateľa.</w:t>
      </w:r>
    </w:p>
    <w:p w:rsidR="00484037" w:rsidRDefault="00484037" w:rsidP="00C22D4C">
      <w:pPr>
        <w:pStyle w:val="Odsekzoznamu"/>
        <w:numPr>
          <w:ilvl w:val="1"/>
          <w:numId w:val="19"/>
        </w:numPr>
        <w:spacing w:before="120" w:after="120" w:line="276" w:lineRule="auto"/>
        <w:ind w:left="426" w:hanging="426"/>
        <w:contextualSpacing w:val="0"/>
        <w:jc w:val="both"/>
      </w:pPr>
      <w:r>
        <w:t>Intervencia je súbor aktivít naplánovaných pre účastníka; intervencia môže byť kratšia ako samotný projekt.</w:t>
      </w:r>
    </w:p>
    <w:p w:rsidR="00484037" w:rsidRDefault="00484037" w:rsidP="00C22D4C">
      <w:pPr>
        <w:pStyle w:val="Odsekzoznamu"/>
        <w:numPr>
          <w:ilvl w:val="1"/>
          <w:numId w:val="19"/>
        </w:numPr>
        <w:spacing w:before="120" w:after="120" w:line="276" w:lineRule="auto"/>
        <w:ind w:left="426" w:hanging="426"/>
        <w:contextualSpacing w:val="0"/>
        <w:jc w:val="both"/>
      </w:pPr>
      <w:r>
        <w:t>Z</w:t>
      </w:r>
      <w:r w:rsidRPr="00C833BC">
        <w:t>ískanie ponuky zamestnania, ďalšieho vzdelávania, učňovskej prípravy alebo stáže</w:t>
      </w:r>
      <w:r>
        <w:t xml:space="preserve"> - musí nastať do  4 týždňov od ukončenia </w:t>
      </w:r>
      <w:r w:rsidR="006B62C7">
        <w:t>účasti na projekte</w:t>
      </w:r>
      <w:r>
        <w:t>. V tomto prípade ukazovateľ pokrýva všetkých účastníkov, teda aj tých, ktorí ukončili účasť v projekte skôr.</w:t>
      </w:r>
    </w:p>
    <w:p w:rsidR="00484037" w:rsidRDefault="00484037" w:rsidP="00C22D4C">
      <w:pPr>
        <w:pStyle w:val="Odsekzoznamu"/>
        <w:numPr>
          <w:ilvl w:val="1"/>
          <w:numId w:val="19"/>
        </w:numPr>
        <w:spacing w:before="120" w:after="120" w:line="276" w:lineRule="auto"/>
        <w:ind w:left="426" w:hanging="426"/>
        <w:contextualSpacing w:val="0"/>
        <w:jc w:val="both"/>
      </w:pPr>
      <w:r>
        <w:t>Ú</w:t>
      </w:r>
      <w:r w:rsidRPr="00C833BC">
        <w:t>častník je v čase odchodu buď v procese vzdelávania/odbornej prípravy</w:t>
      </w:r>
      <w:r w:rsidR="001852F8">
        <w:t>,</w:t>
      </w:r>
      <w:r w:rsidRPr="00C833BC">
        <w:t xml:space="preserve"> alebo získa kvalifikáciu</w:t>
      </w:r>
      <w:r w:rsidR="001852F8">
        <w:t>,</w:t>
      </w:r>
      <w:r w:rsidRPr="00C833BC">
        <w:t xml:space="preserve"> alebo je zamestnaný vrátane SZČO</w:t>
      </w:r>
      <w:r>
        <w:t xml:space="preserve"> – zmena </w:t>
      </w:r>
      <w:r w:rsidRPr="00C833BC">
        <w:t xml:space="preserve">musí nastať do 4 týždňov od ukončenia </w:t>
      </w:r>
      <w:r w:rsidR="006B62C7">
        <w:t>účasti na projekte</w:t>
      </w:r>
      <w:r w:rsidRPr="00C833BC">
        <w:t xml:space="preserve">. </w:t>
      </w:r>
      <w:r>
        <w:t>Aj v</w:t>
      </w:r>
      <w:r w:rsidRPr="00C833BC">
        <w:t> tomto prípade ukazovateľ pokrýva všetkých účastníkov, teda aj tých, ktorí ukončili účasť v projekte skôr.</w:t>
      </w:r>
    </w:p>
    <w:p w:rsidR="00484037" w:rsidRDefault="00484037" w:rsidP="00C22D4C">
      <w:pPr>
        <w:pStyle w:val="Odsekzoznamu"/>
        <w:numPr>
          <w:ilvl w:val="1"/>
          <w:numId w:val="19"/>
        </w:numPr>
        <w:spacing w:before="120" w:after="120" w:line="276" w:lineRule="auto"/>
        <w:ind w:left="426" w:hanging="426"/>
        <w:contextualSpacing w:val="0"/>
        <w:jc w:val="both"/>
      </w:pPr>
      <w:r w:rsidRPr="001B3BF2">
        <w:t xml:space="preserve">Spoločné ukazovatele dlhodobých výsledkov </w:t>
      </w:r>
      <w:r>
        <w:t xml:space="preserve">podľa prílohy II Nariadenia o ESF </w:t>
      </w:r>
      <w:r w:rsidRPr="001B3BF2">
        <w:t xml:space="preserve">pre účastníkov </w:t>
      </w:r>
      <w:r>
        <w:t>podporených z IZM zachytávajú jednu z nasledovných situácií, ktorá nastala po 6 mesiacoch:</w:t>
      </w:r>
    </w:p>
    <w:p w:rsidR="00484037" w:rsidRDefault="00484037" w:rsidP="00C22D4C">
      <w:pPr>
        <w:pStyle w:val="Odsekzoznamu"/>
        <w:numPr>
          <w:ilvl w:val="0"/>
          <w:numId w:val="25"/>
        </w:numPr>
        <w:spacing w:before="120" w:after="120" w:line="276" w:lineRule="auto"/>
        <w:ind w:left="851" w:hanging="425"/>
        <w:contextualSpacing w:val="0"/>
        <w:jc w:val="both"/>
      </w:pPr>
      <w:r w:rsidRPr="001B3BF2">
        <w:t>účastníci, ktorí po odchode absolvujú ďalšie vzdelávanie, program odbornej prípravy vedúci k získaniu kvalifikácie,</w:t>
      </w:r>
    </w:p>
    <w:p w:rsidR="00484037" w:rsidRDefault="00484037" w:rsidP="00C22D4C">
      <w:pPr>
        <w:pStyle w:val="Odsekzoznamu"/>
        <w:numPr>
          <w:ilvl w:val="0"/>
          <w:numId w:val="25"/>
        </w:numPr>
        <w:spacing w:before="120" w:after="120" w:line="276" w:lineRule="auto"/>
        <w:ind w:left="851" w:hanging="425"/>
        <w:contextualSpacing w:val="0"/>
        <w:jc w:val="both"/>
      </w:pPr>
      <w:r w:rsidRPr="001B3BF2">
        <w:t>učňovskú prí</w:t>
      </w:r>
      <w:r>
        <w:t xml:space="preserve">pravu alebo stáž, </w:t>
      </w:r>
      <w:r w:rsidRPr="001B3BF2">
        <w:t xml:space="preserve">účastníci, ktorí sú </w:t>
      </w:r>
      <w:r>
        <w:t xml:space="preserve">zamestnaní, </w:t>
      </w:r>
    </w:p>
    <w:p w:rsidR="00484037" w:rsidRDefault="00484037" w:rsidP="00C22D4C">
      <w:pPr>
        <w:pStyle w:val="Odsekzoznamu"/>
        <w:numPr>
          <w:ilvl w:val="0"/>
          <w:numId w:val="25"/>
        </w:numPr>
        <w:spacing w:before="120" w:after="120" w:line="276" w:lineRule="auto"/>
        <w:ind w:left="851" w:hanging="425"/>
        <w:contextualSpacing w:val="0"/>
        <w:jc w:val="both"/>
      </w:pPr>
      <w:r w:rsidRPr="001B3BF2">
        <w:t xml:space="preserve">účastníci, ktorí sú </w:t>
      </w:r>
      <w:r>
        <w:t>samostatne zárobkovo činní</w:t>
      </w:r>
      <w:r w:rsidRPr="001B3BF2">
        <w:t>.</w:t>
      </w:r>
    </w:p>
    <w:p w:rsidR="000E2E4D" w:rsidRPr="00CC5171" w:rsidRDefault="000D77A6" w:rsidP="000D77A6">
      <w:pPr>
        <w:pStyle w:val="MPCKO1"/>
        <w:rPr>
          <w:rFonts w:cs="Times New Roman"/>
          <w:sz w:val="22"/>
          <w:szCs w:val="22"/>
          <w:lang w:eastAsia="cs-CZ"/>
        </w:rPr>
      </w:pPr>
      <w:bookmarkStart w:id="13" w:name="_Toc415571708"/>
      <w:r>
        <w:t xml:space="preserve">7 </w:t>
      </w:r>
      <w:r w:rsidR="000238AE" w:rsidRPr="00FC621D">
        <w:t>Záverečné ustanovenia</w:t>
      </w:r>
      <w:bookmarkEnd w:id="13"/>
    </w:p>
    <w:bookmarkEnd w:id="5"/>
    <w:bookmarkEnd w:id="6"/>
    <w:p w:rsidR="004A1C70" w:rsidRPr="000D77A6" w:rsidRDefault="00724B6A" w:rsidP="00C22D4C">
      <w:pPr>
        <w:pStyle w:val="odseky"/>
        <w:numPr>
          <w:ilvl w:val="0"/>
          <w:numId w:val="5"/>
        </w:numPr>
        <w:spacing w:before="120" w:after="120"/>
        <w:ind w:left="425" w:hanging="425"/>
        <w:rPr>
          <w:rFonts w:ascii="Times New Roman" w:eastAsiaTheme="minorHAnsi" w:hAnsi="Times New Roman"/>
          <w:szCs w:val="22"/>
          <w:lang w:eastAsia="en-US"/>
        </w:rPr>
      </w:pPr>
      <w:r w:rsidRPr="000D77A6">
        <w:rPr>
          <w:rFonts w:ascii="Times New Roman" w:eastAsiaTheme="minorHAnsi" w:hAnsi="Times New Roman"/>
          <w:szCs w:val="22"/>
          <w:lang w:eastAsia="en-US"/>
        </w:rPr>
        <w:t>Tento metodický pokyn je záväzný v celom jeho rozsahu, pričom subjekty, pre ktorých je určený sa od neho môž</w:t>
      </w:r>
      <w:r w:rsidR="004A1C70" w:rsidRPr="000D77A6">
        <w:rPr>
          <w:rFonts w:ascii="Times New Roman" w:eastAsiaTheme="minorHAnsi" w:hAnsi="Times New Roman"/>
          <w:szCs w:val="22"/>
          <w:lang w:eastAsia="en-US"/>
        </w:rPr>
        <w:t>u</w:t>
      </w:r>
      <w:r w:rsidRPr="000D77A6">
        <w:rPr>
          <w:rFonts w:ascii="Times New Roman" w:eastAsiaTheme="minorHAnsi" w:hAnsi="Times New Roman"/>
          <w:szCs w:val="22"/>
          <w:lang w:eastAsia="en-US"/>
        </w:rPr>
        <w:t xml:space="preserve"> odchýliť, len v</w:t>
      </w:r>
      <w:r w:rsidR="00AB61A0">
        <w:rPr>
          <w:rFonts w:ascii="Times New Roman" w:eastAsiaTheme="minorHAnsi" w:hAnsi="Times New Roman"/>
          <w:szCs w:val="22"/>
          <w:lang w:eastAsia="en-US"/>
        </w:rPr>
        <w:t> </w:t>
      </w:r>
      <w:r w:rsidRPr="000D77A6">
        <w:rPr>
          <w:rFonts w:ascii="Times New Roman" w:eastAsiaTheme="minorHAnsi" w:hAnsi="Times New Roman"/>
          <w:szCs w:val="22"/>
          <w:lang w:eastAsia="en-US"/>
        </w:rPr>
        <w:t>prípade</w:t>
      </w:r>
      <w:r w:rsidR="00AB61A0">
        <w:rPr>
          <w:rFonts w:ascii="Times New Roman" w:eastAsiaTheme="minorHAnsi" w:hAnsi="Times New Roman"/>
          <w:szCs w:val="22"/>
          <w:lang w:eastAsia="en-US"/>
        </w:rPr>
        <w:t>,</w:t>
      </w:r>
      <w:r w:rsidRPr="000D77A6">
        <w:rPr>
          <w:rFonts w:ascii="Times New Roman" w:eastAsiaTheme="minorHAnsi" w:hAnsi="Times New Roman"/>
          <w:szCs w:val="22"/>
          <w:lang w:eastAsia="en-US"/>
        </w:rPr>
        <w:t xml:space="preserve"> ak to explicitne vyplýva z jeho konkrétnych ustanovení.</w:t>
      </w:r>
    </w:p>
    <w:p w:rsidR="000E2E4D" w:rsidRPr="000D77A6" w:rsidRDefault="004A1C70" w:rsidP="00C22D4C">
      <w:pPr>
        <w:pStyle w:val="odseky"/>
        <w:numPr>
          <w:ilvl w:val="0"/>
          <w:numId w:val="5"/>
        </w:numPr>
        <w:spacing w:before="120" w:after="120"/>
        <w:ind w:left="425" w:hanging="425"/>
        <w:rPr>
          <w:rFonts w:ascii="Times New Roman" w:eastAsiaTheme="minorHAnsi" w:hAnsi="Times New Roman"/>
          <w:szCs w:val="22"/>
          <w:lang w:eastAsia="en-US"/>
        </w:rPr>
      </w:pPr>
      <w:r w:rsidRPr="000D77A6">
        <w:rPr>
          <w:rFonts w:ascii="Times New Roman" w:eastAsiaTheme="minorHAnsi" w:hAnsi="Times New Roman"/>
          <w:szCs w:val="22"/>
          <w:lang w:eastAsia="en-US"/>
        </w:rPr>
        <w:t>Subjekty, ktorým je metodický pokyn určený</w:t>
      </w:r>
      <w:r w:rsidR="00662EC0">
        <w:rPr>
          <w:rFonts w:ascii="Times New Roman" w:eastAsiaTheme="minorHAnsi" w:hAnsi="Times New Roman"/>
          <w:szCs w:val="22"/>
          <w:lang w:eastAsia="en-US"/>
        </w:rPr>
        <w:t>,</w:t>
      </w:r>
      <w:r w:rsidRPr="000D77A6">
        <w:rPr>
          <w:rFonts w:ascii="Times New Roman" w:eastAsiaTheme="minorHAnsi" w:hAnsi="Times New Roman"/>
          <w:szCs w:val="22"/>
          <w:lang w:eastAsia="en-US"/>
        </w:rPr>
        <w:t xml:space="preserve"> sú povinné zabezpečiť dostatočnú a úplnú informovanosť prijímateľov o postupoch vyžadovaných v tomto metodickom pokyne s cieľom zefektívniť proces monitorovania projektov najmä v nadväznosti na včasnú realizáciu aktivít projektu a tým napĺňanie merateľných ukazovateľov projektu a minimalizovať vznik neoprávnených výdavkov v dôsledku nesplnenia povinností pri ich zadávaní podľa metodického pokynu.</w:t>
      </w:r>
    </w:p>
    <w:sectPr w:rsidR="000E2E4D" w:rsidRPr="000D77A6" w:rsidSect="00817207">
      <w:headerReference w:type="default" r:id="rId12"/>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109" w:rsidRDefault="00896109" w:rsidP="00B948E0">
      <w:r>
        <w:separator/>
      </w:r>
    </w:p>
  </w:endnote>
  <w:endnote w:type="continuationSeparator" w:id="0">
    <w:p w:rsidR="00896109" w:rsidRDefault="0089610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E6" w:rsidRPr="00CF60E2" w:rsidRDefault="005973E6"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0C8BED95" wp14:editId="6F2623F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5973E6" w:rsidRPr="00CF60E2" w:rsidRDefault="005973E6"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253F062A" wp14:editId="7DDC32B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6321E6">
          <w:rPr>
            <w:noProof/>
          </w:rPr>
          <w:t>2</w:t>
        </w:r>
        <w:r w:rsidRPr="00CF60E2">
          <w:fldChar w:fldCharType="end"/>
        </w:r>
      </w:sdtContent>
    </w:sdt>
  </w:p>
  <w:p w:rsidR="005973E6" w:rsidRDefault="005973E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109" w:rsidRDefault="00896109" w:rsidP="00B948E0">
      <w:r>
        <w:separator/>
      </w:r>
    </w:p>
  </w:footnote>
  <w:footnote w:type="continuationSeparator" w:id="0">
    <w:p w:rsidR="00896109" w:rsidRDefault="00896109" w:rsidP="00B948E0">
      <w:r>
        <w:continuationSeparator/>
      </w:r>
    </w:p>
  </w:footnote>
  <w:footnote w:id="1">
    <w:p w:rsidR="00577894" w:rsidRDefault="00577894">
      <w:pPr>
        <w:pStyle w:val="Textpoznmkypodiarou"/>
      </w:pPr>
      <w:r>
        <w:rPr>
          <w:rStyle w:val="Odkaznapoznmkupodiarou"/>
        </w:rPr>
        <w:footnoteRef/>
      </w:r>
      <w:r>
        <w:t xml:space="preserve"> Upravené bližšie v </w:t>
      </w:r>
      <w:r w:rsidRPr="00561319">
        <w:t>MP CKO č. 7 k vypracovaniu finančnej analýzy projektu, analýzy nákladov a prínosov projektu a finančnej analýzy žiadateľa o NFP v programovom období 2014 – 2020</w:t>
      </w:r>
      <w:r w:rsidR="00240DE9">
        <w:t>.</w:t>
      </w:r>
    </w:p>
  </w:footnote>
  <w:footnote w:id="2">
    <w:p w:rsidR="00240DE9" w:rsidRDefault="00240DE9" w:rsidP="00240DE9">
      <w:pPr>
        <w:pStyle w:val="Textpoznmkypodiarou"/>
      </w:pPr>
      <w:r>
        <w:rPr>
          <w:rStyle w:val="Odkaznapoznmkupodiarou"/>
        </w:rPr>
        <w:footnoteRef/>
      </w:r>
      <w:r>
        <w:t xml:space="preserve"> Upravené bližšie v </w:t>
      </w:r>
      <w:r w:rsidRPr="00561319">
        <w:t>MP CKO č. 7 k vypracovaniu finančnej analýzy projektu, analýzy nákladov a prínosov projektu a finančnej analýzy žiadateľa o NFP v programovom období 2014 – 2020</w:t>
      </w:r>
      <w:r>
        <w:t>.</w:t>
      </w:r>
    </w:p>
    <w:p w:rsidR="00240DE9" w:rsidRDefault="00240DE9">
      <w:pPr>
        <w:pStyle w:val="Textpoznmkypodiarou"/>
      </w:pPr>
    </w:p>
  </w:footnote>
  <w:footnote w:id="3">
    <w:p w:rsidR="00960C13" w:rsidRDefault="00960C13">
      <w:pPr>
        <w:pStyle w:val="Textpoznmkypodiarou"/>
      </w:pPr>
      <w:r>
        <w:rPr>
          <w:rStyle w:val="Odkaznapoznmkupodiarou"/>
        </w:rPr>
        <w:footnoteRef/>
      </w:r>
      <w:r>
        <w:t xml:space="preserve"> V zmysle zmluvy o poskytnutí nenávratného finančného príspevku</w:t>
      </w:r>
      <w:r w:rsidR="002B60B7">
        <w:t>.</w:t>
      </w:r>
    </w:p>
  </w:footnote>
  <w:footnote w:id="4">
    <w:p w:rsidR="00204160" w:rsidRDefault="00204160">
      <w:pPr>
        <w:pStyle w:val="Textpoznmkypodiarou"/>
      </w:pPr>
      <w:r>
        <w:rPr>
          <w:rStyle w:val="Odkaznapoznmkupodiarou"/>
        </w:rPr>
        <w:footnoteRef/>
      </w:r>
      <w:r>
        <w:t xml:space="preserve"> Príloha XII nariadenia Európskeho parlamentu a Rady (EÚ) č. 1303/2013.</w:t>
      </w:r>
    </w:p>
  </w:footnote>
  <w:footnote w:id="5">
    <w:p w:rsidR="00E54612" w:rsidRDefault="00E54612">
      <w:pPr>
        <w:pStyle w:val="Textpoznmkypodiarou"/>
      </w:pPr>
      <w:r>
        <w:rPr>
          <w:rStyle w:val="Odkaznapoznmkupodiarou"/>
        </w:rPr>
        <w:footnoteRef/>
      </w:r>
      <w:r>
        <w:t xml:space="preserve"> </w:t>
      </w:r>
      <w:r w:rsidR="00577894">
        <w:t xml:space="preserve">Upravené bližšie v </w:t>
      </w:r>
      <w:r w:rsidRPr="00561319">
        <w:t>MP CKO č. 7 k vypracovaniu finančnej analýzy projektu, analýzy nákladov a prínosov projektu a finančnej analýzy žiadateľa o NFP v programovom období 2014 – 2020</w:t>
      </w:r>
      <w:r w:rsidR="007A2014">
        <w:t>.</w:t>
      </w:r>
    </w:p>
  </w:footnote>
  <w:footnote w:id="6">
    <w:p w:rsidR="00484037" w:rsidRDefault="00484037">
      <w:pPr>
        <w:pStyle w:val="Textpoznmkypodiarou"/>
      </w:pPr>
      <w:r>
        <w:rPr>
          <w:rStyle w:val="Odkaznapoznmkupodiarou"/>
        </w:rPr>
        <w:footnoteRef/>
      </w:r>
      <w:r>
        <w:t xml:space="preserve"> Na to, aby vzorka bola reprezentatívna, musí vychádzať z údajov o celej cieľovej skupin</w:t>
      </w:r>
      <w:r w:rsidR="002E063C">
        <w:t>e</w:t>
      </w:r>
      <w:r>
        <w:t xml:space="preserve"> podporenej do uvedeného dátumu a zahŕňať všetky premenné (pohlavie, vek, vzdelanie, znevýhodnenie, zamestnanecké postavenie).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E6" w:rsidRPr="00CF60E2" w:rsidRDefault="005973E6" w:rsidP="00CF60E2">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34BED370" wp14:editId="17C2452F">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6-02-11T00:00:00Z">
        <w:dateFormat w:val="dd.MM.yyyy"/>
        <w:lid w:val="sk-SK"/>
        <w:storeMappedDataAs w:val="dateTime"/>
        <w:calendar w:val="gregorian"/>
      </w:date>
    </w:sdtPr>
    <w:sdtEndPr/>
    <w:sdtContent>
      <w:p w:rsidR="005973E6" w:rsidRPr="00CF60E2" w:rsidRDefault="006321E6" w:rsidP="00CF60E2">
        <w:pPr>
          <w:tabs>
            <w:tab w:val="center" w:pos="4536"/>
            <w:tab w:val="right" w:pos="9072"/>
          </w:tabs>
          <w:jc w:val="right"/>
        </w:pPr>
        <w:r>
          <w:rPr>
            <w:szCs w:val="20"/>
          </w:rPr>
          <w:t>11.02.2016</w:t>
        </w:r>
      </w:p>
    </w:sdtContent>
  </w:sdt>
  <w:p w:rsidR="005973E6" w:rsidRDefault="005973E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1DD6"/>
    <w:multiLevelType w:val="hybridMultilevel"/>
    <w:tmpl w:val="90C2C9D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36E0A29"/>
    <w:multiLevelType w:val="hybridMultilevel"/>
    <w:tmpl w:val="B4DCE6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7B81F16"/>
    <w:multiLevelType w:val="hybridMultilevel"/>
    <w:tmpl w:val="6298FBDA"/>
    <w:lvl w:ilvl="0" w:tplc="041B000F">
      <w:start w:val="1"/>
      <w:numFmt w:val="decimal"/>
      <w:lvlText w:val="%1."/>
      <w:lvlJc w:val="left"/>
      <w:pPr>
        <w:ind w:left="720" w:hanging="360"/>
      </w:pPr>
      <w:rPr>
        <w:rFonts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hint="default"/>
        <w:b/>
      </w:rPr>
    </w:lvl>
    <w:lvl w:ilvl="3" w:tplc="6A76C514">
      <w:start w:val="1"/>
      <w:numFmt w:val="decimal"/>
      <w:lvlText w:val="%4."/>
      <w:lvlJc w:val="left"/>
      <w:pPr>
        <w:ind w:left="2880" w:hanging="360"/>
      </w:pPr>
      <w:rPr>
        <w:rFonts w:ascii="Times New Roman" w:eastAsia="Times New Roman" w:hAnsi="Times New Roman" w:cs="Times New Roman"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E4744F2"/>
    <w:multiLevelType w:val="hybridMultilevel"/>
    <w:tmpl w:val="97F0471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nsid w:val="25C35704"/>
    <w:multiLevelType w:val="hybridMultilevel"/>
    <w:tmpl w:val="493E4ED4"/>
    <w:lvl w:ilvl="0" w:tplc="FE14C8F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37A56E98"/>
    <w:multiLevelType w:val="hybridMultilevel"/>
    <w:tmpl w:val="269444E8"/>
    <w:lvl w:ilvl="0" w:tplc="AD68ECCE">
      <w:start w:val="5"/>
      <w:numFmt w:val="decimal"/>
      <w:lvlText w:val="%1"/>
      <w:lvlJc w:val="left"/>
      <w:pPr>
        <w:ind w:left="644" w:hanging="360"/>
      </w:pPr>
      <w:rPr>
        <w:rFonts w:hint="default"/>
      </w:rPr>
    </w:lvl>
    <w:lvl w:ilvl="1" w:tplc="0492B27E">
      <w:start w:val="1"/>
      <w:numFmt w:val="decimal"/>
      <w:lvlText w:val="%2."/>
      <w:lvlJc w:val="left"/>
      <w:pPr>
        <w:ind w:left="5617" w:hanging="360"/>
      </w:pPr>
      <w:rPr>
        <w:rFonts w:ascii="Times New Roman" w:eastAsia="Times New Roman" w:hAnsi="Times New Roman" w:cs="Times New Roman"/>
      </w:rPr>
    </w:lvl>
    <w:lvl w:ilvl="2" w:tplc="EE862414">
      <w:start w:val="1"/>
      <w:numFmt w:val="lowerLetter"/>
      <w:lvlText w:val="%3)"/>
      <w:lvlJc w:val="right"/>
      <w:pPr>
        <w:ind w:left="6337" w:hanging="180"/>
      </w:pPr>
      <w:rPr>
        <w:rFonts w:ascii="Times New Roman" w:eastAsia="Times New Roman" w:hAnsi="Times New Roman" w:cs="Times New Roman"/>
      </w:r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abstractNum w:abstractNumId="6">
    <w:nsid w:val="388C0C68"/>
    <w:multiLevelType w:val="multilevel"/>
    <w:tmpl w:val="BAAC006E"/>
    <w:lvl w:ilvl="0">
      <w:start w:val="4"/>
      <w:numFmt w:val="decimal"/>
      <w:lvlText w:val="%1."/>
      <w:lvlJc w:val="left"/>
      <w:pPr>
        <w:ind w:left="4897" w:hanging="360"/>
      </w:pPr>
      <w:rPr>
        <w:rFonts w:hint="default"/>
      </w:rPr>
    </w:lvl>
    <w:lvl w:ilvl="1">
      <w:start w:val="2"/>
      <w:numFmt w:val="decimal"/>
      <w:isLgl/>
      <w:lvlText w:val="%1.%2"/>
      <w:lvlJc w:val="left"/>
      <w:pPr>
        <w:ind w:left="4927"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7">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432C34D5"/>
    <w:multiLevelType w:val="hybridMultilevel"/>
    <w:tmpl w:val="2C447748"/>
    <w:lvl w:ilvl="0" w:tplc="552CC928">
      <w:start w:val="7"/>
      <w:numFmt w:val="decimal"/>
      <w:lvlText w:val="%1."/>
      <w:lvlJc w:val="left"/>
      <w:pPr>
        <w:ind w:left="720" w:hanging="360"/>
      </w:pPr>
      <w:rPr>
        <w:rFonts w:eastAsia="Times New Roman" w:hint="default"/>
        <w:sz w:val="3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7665BAB"/>
    <w:multiLevelType w:val="hybridMultilevel"/>
    <w:tmpl w:val="E2EE691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nsid w:val="47670B35"/>
    <w:multiLevelType w:val="hybridMultilevel"/>
    <w:tmpl w:val="3620E3B6"/>
    <w:lvl w:ilvl="0" w:tplc="041B000F">
      <w:start w:val="1"/>
      <w:numFmt w:val="decimal"/>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9D64924"/>
    <w:multiLevelType w:val="hybridMultilevel"/>
    <w:tmpl w:val="3C40D024"/>
    <w:lvl w:ilvl="0" w:tplc="BE5076EA">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4A316E8E"/>
    <w:multiLevelType w:val="hybridMultilevel"/>
    <w:tmpl w:val="5A26EB60"/>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50673744"/>
    <w:multiLevelType w:val="hybridMultilevel"/>
    <w:tmpl w:val="98546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F07474D"/>
    <w:multiLevelType w:val="hybridMultilevel"/>
    <w:tmpl w:val="37D2D37C"/>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6">
    <w:nsid w:val="5FAA49A4"/>
    <w:multiLevelType w:val="hybridMultilevel"/>
    <w:tmpl w:val="D83AD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83D3AE0"/>
    <w:multiLevelType w:val="hybridMultilevel"/>
    <w:tmpl w:val="CC1AA67A"/>
    <w:lvl w:ilvl="0" w:tplc="2BEAFDAC">
      <w:start w:val="1"/>
      <w:numFmt w:val="decimal"/>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AFD391A"/>
    <w:multiLevelType w:val="hybridMultilevel"/>
    <w:tmpl w:val="A27E27DA"/>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20">
    <w:nsid w:val="6B6E1B52"/>
    <w:multiLevelType w:val="hybridMultilevel"/>
    <w:tmpl w:val="8474F482"/>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C793B0F"/>
    <w:multiLevelType w:val="hybridMultilevel"/>
    <w:tmpl w:val="98546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EA049AE"/>
    <w:multiLevelType w:val="hybridMultilevel"/>
    <w:tmpl w:val="D7543794"/>
    <w:lvl w:ilvl="0" w:tplc="A0DCBC9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4F101AE"/>
    <w:multiLevelType w:val="hybridMultilevel"/>
    <w:tmpl w:val="5A26EB60"/>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F0D790E"/>
    <w:multiLevelType w:val="hybridMultilevel"/>
    <w:tmpl w:val="5C72E1B0"/>
    <w:lvl w:ilvl="0" w:tplc="2D44FB68">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7"/>
  </w:num>
  <w:num w:numId="4">
    <w:abstractNumId w:val="12"/>
  </w:num>
  <w:num w:numId="5">
    <w:abstractNumId w:val="13"/>
  </w:num>
  <w:num w:numId="6">
    <w:abstractNumId w:val="6"/>
  </w:num>
  <w:num w:numId="7">
    <w:abstractNumId w:val="17"/>
  </w:num>
  <w:num w:numId="8">
    <w:abstractNumId w:val="11"/>
  </w:num>
  <w:num w:numId="9">
    <w:abstractNumId w:val="8"/>
  </w:num>
  <w:num w:numId="10">
    <w:abstractNumId w:val="4"/>
  </w:num>
  <w:num w:numId="11">
    <w:abstractNumId w:val="22"/>
  </w:num>
  <w:num w:numId="12">
    <w:abstractNumId w:val="15"/>
  </w:num>
  <w:num w:numId="13">
    <w:abstractNumId w:val="1"/>
  </w:num>
  <w:num w:numId="14">
    <w:abstractNumId w:val="25"/>
  </w:num>
  <w:num w:numId="15">
    <w:abstractNumId w:val="18"/>
  </w:num>
  <w:num w:numId="16">
    <w:abstractNumId w:val="10"/>
  </w:num>
  <w:num w:numId="17">
    <w:abstractNumId w:val="20"/>
  </w:num>
  <w:num w:numId="18">
    <w:abstractNumId w:val="24"/>
  </w:num>
  <w:num w:numId="19">
    <w:abstractNumId w:val="5"/>
  </w:num>
  <w:num w:numId="20">
    <w:abstractNumId w:val="14"/>
  </w:num>
  <w:num w:numId="21">
    <w:abstractNumId w:val="0"/>
  </w:num>
  <w:num w:numId="22">
    <w:abstractNumId w:val="3"/>
  </w:num>
  <w:num w:numId="23">
    <w:abstractNumId w:val="9"/>
  </w:num>
  <w:num w:numId="24">
    <w:abstractNumId w:val="19"/>
  </w:num>
  <w:num w:numId="25">
    <w:abstractNumId w:val="16"/>
  </w:num>
  <w:num w:numId="2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1163D"/>
    <w:rsid w:val="000131E5"/>
    <w:rsid w:val="0002043A"/>
    <w:rsid w:val="000238AE"/>
    <w:rsid w:val="0002543D"/>
    <w:rsid w:val="00026DCF"/>
    <w:rsid w:val="00031C8F"/>
    <w:rsid w:val="000324F5"/>
    <w:rsid w:val="00032DD8"/>
    <w:rsid w:val="0004496F"/>
    <w:rsid w:val="0004505D"/>
    <w:rsid w:val="000474DC"/>
    <w:rsid w:val="00050728"/>
    <w:rsid w:val="00054CF1"/>
    <w:rsid w:val="00056C2D"/>
    <w:rsid w:val="00063930"/>
    <w:rsid w:val="0006459B"/>
    <w:rsid w:val="00066955"/>
    <w:rsid w:val="00071088"/>
    <w:rsid w:val="00087D39"/>
    <w:rsid w:val="0009356A"/>
    <w:rsid w:val="000938B6"/>
    <w:rsid w:val="0009427B"/>
    <w:rsid w:val="00095F67"/>
    <w:rsid w:val="000B02AE"/>
    <w:rsid w:val="000B2D42"/>
    <w:rsid w:val="000C1C20"/>
    <w:rsid w:val="000C2A72"/>
    <w:rsid w:val="000C3CDF"/>
    <w:rsid w:val="000C76AB"/>
    <w:rsid w:val="000D298C"/>
    <w:rsid w:val="000D52F4"/>
    <w:rsid w:val="000D6B86"/>
    <w:rsid w:val="000D77A6"/>
    <w:rsid w:val="000E2AA4"/>
    <w:rsid w:val="000E2E4D"/>
    <w:rsid w:val="000E561D"/>
    <w:rsid w:val="000F1C2A"/>
    <w:rsid w:val="000F457B"/>
    <w:rsid w:val="000F52C6"/>
    <w:rsid w:val="000F5787"/>
    <w:rsid w:val="000F7F0C"/>
    <w:rsid w:val="00104718"/>
    <w:rsid w:val="0010495C"/>
    <w:rsid w:val="00111A1E"/>
    <w:rsid w:val="00113A7F"/>
    <w:rsid w:val="00116F61"/>
    <w:rsid w:val="001217AF"/>
    <w:rsid w:val="00127AED"/>
    <w:rsid w:val="00127EDE"/>
    <w:rsid w:val="00127F52"/>
    <w:rsid w:val="00131859"/>
    <w:rsid w:val="00134EFA"/>
    <w:rsid w:val="00135963"/>
    <w:rsid w:val="00136194"/>
    <w:rsid w:val="0014641E"/>
    <w:rsid w:val="00147107"/>
    <w:rsid w:val="0015233E"/>
    <w:rsid w:val="00152422"/>
    <w:rsid w:val="00154A74"/>
    <w:rsid w:val="0016017B"/>
    <w:rsid w:val="00160B25"/>
    <w:rsid w:val="0017240D"/>
    <w:rsid w:val="00173917"/>
    <w:rsid w:val="001746FF"/>
    <w:rsid w:val="00176D46"/>
    <w:rsid w:val="001836AB"/>
    <w:rsid w:val="001852F8"/>
    <w:rsid w:val="00185B10"/>
    <w:rsid w:val="001873B5"/>
    <w:rsid w:val="001902D5"/>
    <w:rsid w:val="00191B7A"/>
    <w:rsid w:val="00191EC2"/>
    <w:rsid w:val="001A1DCE"/>
    <w:rsid w:val="001B12DC"/>
    <w:rsid w:val="001B27DA"/>
    <w:rsid w:val="001B6E9F"/>
    <w:rsid w:val="001C513F"/>
    <w:rsid w:val="001C61D0"/>
    <w:rsid w:val="001D2DED"/>
    <w:rsid w:val="001D4207"/>
    <w:rsid w:val="001D4B25"/>
    <w:rsid w:val="001E01AB"/>
    <w:rsid w:val="001E2B03"/>
    <w:rsid w:val="001F0193"/>
    <w:rsid w:val="001F1DFB"/>
    <w:rsid w:val="00200A09"/>
    <w:rsid w:val="002013CF"/>
    <w:rsid w:val="0020242F"/>
    <w:rsid w:val="00204160"/>
    <w:rsid w:val="0021003F"/>
    <w:rsid w:val="002105EE"/>
    <w:rsid w:val="00210D22"/>
    <w:rsid w:val="00213887"/>
    <w:rsid w:val="00215E70"/>
    <w:rsid w:val="00216F71"/>
    <w:rsid w:val="00220076"/>
    <w:rsid w:val="002259C4"/>
    <w:rsid w:val="00225A05"/>
    <w:rsid w:val="00226388"/>
    <w:rsid w:val="00233238"/>
    <w:rsid w:val="00237668"/>
    <w:rsid w:val="00240DE9"/>
    <w:rsid w:val="00242870"/>
    <w:rsid w:val="00242C19"/>
    <w:rsid w:val="00244A17"/>
    <w:rsid w:val="00246420"/>
    <w:rsid w:val="00246970"/>
    <w:rsid w:val="00254AC4"/>
    <w:rsid w:val="00256687"/>
    <w:rsid w:val="00264615"/>
    <w:rsid w:val="00274479"/>
    <w:rsid w:val="00283A84"/>
    <w:rsid w:val="00293095"/>
    <w:rsid w:val="002956E5"/>
    <w:rsid w:val="002A1494"/>
    <w:rsid w:val="002A1E17"/>
    <w:rsid w:val="002A206B"/>
    <w:rsid w:val="002B60B7"/>
    <w:rsid w:val="002B7812"/>
    <w:rsid w:val="002C00FC"/>
    <w:rsid w:val="002C2B17"/>
    <w:rsid w:val="002C40D6"/>
    <w:rsid w:val="002D322C"/>
    <w:rsid w:val="002D3284"/>
    <w:rsid w:val="002D439C"/>
    <w:rsid w:val="002D65BD"/>
    <w:rsid w:val="002D69BC"/>
    <w:rsid w:val="002D7E43"/>
    <w:rsid w:val="002E035A"/>
    <w:rsid w:val="002E063C"/>
    <w:rsid w:val="002E3D59"/>
    <w:rsid w:val="002E611C"/>
    <w:rsid w:val="002E7F32"/>
    <w:rsid w:val="002E7F66"/>
    <w:rsid w:val="002F00A4"/>
    <w:rsid w:val="002F3E1B"/>
    <w:rsid w:val="002F5506"/>
    <w:rsid w:val="0030167F"/>
    <w:rsid w:val="00316263"/>
    <w:rsid w:val="00323A29"/>
    <w:rsid w:val="00325FD0"/>
    <w:rsid w:val="00333977"/>
    <w:rsid w:val="0033406E"/>
    <w:rsid w:val="00340873"/>
    <w:rsid w:val="0034240F"/>
    <w:rsid w:val="003473CB"/>
    <w:rsid w:val="00364A34"/>
    <w:rsid w:val="003665D2"/>
    <w:rsid w:val="003709F2"/>
    <w:rsid w:val="00371961"/>
    <w:rsid w:val="0037236D"/>
    <w:rsid w:val="00372843"/>
    <w:rsid w:val="00386CBA"/>
    <w:rsid w:val="00393784"/>
    <w:rsid w:val="003A67E1"/>
    <w:rsid w:val="003B0DFE"/>
    <w:rsid w:val="003B2F8A"/>
    <w:rsid w:val="003B3FF6"/>
    <w:rsid w:val="003B524C"/>
    <w:rsid w:val="003B7F08"/>
    <w:rsid w:val="003C2544"/>
    <w:rsid w:val="003C4B54"/>
    <w:rsid w:val="003C5239"/>
    <w:rsid w:val="003D0D92"/>
    <w:rsid w:val="003D568C"/>
    <w:rsid w:val="003E179B"/>
    <w:rsid w:val="003E189E"/>
    <w:rsid w:val="003E3DD6"/>
    <w:rsid w:val="003E6E17"/>
    <w:rsid w:val="003F477C"/>
    <w:rsid w:val="00405A3D"/>
    <w:rsid w:val="0041096B"/>
    <w:rsid w:val="004119D0"/>
    <w:rsid w:val="00415128"/>
    <w:rsid w:val="00415859"/>
    <w:rsid w:val="00416E2D"/>
    <w:rsid w:val="00423928"/>
    <w:rsid w:val="00432DF1"/>
    <w:rsid w:val="00432FD3"/>
    <w:rsid w:val="00434EA5"/>
    <w:rsid w:val="00442A07"/>
    <w:rsid w:val="004445A9"/>
    <w:rsid w:val="00451AC1"/>
    <w:rsid w:val="00455CFB"/>
    <w:rsid w:val="004560E9"/>
    <w:rsid w:val="00456F5B"/>
    <w:rsid w:val="00460F75"/>
    <w:rsid w:val="00466CBC"/>
    <w:rsid w:val="00477B8E"/>
    <w:rsid w:val="004815E9"/>
    <w:rsid w:val="00484037"/>
    <w:rsid w:val="004908D9"/>
    <w:rsid w:val="00490AF9"/>
    <w:rsid w:val="0049379D"/>
    <w:rsid w:val="00493F0A"/>
    <w:rsid w:val="004A0829"/>
    <w:rsid w:val="004A1C70"/>
    <w:rsid w:val="004B163A"/>
    <w:rsid w:val="004B24EF"/>
    <w:rsid w:val="004B317C"/>
    <w:rsid w:val="004B3478"/>
    <w:rsid w:val="004C1071"/>
    <w:rsid w:val="004C5212"/>
    <w:rsid w:val="004C52E3"/>
    <w:rsid w:val="004D203D"/>
    <w:rsid w:val="004D3BB1"/>
    <w:rsid w:val="004D5DCC"/>
    <w:rsid w:val="004E2120"/>
    <w:rsid w:val="004E3ABD"/>
    <w:rsid w:val="004E639D"/>
    <w:rsid w:val="004E7BF7"/>
    <w:rsid w:val="004F1C25"/>
    <w:rsid w:val="005013BD"/>
    <w:rsid w:val="00501675"/>
    <w:rsid w:val="00504D21"/>
    <w:rsid w:val="00506D67"/>
    <w:rsid w:val="005122F6"/>
    <w:rsid w:val="005166AA"/>
    <w:rsid w:val="00521A7A"/>
    <w:rsid w:val="00522076"/>
    <w:rsid w:val="005304B4"/>
    <w:rsid w:val="005416C8"/>
    <w:rsid w:val="00541FF5"/>
    <w:rsid w:val="00551936"/>
    <w:rsid w:val="00555292"/>
    <w:rsid w:val="00557F6E"/>
    <w:rsid w:val="00571126"/>
    <w:rsid w:val="005720F9"/>
    <w:rsid w:val="00575F6D"/>
    <w:rsid w:val="00576550"/>
    <w:rsid w:val="00577894"/>
    <w:rsid w:val="005800C7"/>
    <w:rsid w:val="00580A58"/>
    <w:rsid w:val="005833A5"/>
    <w:rsid w:val="00586FDB"/>
    <w:rsid w:val="00593E6A"/>
    <w:rsid w:val="005973E6"/>
    <w:rsid w:val="0059785C"/>
    <w:rsid w:val="005A2CE3"/>
    <w:rsid w:val="005A5640"/>
    <w:rsid w:val="005B36F4"/>
    <w:rsid w:val="005B3B3B"/>
    <w:rsid w:val="005B49EF"/>
    <w:rsid w:val="005B7EBF"/>
    <w:rsid w:val="005C026F"/>
    <w:rsid w:val="005C0DC1"/>
    <w:rsid w:val="005C21E0"/>
    <w:rsid w:val="005C4CB4"/>
    <w:rsid w:val="005D2778"/>
    <w:rsid w:val="005E517A"/>
    <w:rsid w:val="005F0252"/>
    <w:rsid w:val="005F4630"/>
    <w:rsid w:val="005F4DD9"/>
    <w:rsid w:val="005F5B71"/>
    <w:rsid w:val="005F7208"/>
    <w:rsid w:val="00602B58"/>
    <w:rsid w:val="00604FEF"/>
    <w:rsid w:val="0061050D"/>
    <w:rsid w:val="0062247B"/>
    <w:rsid w:val="00622D7A"/>
    <w:rsid w:val="00623659"/>
    <w:rsid w:val="006321E6"/>
    <w:rsid w:val="006323D7"/>
    <w:rsid w:val="00632A33"/>
    <w:rsid w:val="00634EB2"/>
    <w:rsid w:val="006368CF"/>
    <w:rsid w:val="006479DF"/>
    <w:rsid w:val="00660DCB"/>
    <w:rsid w:val="00662E3F"/>
    <w:rsid w:val="00662EC0"/>
    <w:rsid w:val="00666655"/>
    <w:rsid w:val="006719A0"/>
    <w:rsid w:val="006756C5"/>
    <w:rsid w:val="006756CA"/>
    <w:rsid w:val="00687102"/>
    <w:rsid w:val="00697CD0"/>
    <w:rsid w:val="006A10FE"/>
    <w:rsid w:val="006A5157"/>
    <w:rsid w:val="006A7DF2"/>
    <w:rsid w:val="006B03B2"/>
    <w:rsid w:val="006B33CC"/>
    <w:rsid w:val="006B62C7"/>
    <w:rsid w:val="006C0A14"/>
    <w:rsid w:val="006C371E"/>
    <w:rsid w:val="006C6A25"/>
    <w:rsid w:val="006D082A"/>
    <w:rsid w:val="006D3B82"/>
    <w:rsid w:val="006D4079"/>
    <w:rsid w:val="006E08CD"/>
    <w:rsid w:val="006E2040"/>
    <w:rsid w:val="006E2088"/>
    <w:rsid w:val="006E238D"/>
    <w:rsid w:val="006E3F64"/>
    <w:rsid w:val="006E5904"/>
    <w:rsid w:val="006F122F"/>
    <w:rsid w:val="006F15B4"/>
    <w:rsid w:val="007041A3"/>
    <w:rsid w:val="0070487C"/>
    <w:rsid w:val="00713A2B"/>
    <w:rsid w:val="007240F5"/>
    <w:rsid w:val="00724B6A"/>
    <w:rsid w:val="007251F1"/>
    <w:rsid w:val="00734D3C"/>
    <w:rsid w:val="00740288"/>
    <w:rsid w:val="00744A3A"/>
    <w:rsid w:val="00746C59"/>
    <w:rsid w:val="007552C9"/>
    <w:rsid w:val="0076069C"/>
    <w:rsid w:val="00760B25"/>
    <w:rsid w:val="0076414C"/>
    <w:rsid w:val="00765555"/>
    <w:rsid w:val="00771CC6"/>
    <w:rsid w:val="00771FDD"/>
    <w:rsid w:val="00773229"/>
    <w:rsid w:val="0077707A"/>
    <w:rsid w:val="00782970"/>
    <w:rsid w:val="00786E62"/>
    <w:rsid w:val="00795383"/>
    <w:rsid w:val="007A0A10"/>
    <w:rsid w:val="007A11F3"/>
    <w:rsid w:val="007A2014"/>
    <w:rsid w:val="007A446B"/>
    <w:rsid w:val="007A60EF"/>
    <w:rsid w:val="007C3A26"/>
    <w:rsid w:val="007D35D0"/>
    <w:rsid w:val="007D3B7D"/>
    <w:rsid w:val="007E2D0E"/>
    <w:rsid w:val="007F0D9A"/>
    <w:rsid w:val="00801225"/>
    <w:rsid w:val="00816705"/>
    <w:rsid w:val="00817207"/>
    <w:rsid w:val="00817664"/>
    <w:rsid w:val="00824A24"/>
    <w:rsid w:val="008250A3"/>
    <w:rsid w:val="0083026B"/>
    <w:rsid w:val="00831B28"/>
    <w:rsid w:val="00831B3D"/>
    <w:rsid w:val="00836C27"/>
    <w:rsid w:val="00843E93"/>
    <w:rsid w:val="00846A15"/>
    <w:rsid w:val="00846E4D"/>
    <w:rsid w:val="008470F3"/>
    <w:rsid w:val="0084743A"/>
    <w:rsid w:val="00850467"/>
    <w:rsid w:val="00850F2E"/>
    <w:rsid w:val="00855E76"/>
    <w:rsid w:val="008604F7"/>
    <w:rsid w:val="00861FB3"/>
    <w:rsid w:val="00865845"/>
    <w:rsid w:val="008659C3"/>
    <w:rsid w:val="00865D70"/>
    <w:rsid w:val="008732CA"/>
    <w:rsid w:val="008743E6"/>
    <w:rsid w:val="008806AC"/>
    <w:rsid w:val="008814E2"/>
    <w:rsid w:val="00892323"/>
    <w:rsid w:val="00892EE8"/>
    <w:rsid w:val="00896109"/>
    <w:rsid w:val="008A34B9"/>
    <w:rsid w:val="008A42A5"/>
    <w:rsid w:val="008A48B3"/>
    <w:rsid w:val="008A68FC"/>
    <w:rsid w:val="008C271F"/>
    <w:rsid w:val="008C2EC5"/>
    <w:rsid w:val="008D02C9"/>
    <w:rsid w:val="008D0F9C"/>
    <w:rsid w:val="008D3E46"/>
    <w:rsid w:val="008E243A"/>
    <w:rsid w:val="008E4B27"/>
    <w:rsid w:val="008E5AAC"/>
    <w:rsid w:val="008F2627"/>
    <w:rsid w:val="008F4394"/>
    <w:rsid w:val="0090110D"/>
    <w:rsid w:val="009021DF"/>
    <w:rsid w:val="00904691"/>
    <w:rsid w:val="00910C45"/>
    <w:rsid w:val="00911D80"/>
    <w:rsid w:val="00926284"/>
    <w:rsid w:val="00927865"/>
    <w:rsid w:val="00930B82"/>
    <w:rsid w:val="00931014"/>
    <w:rsid w:val="009330C5"/>
    <w:rsid w:val="00934250"/>
    <w:rsid w:val="00934778"/>
    <w:rsid w:val="009427D2"/>
    <w:rsid w:val="009455E7"/>
    <w:rsid w:val="00945CF9"/>
    <w:rsid w:val="00951670"/>
    <w:rsid w:val="00955345"/>
    <w:rsid w:val="00960C13"/>
    <w:rsid w:val="0096303D"/>
    <w:rsid w:val="00963C20"/>
    <w:rsid w:val="00977CF6"/>
    <w:rsid w:val="00981C56"/>
    <w:rsid w:val="0098274E"/>
    <w:rsid w:val="009836CF"/>
    <w:rsid w:val="009854D4"/>
    <w:rsid w:val="009A170D"/>
    <w:rsid w:val="009A7C4F"/>
    <w:rsid w:val="009B421D"/>
    <w:rsid w:val="009C64E2"/>
    <w:rsid w:val="009D1455"/>
    <w:rsid w:val="009D335A"/>
    <w:rsid w:val="009D4F7D"/>
    <w:rsid w:val="009D6453"/>
    <w:rsid w:val="009D71E8"/>
    <w:rsid w:val="009E2F64"/>
    <w:rsid w:val="009E797F"/>
    <w:rsid w:val="00A02635"/>
    <w:rsid w:val="00A06789"/>
    <w:rsid w:val="00A113ED"/>
    <w:rsid w:val="00A1238C"/>
    <w:rsid w:val="00A144AE"/>
    <w:rsid w:val="00A17ACB"/>
    <w:rsid w:val="00A20407"/>
    <w:rsid w:val="00A22F8E"/>
    <w:rsid w:val="00A245D6"/>
    <w:rsid w:val="00A371E3"/>
    <w:rsid w:val="00A47675"/>
    <w:rsid w:val="00A53DCC"/>
    <w:rsid w:val="00A55508"/>
    <w:rsid w:val="00A60373"/>
    <w:rsid w:val="00A64C86"/>
    <w:rsid w:val="00A65D8F"/>
    <w:rsid w:val="00A7219D"/>
    <w:rsid w:val="00A8224B"/>
    <w:rsid w:val="00A9254C"/>
    <w:rsid w:val="00A96031"/>
    <w:rsid w:val="00A9685B"/>
    <w:rsid w:val="00A96C5F"/>
    <w:rsid w:val="00A977BD"/>
    <w:rsid w:val="00A97B2A"/>
    <w:rsid w:val="00A97CCD"/>
    <w:rsid w:val="00AA73B0"/>
    <w:rsid w:val="00AA7F33"/>
    <w:rsid w:val="00AB25D8"/>
    <w:rsid w:val="00AB29E7"/>
    <w:rsid w:val="00AB39F4"/>
    <w:rsid w:val="00AB61A0"/>
    <w:rsid w:val="00AB755C"/>
    <w:rsid w:val="00AC06DF"/>
    <w:rsid w:val="00AC218C"/>
    <w:rsid w:val="00AC72C3"/>
    <w:rsid w:val="00AD0F6A"/>
    <w:rsid w:val="00AD683F"/>
    <w:rsid w:val="00AE22B1"/>
    <w:rsid w:val="00AF180D"/>
    <w:rsid w:val="00AF3063"/>
    <w:rsid w:val="00B013D3"/>
    <w:rsid w:val="00B03140"/>
    <w:rsid w:val="00B12061"/>
    <w:rsid w:val="00B1346B"/>
    <w:rsid w:val="00B17D0C"/>
    <w:rsid w:val="00B214E8"/>
    <w:rsid w:val="00B315E9"/>
    <w:rsid w:val="00B32FB3"/>
    <w:rsid w:val="00B36128"/>
    <w:rsid w:val="00B4035A"/>
    <w:rsid w:val="00B4284E"/>
    <w:rsid w:val="00B469B2"/>
    <w:rsid w:val="00B47147"/>
    <w:rsid w:val="00B527E3"/>
    <w:rsid w:val="00B53B4A"/>
    <w:rsid w:val="00B64525"/>
    <w:rsid w:val="00B64E0F"/>
    <w:rsid w:val="00B73F16"/>
    <w:rsid w:val="00B754A4"/>
    <w:rsid w:val="00B83D4F"/>
    <w:rsid w:val="00B8751C"/>
    <w:rsid w:val="00B91F3C"/>
    <w:rsid w:val="00B948E0"/>
    <w:rsid w:val="00BA089F"/>
    <w:rsid w:val="00BA0EA5"/>
    <w:rsid w:val="00BA13ED"/>
    <w:rsid w:val="00BA315E"/>
    <w:rsid w:val="00BA3419"/>
    <w:rsid w:val="00BA4376"/>
    <w:rsid w:val="00BA494A"/>
    <w:rsid w:val="00BB5E51"/>
    <w:rsid w:val="00BC4BAC"/>
    <w:rsid w:val="00BC70EF"/>
    <w:rsid w:val="00BD068E"/>
    <w:rsid w:val="00BD513C"/>
    <w:rsid w:val="00BD53F1"/>
    <w:rsid w:val="00BD6733"/>
    <w:rsid w:val="00BE3E5C"/>
    <w:rsid w:val="00BF1D4F"/>
    <w:rsid w:val="00BF4967"/>
    <w:rsid w:val="00C065B9"/>
    <w:rsid w:val="00C212AD"/>
    <w:rsid w:val="00C214B6"/>
    <w:rsid w:val="00C22D4C"/>
    <w:rsid w:val="00C23B57"/>
    <w:rsid w:val="00C25749"/>
    <w:rsid w:val="00C30742"/>
    <w:rsid w:val="00C30BF1"/>
    <w:rsid w:val="00C348A2"/>
    <w:rsid w:val="00C37B65"/>
    <w:rsid w:val="00C426E4"/>
    <w:rsid w:val="00C47973"/>
    <w:rsid w:val="00C57FE2"/>
    <w:rsid w:val="00C6439D"/>
    <w:rsid w:val="00C66E3B"/>
    <w:rsid w:val="00C674A6"/>
    <w:rsid w:val="00C72B72"/>
    <w:rsid w:val="00C74B4E"/>
    <w:rsid w:val="00C80097"/>
    <w:rsid w:val="00C81600"/>
    <w:rsid w:val="00C85E89"/>
    <w:rsid w:val="00C92BF0"/>
    <w:rsid w:val="00C9363C"/>
    <w:rsid w:val="00C93CB2"/>
    <w:rsid w:val="00C94138"/>
    <w:rsid w:val="00C947C1"/>
    <w:rsid w:val="00CA0FB2"/>
    <w:rsid w:val="00CA208E"/>
    <w:rsid w:val="00CA6C63"/>
    <w:rsid w:val="00CB1A06"/>
    <w:rsid w:val="00CB2F76"/>
    <w:rsid w:val="00CC1238"/>
    <w:rsid w:val="00CC1476"/>
    <w:rsid w:val="00CC5171"/>
    <w:rsid w:val="00CD16D5"/>
    <w:rsid w:val="00CD3916"/>
    <w:rsid w:val="00CD3D13"/>
    <w:rsid w:val="00CD4A51"/>
    <w:rsid w:val="00CD6E3A"/>
    <w:rsid w:val="00CF3690"/>
    <w:rsid w:val="00CF60E2"/>
    <w:rsid w:val="00CF6137"/>
    <w:rsid w:val="00D001AC"/>
    <w:rsid w:val="00D00641"/>
    <w:rsid w:val="00D00B44"/>
    <w:rsid w:val="00D05350"/>
    <w:rsid w:val="00D21D19"/>
    <w:rsid w:val="00D239D4"/>
    <w:rsid w:val="00D308AD"/>
    <w:rsid w:val="00D35159"/>
    <w:rsid w:val="00D35F08"/>
    <w:rsid w:val="00D42E85"/>
    <w:rsid w:val="00D4415A"/>
    <w:rsid w:val="00D50DF4"/>
    <w:rsid w:val="00D510BC"/>
    <w:rsid w:val="00D526DE"/>
    <w:rsid w:val="00D57D45"/>
    <w:rsid w:val="00D61BB6"/>
    <w:rsid w:val="00D64B77"/>
    <w:rsid w:val="00D679DF"/>
    <w:rsid w:val="00D67FF4"/>
    <w:rsid w:val="00D72F06"/>
    <w:rsid w:val="00D76EC1"/>
    <w:rsid w:val="00D8288F"/>
    <w:rsid w:val="00D86DA2"/>
    <w:rsid w:val="00D877C4"/>
    <w:rsid w:val="00D878C2"/>
    <w:rsid w:val="00D90DCB"/>
    <w:rsid w:val="00D9147E"/>
    <w:rsid w:val="00DA00D8"/>
    <w:rsid w:val="00DB0AAA"/>
    <w:rsid w:val="00DB46A1"/>
    <w:rsid w:val="00DB7273"/>
    <w:rsid w:val="00DB7529"/>
    <w:rsid w:val="00DB7630"/>
    <w:rsid w:val="00DB798B"/>
    <w:rsid w:val="00DD50DC"/>
    <w:rsid w:val="00DE0B98"/>
    <w:rsid w:val="00DE0D1B"/>
    <w:rsid w:val="00DE3633"/>
    <w:rsid w:val="00DE5E3E"/>
    <w:rsid w:val="00DF1C90"/>
    <w:rsid w:val="00E002E1"/>
    <w:rsid w:val="00E07550"/>
    <w:rsid w:val="00E14746"/>
    <w:rsid w:val="00E24D44"/>
    <w:rsid w:val="00E264FE"/>
    <w:rsid w:val="00E27A3F"/>
    <w:rsid w:val="00E3690A"/>
    <w:rsid w:val="00E37D62"/>
    <w:rsid w:val="00E40048"/>
    <w:rsid w:val="00E42AFD"/>
    <w:rsid w:val="00E44D76"/>
    <w:rsid w:val="00E52D37"/>
    <w:rsid w:val="00E5416A"/>
    <w:rsid w:val="00E54612"/>
    <w:rsid w:val="00E616FC"/>
    <w:rsid w:val="00E63A66"/>
    <w:rsid w:val="00E66D03"/>
    <w:rsid w:val="00E67E34"/>
    <w:rsid w:val="00E734A4"/>
    <w:rsid w:val="00E742C1"/>
    <w:rsid w:val="00E74EA1"/>
    <w:rsid w:val="00E7702D"/>
    <w:rsid w:val="00E84DE3"/>
    <w:rsid w:val="00E95BDC"/>
    <w:rsid w:val="00EA1156"/>
    <w:rsid w:val="00EA3856"/>
    <w:rsid w:val="00EA657C"/>
    <w:rsid w:val="00EB0266"/>
    <w:rsid w:val="00EB5B0C"/>
    <w:rsid w:val="00EC03A6"/>
    <w:rsid w:val="00EC5F23"/>
    <w:rsid w:val="00EC64AE"/>
    <w:rsid w:val="00EE1733"/>
    <w:rsid w:val="00EE6389"/>
    <w:rsid w:val="00EE6AB0"/>
    <w:rsid w:val="00EE70FE"/>
    <w:rsid w:val="00EF1C60"/>
    <w:rsid w:val="00EF56BF"/>
    <w:rsid w:val="00F00D13"/>
    <w:rsid w:val="00F03133"/>
    <w:rsid w:val="00F05D2C"/>
    <w:rsid w:val="00F0607A"/>
    <w:rsid w:val="00F105C2"/>
    <w:rsid w:val="00F10B9D"/>
    <w:rsid w:val="00F27075"/>
    <w:rsid w:val="00F31CD5"/>
    <w:rsid w:val="00F32794"/>
    <w:rsid w:val="00F33C2C"/>
    <w:rsid w:val="00F3534E"/>
    <w:rsid w:val="00F37BDD"/>
    <w:rsid w:val="00F37C3D"/>
    <w:rsid w:val="00F41D14"/>
    <w:rsid w:val="00F5388E"/>
    <w:rsid w:val="00F569B2"/>
    <w:rsid w:val="00F5719C"/>
    <w:rsid w:val="00F61EAA"/>
    <w:rsid w:val="00F67A75"/>
    <w:rsid w:val="00F80C9A"/>
    <w:rsid w:val="00F87C67"/>
    <w:rsid w:val="00F95B74"/>
    <w:rsid w:val="00F97E8C"/>
    <w:rsid w:val="00FB70C2"/>
    <w:rsid w:val="00FC04A6"/>
    <w:rsid w:val="00FC0F30"/>
    <w:rsid w:val="00FC1CE8"/>
    <w:rsid w:val="00FC37F0"/>
    <w:rsid w:val="00FC621D"/>
    <w:rsid w:val="00FC753C"/>
    <w:rsid w:val="00FD09E6"/>
    <w:rsid w:val="00FD1E3D"/>
    <w:rsid w:val="00FE2E3A"/>
    <w:rsid w:val="00FE4747"/>
    <w:rsid w:val="00FE73DB"/>
    <w:rsid w:val="00FF0D58"/>
    <w:rsid w:val="00FF0E7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semiHidden/>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2"/>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17207"/>
    <w:pPr>
      <w:tabs>
        <w:tab w:val="left" w:pos="284"/>
        <w:tab w:val="right" w:leader="dot" w:pos="9062"/>
      </w:tabs>
      <w:spacing w:after="100"/>
      <w:ind w:left="284" w:hanging="284"/>
    </w:pPr>
  </w:style>
  <w:style w:type="paragraph" w:styleId="Obsah3">
    <w:name w:val="toc 3"/>
    <w:basedOn w:val="Normlny"/>
    <w:next w:val="Normlny"/>
    <w:autoRedefine/>
    <w:uiPriority w:val="39"/>
    <w:unhideWhenUsed/>
    <w:rsid w:val="003B3FF6"/>
    <w:pPr>
      <w:tabs>
        <w:tab w:val="right" w:leader="dot" w:pos="9062"/>
      </w:tabs>
      <w:spacing w:after="100"/>
      <w:ind w:left="426" w:hanging="182"/>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323A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semiHidden/>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2"/>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17207"/>
    <w:pPr>
      <w:tabs>
        <w:tab w:val="left" w:pos="284"/>
        <w:tab w:val="right" w:leader="dot" w:pos="9062"/>
      </w:tabs>
      <w:spacing w:after="100"/>
      <w:ind w:left="284" w:hanging="284"/>
    </w:pPr>
  </w:style>
  <w:style w:type="paragraph" w:styleId="Obsah3">
    <w:name w:val="toc 3"/>
    <w:basedOn w:val="Normlny"/>
    <w:next w:val="Normlny"/>
    <w:autoRedefine/>
    <w:uiPriority w:val="39"/>
    <w:unhideWhenUsed/>
    <w:rsid w:val="003B3FF6"/>
    <w:pPr>
      <w:tabs>
        <w:tab w:val="right" w:leader="dot" w:pos="9062"/>
      </w:tabs>
      <w:spacing w:after="100"/>
      <w:ind w:left="426" w:hanging="182"/>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323A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759931">
      <w:bodyDiv w:val="1"/>
      <w:marLeft w:val="0"/>
      <w:marRight w:val="0"/>
      <w:marTop w:val="0"/>
      <w:marBottom w:val="0"/>
      <w:divBdr>
        <w:top w:val="none" w:sz="0" w:space="0" w:color="auto"/>
        <w:left w:val="none" w:sz="0" w:space="0" w:color="auto"/>
        <w:bottom w:val="none" w:sz="0" w:space="0" w:color="auto"/>
        <w:right w:val="none" w:sz="0" w:space="0" w:color="auto"/>
      </w:divBdr>
      <w:divsChild>
        <w:div w:id="1042898959">
          <w:marLeft w:val="0"/>
          <w:marRight w:val="0"/>
          <w:marTop w:val="0"/>
          <w:marBottom w:val="0"/>
          <w:divBdr>
            <w:top w:val="none" w:sz="0" w:space="0" w:color="auto"/>
            <w:left w:val="none" w:sz="0" w:space="0" w:color="auto"/>
            <w:bottom w:val="none" w:sz="0" w:space="0" w:color="auto"/>
            <w:right w:val="none" w:sz="0" w:space="0" w:color="auto"/>
          </w:divBdr>
          <w:divsChild>
            <w:div w:id="3701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573B6D5BC6724A19BFB45D0925A83680"/>
        <w:category>
          <w:name w:val="Všeobecné"/>
          <w:gallery w:val="placeholder"/>
        </w:category>
        <w:types>
          <w:type w:val="bbPlcHdr"/>
        </w:types>
        <w:behaviors>
          <w:behavior w:val="content"/>
        </w:behaviors>
        <w:guid w:val="{694C8C6D-1362-422F-88D8-A5A174E8AF31}"/>
      </w:docPartPr>
      <w:docPartBody>
        <w:p w:rsidR="005F1840" w:rsidRDefault="00991B89" w:rsidP="00991B89">
          <w:pPr>
            <w:pStyle w:val="573B6D5BC6724A19BFB45D0925A836801"/>
          </w:pPr>
          <w:r w:rsidRPr="00F64F3B">
            <w:rPr>
              <w:rStyle w:val="Textzstupnhosymbolu"/>
              <w:rFonts w:eastAsiaTheme="minorHAnsi"/>
            </w:rPr>
            <w:t>Vyberte položku.</w:t>
          </w:r>
        </w:p>
      </w:docPartBody>
    </w:docPart>
    <w:docPart>
      <w:docPartPr>
        <w:name w:val="7475EC445D6B4D9F8D6220CD6E69B138"/>
        <w:category>
          <w:name w:val="Všeobecné"/>
          <w:gallery w:val="placeholder"/>
        </w:category>
        <w:types>
          <w:type w:val="bbPlcHdr"/>
        </w:types>
        <w:behaviors>
          <w:behavior w:val="content"/>
        </w:behaviors>
        <w:guid w:val="{828159D3-963F-443D-9D53-7399884438F0}"/>
      </w:docPartPr>
      <w:docPartBody>
        <w:p w:rsidR="005F1840" w:rsidRDefault="00991B89" w:rsidP="00991B89">
          <w:pPr>
            <w:pStyle w:val="7475EC445D6B4D9F8D6220CD6E69B1381"/>
          </w:pPr>
          <w:r w:rsidRPr="00F64F3B">
            <w:rPr>
              <w:rStyle w:val="Textzstupnhosymbolu"/>
              <w:rFonts w:eastAsiaTheme="minorHAnsi"/>
            </w:rPr>
            <w:t>Kliknutím zadáte dátum.</w:t>
          </w:r>
        </w:p>
      </w:docPartBody>
    </w:docPart>
    <w:docPart>
      <w:docPartPr>
        <w:name w:val="2FDF2C96005F4ED3B9EBA19B42638497"/>
        <w:category>
          <w:name w:val="Všeobecné"/>
          <w:gallery w:val="placeholder"/>
        </w:category>
        <w:types>
          <w:type w:val="bbPlcHdr"/>
        </w:types>
        <w:behaviors>
          <w:behavior w:val="content"/>
        </w:behaviors>
        <w:guid w:val="{943477D8-79DD-43C3-B8BA-080977AA9ED9}"/>
      </w:docPartPr>
      <w:docPartBody>
        <w:p w:rsidR="005F1840" w:rsidRDefault="00991B89" w:rsidP="00991B89">
          <w:pPr>
            <w:pStyle w:val="2FDF2C96005F4ED3B9EBA19B426384971"/>
          </w:pPr>
          <w:r w:rsidRPr="00F64F3B">
            <w:rPr>
              <w:rStyle w:val="Textzstupnhosymbolu"/>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30308"/>
    <w:rsid w:val="00070710"/>
    <w:rsid w:val="00082AE8"/>
    <w:rsid w:val="000B08C1"/>
    <w:rsid w:val="000E30BC"/>
    <w:rsid w:val="000E3BE8"/>
    <w:rsid w:val="0010247A"/>
    <w:rsid w:val="001721BA"/>
    <w:rsid w:val="0019643B"/>
    <w:rsid w:val="001A5B89"/>
    <w:rsid w:val="001E60FA"/>
    <w:rsid w:val="002759FF"/>
    <w:rsid w:val="002F4426"/>
    <w:rsid w:val="00301D36"/>
    <w:rsid w:val="00307040"/>
    <w:rsid w:val="00375D81"/>
    <w:rsid w:val="003B77F1"/>
    <w:rsid w:val="003D7F19"/>
    <w:rsid w:val="004119C3"/>
    <w:rsid w:val="00412DBD"/>
    <w:rsid w:val="004B1023"/>
    <w:rsid w:val="00557D17"/>
    <w:rsid w:val="00574633"/>
    <w:rsid w:val="00594E98"/>
    <w:rsid w:val="005C5D41"/>
    <w:rsid w:val="005D6084"/>
    <w:rsid w:val="005F1840"/>
    <w:rsid w:val="00616C33"/>
    <w:rsid w:val="00675654"/>
    <w:rsid w:val="00675763"/>
    <w:rsid w:val="006D1130"/>
    <w:rsid w:val="00754E68"/>
    <w:rsid w:val="00784447"/>
    <w:rsid w:val="008225C7"/>
    <w:rsid w:val="00822630"/>
    <w:rsid w:val="00845353"/>
    <w:rsid w:val="0085402B"/>
    <w:rsid w:val="008C44C2"/>
    <w:rsid w:val="008D0C04"/>
    <w:rsid w:val="00991B89"/>
    <w:rsid w:val="009D4F93"/>
    <w:rsid w:val="00A96847"/>
    <w:rsid w:val="00AC1400"/>
    <w:rsid w:val="00AD329D"/>
    <w:rsid w:val="00AF4D2B"/>
    <w:rsid w:val="00B27870"/>
    <w:rsid w:val="00B449CF"/>
    <w:rsid w:val="00B8281E"/>
    <w:rsid w:val="00BF0282"/>
    <w:rsid w:val="00C16CB5"/>
    <w:rsid w:val="00C3277A"/>
    <w:rsid w:val="00C46CC1"/>
    <w:rsid w:val="00C825AD"/>
    <w:rsid w:val="00CB0158"/>
    <w:rsid w:val="00CD1D57"/>
    <w:rsid w:val="00CE2D99"/>
    <w:rsid w:val="00CF138E"/>
    <w:rsid w:val="00D02F1B"/>
    <w:rsid w:val="00D503A7"/>
    <w:rsid w:val="00D62570"/>
    <w:rsid w:val="00D91028"/>
    <w:rsid w:val="00DA05DB"/>
    <w:rsid w:val="00DC527B"/>
    <w:rsid w:val="00DC5B6E"/>
    <w:rsid w:val="00DF1217"/>
    <w:rsid w:val="00E02953"/>
    <w:rsid w:val="00E16357"/>
    <w:rsid w:val="00E40760"/>
    <w:rsid w:val="00EA6B2E"/>
    <w:rsid w:val="00EC4DA9"/>
    <w:rsid w:val="00F122F8"/>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91B89"/>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726EADD8A2F4476997CEBE112AE21D5D">
    <w:name w:val="726EADD8A2F4476997CEBE112AE21D5D"/>
    <w:rsid w:val="00991B89"/>
  </w:style>
  <w:style w:type="paragraph" w:customStyle="1" w:styleId="573B6D5BC6724A19BFB45D0925A83680">
    <w:name w:val="573B6D5BC6724A19BFB45D0925A83680"/>
    <w:rsid w:val="00991B89"/>
  </w:style>
  <w:style w:type="paragraph" w:customStyle="1" w:styleId="EA86C60E37794CBDA04AEB2FA10B77E9">
    <w:name w:val="EA86C60E37794CBDA04AEB2FA10B77E9"/>
    <w:rsid w:val="00991B89"/>
  </w:style>
  <w:style w:type="paragraph" w:customStyle="1" w:styleId="7475EC445D6B4D9F8D6220CD6E69B138">
    <w:name w:val="7475EC445D6B4D9F8D6220CD6E69B138"/>
    <w:rsid w:val="00991B89"/>
  </w:style>
  <w:style w:type="paragraph" w:customStyle="1" w:styleId="60D1FFE9AE704985B355D8332B9B2B04">
    <w:name w:val="60D1FFE9AE704985B355D8332B9B2B04"/>
    <w:rsid w:val="00991B89"/>
  </w:style>
  <w:style w:type="paragraph" w:customStyle="1" w:styleId="2FDF2C96005F4ED3B9EBA19B42638497">
    <w:name w:val="2FDF2C96005F4ED3B9EBA19B42638497"/>
    <w:rsid w:val="00991B89"/>
  </w:style>
  <w:style w:type="paragraph" w:customStyle="1" w:styleId="573B6D5BC6724A19BFB45D0925A836801">
    <w:name w:val="573B6D5BC6724A19BFB45D0925A836801"/>
    <w:rsid w:val="00991B89"/>
    <w:pPr>
      <w:spacing w:after="0" w:line="240" w:lineRule="auto"/>
    </w:pPr>
    <w:rPr>
      <w:rFonts w:ascii="Times New Roman" w:eastAsia="Times New Roman" w:hAnsi="Times New Roman" w:cs="Times New Roman"/>
      <w:sz w:val="24"/>
      <w:szCs w:val="24"/>
    </w:rPr>
  </w:style>
  <w:style w:type="paragraph" w:customStyle="1" w:styleId="7475EC445D6B4D9F8D6220CD6E69B1381">
    <w:name w:val="7475EC445D6B4D9F8D6220CD6E69B1381"/>
    <w:rsid w:val="00991B89"/>
    <w:pPr>
      <w:spacing w:after="0" w:line="240" w:lineRule="auto"/>
    </w:pPr>
    <w:rPr>
      <w:rFonts w:ascii="Times New Roman" w:eastAsia="Times New Roman" w:hAnsi="Times New Roman" w:cs="Times New Roman"/>
      <w:sz w:val="24"/>
      <w:szCs w:val="24"/>
    </w:rPr>
  </w:style>
  <w:style w:type="paragraph" w:customStyle="1" w:styleId="2FDF2C96005F4ED3B9EBA19B426384971">
    <w:name w:val="2FDF2C96005F4ED3B9EBA19B426384971"/>
    <w:rsid w:val="00991B89"/>
    <w:pPr>
      <w:spacing w:after="0" w:line="240" w:lineRule="auto"/>
    </w:pPr>
    <w:rPr>
      <w:rFonts w:ascii="Times New Roman" w:eastAsia="Times New Roman" w:hAnsi="Times New Roman" w:cs="Times New Roman"/>
      <w:sz w:val="24"/>
      <w:szCs w:val="24"/>
    </w:rPr>
  </w:style>
  <w:style w:type="paragraph" w:customStyle="1" w:styleId="18C44CE508D44637A641C4F5F0E11A0F">
    <w:name w:val="18C44CE508D44637A641C4F5F0E11A0F"/>
    <w:rsid w:val="00991B89"/>
    <w:pPr>
      <w:spacing w:after="0" w:line="240" w:lineRule="auto"/>
    </w:pPr>
    <w:rPr>
      <w:rFonts w:ascii="Times New Roman" w:eastAsia="Times New Roman" w:hAnsi="Times New Roman"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91B89"/>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726EADD8A2F4476997CEBE112AE21D5D">
    <w:name w:val="726EADD8A2F4476997CEBE112AE21D5D"/>
    <w:rsid w:val="00991B89"/>
  </w:style>
  <w:style w:type="paragraph" w:customStyle="1" w:styleId="573B6D5BC6724A19BFB45D0925A83680">
    <w:name w:val="573B6D5BC6724A19BFB45D0925A83680"/>
    <w:rsid w:val="00991B89"/>
  </w:style>
  <w:style w:type="paragraph" w:customStyle="1" w:styleId="EA86C60E37794CBDA04AEB2FA10B77E9">
    <w:name w:val="EA86C60E37794CBDA04AEB2FA10B77E9"/>
    <w:rsid w:val="00991B89"/>
  </w:style>
  <w:style w:type="paragraph" w:customStyle="1" w:styleId="7475EC445D6B4D9F8D6220CD6E69B138">
    <w:name w:val="7475EC445D6B4D9F8D6220CD6E69B138"/>
    <w:rsid w:val="00991B89"/>
  </w:style>
  <w:style w:type="paragraph" w:customStyle="1" w:styleId="60D1FFE9AE704985B355D8332B9B2B04">
    <w:name w:val="60D1FFE9AE704985B355D8332B9B2B04"/>
    <w:rsid w:val="00991B89"/>
  </w:style>
  <w:style w:type="paragraph" w:customStyle="1" w:styleId="2FDF2C96005F4ED3B9EBA19B42638497">
    <w:name w:val="2FDF2C96005F4ED3B9EBA19B42638497"/>
    <w:rsid w:val="00991B89"/>
  </w:style>
  <w:style w:type="paragraph" w:customStyle="1" w:styleId="573B6D5BC6724A19BFB45D0925A836801">
    <w:name w:val="573B6D5BC6724A19BFB45D0925A836801"/>
    <w:rsid w:val="00991B89"/>
    <w:pPr>
      <w:spacing w:after="0" w:line="240" w:lineRule="auto"/>
    </w:pPr>
    <w:rPr>
      <w:rFonts w:ascii="Times New Roman" w:eastAsia="Times New Roman" w:hAnsi="Times New Roman" w:cs="Times New Roman"/>
      <w:sz w:val="24"/>
      <w:szCs w:val="24"/>
    </w:rPr>
  </w:style>
  <w:style w:type="paragraph" w:customStyle="1" w:styleId="7475EC445D6B4D9F8D6220CD6E69B1381">
    <w:name w:val="7475EC445D6B4D9F8D6220CD6E69B1381"/>
    <w:rsid w:val="00991B89"/>
    <w:pPr>
      <w:spacing w:after="0" w:line="240" w:lineRule="auto"/>
    </w:pPr>
    <w:rPr>
      <w:rFonts w:ascii="Times New Roman" w:eastAsia="Times New Roman" w:hAnsi="Times New Roman" w:cs="Times New Roman"/>
      <w:sz w:val="24"/>
      <w:szCs w:val="24"/>
    </w:rPr>
  </w:style>
  <w:style w:type="paragraph" w:customStyle="1" w:styleId="2FDF2C96005F4ED3B9EBA19B426384971">
    <w:name w:val="2FDF2C96005F4ED3B9EBA19B426384971"/>
    <w:rsid w:val="00991B89"/>
    <w:pPr>
      <w:spacing w:after="0" w:line="240" w:lineRule="auto"/>
    </w:pPr>
    <w:rPr>
      <w:rFonts w:ascii="Times New Roman" w:eastAsia="Times New Roman" w:hAnsi="Times New Roman" w:cs="Times New Roman"/>
      <w:sz w:val="24"/>
      <w:szCs w:val="24"/>
    </w:rPr>
  </w:style>
  <w:style w:type="paragraph" w:customStyle="1" w:styleId="18C44CE508D44637A641C4F5F0E11A0F">
    <w:name w:val="18C44CE508D44637A641C4F5F0E11A0F"/>
    <w:rsid w:val="00991B8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886CF-5F21-4BEE-A3C8-F407774F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7942</Words>
  <Characters>45276</Characters>
  <Application>Microsoft Office Word</Application>
  <DocSecurity>0</DocSecurity>
  <Lines>377</Lines>
  <Paragraphs>106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53112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Tibor Barna</cp:lastModifiedBy>
  <cp:revision>4</cp:revision>
  <cp:lastPrinted>2015-03-18T09:21:00Z</cp:lastPrinted>
  <dcterms:created xsi:type="dcterms:W3CDTF">2016-02-10T08:51:00Z</dcterms:created>
  <dcterms:modified xsi:type="dcterms:W3CDTF">2016-02-11T09:27:00Z</dcterms:modified>
</cp:coreProperties>
</file>